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1E3" w:rsidRPr="000C51E3" w:rsidRDefault="005975EB" w:rsidP="000C51E3">
      <w:pPr>
        <w:spacing w:after="0" w:line="276" w:lineRule="auto"/>
        <w:jc w:val="center"/>
        <w:rPr>
          <w:rFonts w:ascii="Trebuchet MS" w:eastAsia="Times New Roman" w:hAnsi="Trebuchet MS" w:cs="Times New Roman"/>
          <w:b/>
          <w:bCs/>
          <w:noProof/>
          <w:color w:val="000000"/>
          <w:sz w:val="24"/>
          <w:szCs w:val="24"/>
          <w:lang w:val="ro-RO"/>
        </w:rPr>
      </w:pPr>
      <w:r w:rsidRPr="005975EB">
        <w:rPr>
          <w:rFonts w:ascii="Trebuchet MS" w:eastAsia="Times New Roman" w:hAnsi="Trebuchet MS" w:cs="Times New Roman"/>
          <w:b/>
          <w:bCs/>
          <w:noProof/>
          <w:color w:val="000000"/>
          <w:sz w:val="24"/>
          <w:szCs w:val="24"/>
          <w:lang w:val="ro-RO"/>
        </w:rPr>
        <w:t>Anunț privind deschiderea consultării publice cu privire la proiectul de</w:t>
      </w:r>
    </w:p>
    <w:p w:rsidR="000C51E3" w:rsidRPr="000C51E3" w:rsidRDefault="005975EB" w:rsidP="000C51E3">
      <w:pPr>
        <w:spacing w:after="0" w:line="276" w:lineRule="auto"/>
        <w:jc w:val="center"/>
        <w:rPr>
          <w:rFonts w:ascii="Trebuchet MS" w:hAnsi="Trebuchet MS"/>
          <w:noProof/>
          <w:sz w:val="24"/>
          <w:szCs w:val="24"/>
          <w:lang w:val="ro-RO"/>
        </w:rPr>
      </w:pPr>
      <w:r w:rsidRPr="005975EB">
        <w:rPr>
          <w:rFonts w:ascii="Trebuchet MS" w:eastAsia="Times New Roman" w:hAnsi="Trebuchet MS" w:cs="Times New Roman"/>
          <w:b/>
          <w:bCs/>
          <w:noProof/>
          <w:color w:val="000000"/>
          <w:sz w:val="24"/>
          <w:szCs w:val="24"/>
          <w:lang w:val="ro-RO"/>
        </w:rPr>
        <w:t xml:space="preserve"> Hotărâre </w:t>
      </w:r>
      <w:r w:rsidR="000C51E3" w:rsidRPr="000C51E3">
        <w:rPr>
          <w:rFonts w:ascii="Trebuchet MS" w:hAnsi="Trebuchet MS"/>
          <w:b/>
          <w:noProof/>
          <w:sz w:val="24"/>
          <w:szCs w:val="24"/>
          <w:lang w:val="ro-RO"/>
        </w:rPr>
        <w:t>privind organizarea, funcționarea și atribuțiile</w:t>
      </w:r>
    </w:p>
    <w:p w:rsidR="000C51E3" w:rsidRPr="000C51E3" w:rsidRDefault="000C51E3" w:rsidP="000C51E3">
      <w:pPr>
        <w:numPr>
          <w:ilvl w:val="0"/>
          <w:numId w:val="2"/>
        </w:numPr>
        <w:spacing w:after="0" w:line="276" w:lineRule="auto"/>
        <w:ind w:left="0" w:firstLine="0"/>
        <w:jc w:val="center"/>
        <w:rPr>
          <w:rFonts w:ascii="Trebuchet MS" w:hAnsi="Trebuchet MS"/>
          <w:b/>
          <w:noProof/>
          <w:sz w:val="24"/>
          <w:szCs w:val="24"/>
          <w:lang w:val="ro-RO"/>
        </w:rPr>
      </w:pPr>
      <w:r w:rsidRPr="000C51E3">
        <w:rPr>
          <w:rFonts w:ascii="Trebuchet MS" w:hAnsi="Trebuchet MS"/>
          <w:b/>
          <w:noProof/>
          <w:sz w:val="24"/>
          <w:szCs w:val="24"/>
          <w:lang w:val="ro-RO"/>
        </w:rPr>
        <w:t>Autorității pentru Digitalizarea României</w:t>
      </w:r>
    </w:p>
    <w:p w:rsidR="000C51E3" w:rsidRPr="000C51E3" w:rsidRDefault="000C51E3" w:rsidP="000C51E3">
      <w:pPr>
        <w:spacing w:before="60" w:line="276" w:lineRule="auto"/>
        <w:jc w:val="both"/>
        <w:rPr>
          <w:rFonts w:ascii="Times New Roman" w:hAnsi="Times New Roman"/>
          <w:noProof/>
          <w:szCs w:val="24"/>
          <w:lang w:val="ro-RO"/>
        </w:rPr>
      </w:pPr>
    </w:p>
    <w:p w:rsidR="005975EB" w:rsidRPr="005975EB" w:rsidRDefault="000C51E3" w:rsidP="000C51E3">
      <w:pPr>
        <w:spacing w:after="0" w:line="240" w:lineRule="auto"/>
        <w:jc w:val="center"/>
        <w:rPr>
          <w:rFonts w:ascii="Times New Roman" w:eastAsia="Times New Roman" w:hAnsi="Times New Roman" w:cs="Times New Roman"/>
          <w:noProof/>
          <w:sz w:val="24"/>
          <w:szCs w:val="24"/>
          <w:lang w:val="ro-RO"/>
        </w:rPr>
      </w:pPr>
      <w:r w:rsidRPr="000C51E3">
        <w:rPr>
          <w:rFonts w:ascii="Trebuchet MS" w:eastAsia="Times New Roman" w:hAnsi="Trebuchet MS" w:cs="Times New Roman"/>
          <w:b/>
          <w:bCs/>
          <w:noProof/>
          <w:color w:val="000000"/>
          <w:sz w:val="24"/>
          <w:szCs w:val="24"/>
          <w:lang w:val="ro-RO"/>
        </w:rPr>
        <w:t>10.12</w:t>
      </w:r>
      <w:r w:rsidR="005975EB" w:rsidRPr="005975EB">
        <w:rPr>
          <w:rFonts w:ascii="Trebuchet MS" w:eastAsia="Times New Roman" w:hAnsi="Trebuchet MS" w:cs="Times New Roman"/>
          <w:b/>
          <w:bCs/>
          <w:noProof/>
          <w:color w:val="000000"/>
          <w:sz w:val="24"/>
          <w:szCs w:val="24"/>
          <w:lang w:val="ro-RO"/>
        </w:rPr>
        <w:t>.2019</w:t>
      </w:r>
    </w:p>
    <w:p w:rsidR="005975EB" w:rsidRPr="005975EB" w:rsidRDefault="005975EB" w:rsidP="005975EB">
      <w:pPr>
        <w:spacing w:after="0" w:line="240" w:lineRule="auto"/>
        <w:jc w:val="both"/>
        <w:rPr>
          <w:rFonts w:ascii="Times New Roman" w:eastAsia="Times New Roman" w:hAnsi="Times New Roman" w:cs="Times New Roman"/>
          <w:noProof/>
          <w:sz w:val="24"/>
          <w:szCs w:val="24"/>
          <w:lang w:val="ro-RO"/>
        </w:rPr>
      </w:pPr>
      <w:r w:rsidRPr="005975EB">
        <w:rPr>
          <w:rFonts w:ascii="Trebuchet MS" w:eastAsia="Times New Roman" w:hAnsi="Trebuchet MS" w:cs="Times New Roman"/>
          <w:noProof/>
          <w:color w:val="000000"/>
          <w:sz w:val="24"/>
          <w:szCs w:val="24"/>
          <w:lang w:val="ro-RO"/>
        </w:rPr>
        <w:t> </w:t>
      </w:r>
    </w:p>
    <w:p w:rsidR="0062176D" w:rsidRPr="0062176D" w:rsidRDefault="005975EB" w:rsidP="0062176D">
      <w:pPr>
        <w:pStyle w:val="ListParagraph"/>
        <w:autoSpaceDE w:val="0"/>
        <w:autoSpaceDN w:val="0"/>
        <w:adjustRightInd w:val="0"/>
        <w:spacing w:before="60" w:after="0" w:line="240" w:lineRule="auto"/>
        <w:ind w:left="0" w:firstLine="720"/>
        <w:contextualSpacing w:val="0"/>
        <w:jc w:val="both"/>
        <w:rPr>
          <w:rFonts w:ascii="Trebuchet MS" w:hAnsi="Trebuchet MS"/>
          <w:szCs w:val="24"/>
          <w:lang w:val="ro-RO"/>
        </w:rPr>
      </w:pPr>
      <w:bookmarkStart w:id="0" w:name="_GoBack"/>
      <w:bookmarkEnd w:id="0"/>
      <w:r w:rsidRPr="0062176D">
        <w:rPr>
          <w:rFonts w:ascii="Trebuchet MS" w:eastAsia="Times New Roman" w:hAnsi="Trebuchet MS"/>
          <w:noProof/>
          <w:color w:val="000000"/>
          <w:szCs w:val="24"/>
          <w:lang w:val="ro-RO"/>
        </w:rPr>
        <w:t xml:space="preserve">Prezentul proiect de act normativ privind înființarea, organizarea și funcționarea </w:t>
      </w:r>
      <w:r w:rsidR="000C51E3" w:rsidRPr="0062176D">
        <w:rPr>
          <w:rFonts w:ascii="Trebuchet MS" w:eastAsia="Times New Roman" w:hAnsi="Trebuchet MS"/>
          <w:noProof/>
          <w:color w:val="000000"/>
          <w:szCs w:val="24"/>
          <w:lang w:val="ro-RO"/>
        </w:rPr>
        <w:t xml:space="preserve">Autorității </w:t>
      </w:r>
      <w:r w:rsidR="0062176D" w:rsidRPr="0062176D">
        <w:rPr>
          <w:rFonts w:ascii="Trebuchet MS" w:hAnsi="Trebuchet MS"/>
          <w:szCs w:val="24"/>
          <w:lang w:val="ro-RO"/>
        </w:rPr>
        <w:t xml:space="preserve">pentru Digitalizarea României (ADR) </w:t>
      </w:r>
      <w:r w:rsidR="0062176D">
        <w:rPr>
          <w:rFonts w:ascii="Trebuchet MS" w:hAnsi="Trebuchet MS"/>
          <w:szCs w:val="24"/>
          <w:lang w:val="ro-RO"/>
        </w:rPr>
        <w:t>are ca scop</w:t>
      </w:r>
      <w:r w:rsidR="0062176D" w:rsidRPr="0062176D">
        <w:rPr>
          <w:rFonts w:ascii="Trebuchet MS" w:hAnsi="Trebuchet MS"/>
          <w:szCs w:val="24"/>
          <w:lang w:val="ro-RO"/>
        </w:rPr>
        <w:t xml:space="preserve"> realiza</w:t>
      </w:r>
      <w:r w:rsidR="0062176D">
        <w:rPr>
          <w:rFonts w:ascii="Trebuchet MS" w:hAnsi="Trebuchet MS"/>
          <w:szCs w:val="24"/>
          <w:lang w:val="ro-RO"/>
        </w:rPr>
        <w:t>rea</w:t>
      </w:r>
      <w:r w:rsidR="0062176D" w:rsidRPr="0062176D">
        <w:rPr>
          <w:rFonts w:ascii="Trebuchet MS" w:hAnsi="Trebuchet MS"/>
          <w:szCs w:val="24"/>
          <w:lang w:val="ro-RO"/>
        </w:rPr>
        <w:t xml:space="preserve"> și asigura</w:t>
      </w:r>
      <w:r w:rsidR="0062176D">
        <w:rPr>
          <w:rFonts w:ascii="Trebuchet MS" w:hAnsi="Trebuchet MS"/>
          <w:szCs w:val="24"/>
          <w:lang w:val="ro-RO"/>
        </w:rPr>
        <w:t>rea implementării</w:t>
      </w:r>
      <w:r w:rsidR="0062176D" w:rsidRPr="0062176D">
        <w:rPr>
          <w:rFonts w:ascii="Trebuchet MS" w:hAnsi="Trebuchet MS"/>
          <w:szCs w:val="24"/>
          <w:lang w:val="ro-RO"/>
        </w:rPr>
        <w:t xml:space="preserve"> strategiilor și a politicilor publice în domeniul digitalizării. ADR are sediul în municipiul București, Str. Italiană nr. 22, sectorul 2.</w:t>
      </w:r>
    </w:p>
    <w:p w:rsidR="0062176D" w:rsidRPr="0062176D" w:rsidRDefault="0062176D" w:rsidP="0062176D">
      <w:pPr>
        <w:pStyle w:val="ListParagraph"/>
        <w:autoSpaceDE w:val="0"/>
        <w:autoSpaceDN w:val="0"/>
        <w:adjustRightInd w:val="0"/>
        <w:spacing w:after="0" w:line="240" w:lineRule="auto"/>
        <w:ind w:left="0"/>
        <w:contextualSpacing w:val="0"/>
        <w:jc w:val="both"/>
        <w:rPr>
          <w:rFonts w:ascii="Trebuchet MS" w:hAnsi="Trebuchet MS"/>
          <w:szCs w:val="24"/>
        </w:rPr>
      </w:pPr>
      <w:r w:rsidRPr="0062176D">
        <w:rPr>
          <w:rFonts w:ascii="Trebuchet MS" w:hAnsi="Trebuchet MS"/>
          <w:szCs w:val="24"/>
          <w:lang w:val="ro-RO"/>
        </w:rPr>
        <w:t xml:space="preserve">      Sunt detaliate obiectivele și principalele atribuții ale ADR, astfel că unul dintre cele mai importante obiective îl reprezintă digitalizarea sectorului public. De asemenea, se are în vedere dezvoltarea și asigurarea interoperabilității între autoritățile și instituțiile publice, dezvoltarea sistemelor de autentificare informatică și interconectarea sistemelor informatice publice, dezvoltarea serviciilor publice electronice etc;</w:t>
      </w:r>
    </w:p>
    <w:p w:rsidR="0062176D" w:rsidRPr="0062176D" w:rsidRDefault="0062176D" w:rsidP="0062176D">
      <w:pPr>
        <w:pStyle w:val="ListParagraph"/>
        <w:autoSpaceDE w:val="0"/>
        <w:autoSpaceDN w:val="0"/>
        <w:adjustRightInd w:val="0"/>
        <w:spacing w:after="0" w:line="240" w:lineRule="auto"/>
        <w:ind w:left="0"/>
        <w:contextualSpacing w:val="0"/>
        <w:jc w:val="both"/>
        <w:rPr>
          <w:rFonts w:ascii="Trebuchet MS" w:hAnsi="Trebuchet MS"/>
          <w:szCs w:val="24"/>
          <w:lang w:val="ro-RO"/>
        </w:rPr>
      </w:pPr>
      <w:r w:rsidRPr="0062176D">
        <w:rPr>
          <w:rFonts w:ascii="Trebuchet MS" w:eastAsia="Cambria" w:hAnsi="Trebuchet MS"/>
          <w:szCs w:val="24"/>
          <w:lang w:val="ro-RO"/>
        </w:rPr>
        <w:t xml:space="preserve">       Conducerea ADR este asigurată de un președinte, cu rang de secretar de stat, </w:t>
      </w:r>
      <w:r w:rsidRPr="0062176D">
        <w:rPr>
          <w:rFonts w:ascii="Trebuchet MS" w:eastAsia="Cambria" w:hAnsi="Trebuchet MS"/>
          <w:color w:val="333333"/>
          <w:szCs w:val="24"/>
          <w:lang w:val="ro-RO"/>
        </w:rPr>
        <w:t xml:space="preserve">ajutat în activitatea de conducere de un vicepreședinte, cu rang de subsecretar de stat, </w:t>
      </w:r>
      <w:r w:rsidRPr="0062176D">
        <w:rPr>
          <w:rFonts w:ascii="Trebuchet MS" w:eastAsia="Cambria" w:hAnsi="Trebuchet MS"/>
          <w:szCs w:val="24"/>
          <w:lang w:val="ro-RO"/>
        </w:rPr>
        <w:t>numiți și eliberați din funcție prin decizie a prim-ministrului</w:t>
      </w:r>
      <w:r w:rsidRPr="0062176D">
        <w:rPr>
          <w:rFonts w:ascii="Trebuchet MS" w:eastAsia="Cambria" w:hAnsi="Trebuchet MS"/>
          <w:color w:val="333333"/>
          <w:szCs w:val="24"/>
          <w:lang w:val="ro-RO"/>
        </w:rPr>
        <w:t>.</w:t>
      </w:r>
    </w:p>
    <w:p w:rsidR="0062176D" w:rsidRPr="0062176D" w:rsidRDefault="0062176D" w:rsidP="0062176D">
      <w:pPr>
        <w:autoSpaceDE w:val="0"/>
        <w:autoSpaceDN w:val="0"/>
        <w:adjustRightInd w:val="0"/>
        <w:spacing w:after="0" w:line="240" w:lineRule="auto"/>
        <w:jc w:val="both"/>
        <w:rPr>
          <w:rFonts w:ascii="Trebuchet MS" w:eastAsia="Cambria" w:hAnsi="Trebuchet MS"/>
          <w:sz w:val="24"/>
          <w:szCs w:val="24"/>
          <w:lang w:val="ro-RO"/>
        </w:rPr>
      </w:pPr>
      <w:r w:rsidRPr="0062176D">
        <w:rPr>
          <w:rFonts w:ascii="Trebuchet MS" w:eastAsia="Cambria" w:hAnsi="Trebuchet MS"/>
          <w:color w:val="333333"/>
          <w:sz w:val="24"/>
          <w:szCs w:val="24"/>
          <w:lang w:val="ro-RO"/>
        </w:rPr>
        <w:t xml:space="preserve">         Pentru buna funcționare a compartimentelor și activităților cu caracter funcțional, </w:t>
      </w:r>
      <w:r w:rsidRPr="0062176D">
        <w:rPr>
          <w:rFonts w:ascii="Trebuchet MS" w:eastAsia="Cambria" w:hAnsi="Trebuchet MS"/>
          <w:sz w:val="24"/>
          <w:szCs w:val="24"/>
          <w:lang w:val="ro-RO"/>
        </w:rPr>
        <w:t>ADR are un secretar general.</w:t>
      </w:r>
    </w:p>
    <w:p w:rsidR="005975EB" w:rsidRPr="005975EB" w:rsidRDefault="005975EB" w:rsidP="0062176D">
      <w:pPr>
        <w:spacing w:after="200" w:line="240" w:lineRule="auto"/>
        <w:jc w:val="both"/>
        <w:rPr>
          <w:rFonts w:ascii="Times New Roman" w:eastAsia="Times New Roman" w:hAnsi="Times New Roman" w:cs="Times New Roman"/>
          <w:noProof/>
          <w:sz w:val="24"/>
          <w:szCs w:val="24"/>
          <w:lang w:val="ro-RO"/>
        </w:rPr>
      </w:pPr>
      <w:r w:rsidRPr="005975EB">
        <w:rPr>
          <w:rFonts w:ascii="Trebuchet MS" w:eastAsia="Times New Roman" w:hAnsi="Trebuchet MS" w:cs="Times New Roman"/>
          <w:b/>
          <w:bCs/>
          <w:noProof/>
          <w:color w:val="000000"/>
          <w:sz w:val="24"/>
          <w:szCs w:val="24"/>
          <w:lang w:val="ro-RO"/>
        </w:rPr>
        <w:t>Documentația aferentă proiectului de act normativ include nota de fundamentare a proiectului. </w:t>
      </w:r>
    </w:p>
    <w:p w:rsidR="005975EB" w:rsidRPr="005975EB" w:rsidRDefault="005975EB" w:rsidP="005975EB">
      <w:pPr>
        <w:numPr>
          <w:ilvl w:val="0"/>
          <w:numId w:val="1"/>
        </w:numPr>
        <w:spacing w:after="0" w:line="240" w:lineRule="auto"/>
        <w:jc w:val="both"/>
        <w:textAlignment w:val="baseline"/>
        <w:rPr>
          <w:rFonts w:ascii="Trebuchet MS" w:eastAsia="Times New Roman" w:hAnsi="Trebuchet MS" w:cs="Times New Roman"/>
          <w:noProof/>
          <w:color w:val="000000"/>
          <w:sz w:val="24"/>
          <w:szCs w:val="24"/>
          <w:lang w:val="ro-RO"/>
        </w:rPr>
      </w:pPr>
      <w:r w:rsidRPr="005975EB">
        <w:rPr>
          <w:rFonts w:ascii="Trebuchet MS" w:eastAsia="Times New Roman" w:hAnsi="Trebuchet MS" w:cs="Times New Roman"/>
          <w:noProof/>
          <w:color w:val="000000"/>
          <w:sz w:val="24"/>
          <w:szCs w:val="24"/>
          <w:lang w:val="ro-RO"/>
        </w:rPr>
        <w:t>Hotărâre a Guvernului  (pdf. in atasament)</w:t>
      </w:r>
    </w:p>
    <w:p w:rsidR="005975EB" w:rsidRPr="005975EB" w:rsidRDefault="005975EB" w:rsidP="005975EB">
      <w:pPr>
        <w:numPr>
          <w:ilvl w:val="0"/>
          <w:numId w:val="1"/>
        </w:numPr>
        <w:spacing w:after="0" w:line="240" w:lineRule="auto"/>
        <w:jc w:val="both"/>
        <w:textAlignment w:val="baseline"/>
        <w:rPr>
          <w:rFonts w:ascii="Trebuchet MS" w:eastAsia="Times New Roman" w:hAnsi="Trebuchet MS" w:cs="Times New Roman"/>
          <w:noProof/>
          <w:color w:val="000000"/>
          <w:sz w:val="24"/>
          <w:szCs w:val="24"/>
          <w:lang w:val="ro-RO"/>
        </w:rPr>
      </w:pPr>
      <w:r w:rsidRPr="005975EB">
        <w:rPr>
          <w:rFonts w:ascii="Trebuchet MS" w:eastAsia="Times New Roman" w:hAnsi="Trebuchet MS" w:cs="Times New Roman"/>
          <w:noProof/>
          <w:color w:val="000000"/>
          <w:sz w:val="24"/>
          <w:szCs w:val="24"/>
          <w:lang w:val="ro-RO"/>
        </w:rPr>
        <w:t>Nota de fundamentare (pdf. in atasament)</w:t>
      </w:r>
    </w:p>
    <w:p w:rsidR="005975EB" w:rsidRPr="005975EB" w:rsidRDefault="005975EB" w:rsidP="005975EB">
      <w:pPr>
        <w:spacing w:after="0" w:line="240" w:lineRule="auto"/>
        <w:rPr>
          <w:rFonts w:ascii="Times New Roman" w:eastAsia="Times New Roman" w:hAnsi="Times New Roman" w:cs="Times New Roman"/>
          <w:noProof/>
          <w:sz w:val="24"/>
          <w:szCs w:val="24"/>
          <w:lang w:val="ro-RO"/>
        </w:rPr>
      </w:pPr>
    </w:p>
    <w:p w:rsidR="005975EB" w:rsidRPr="005975EB" w:rsidRDefault="005975EB" w:rsidP="005975EB">
      <w:pPr>
        <w:spacing w:after="200" w:line="240" w:lineRule="auto"/>
        <w:jc w:val="both"/>
        <w:rPr>
          <w:rFonts w:ascii="Times New Roman" w:eastAsia="Times New Roman" w:hAnsi="Times New Roman" w:cs="Times New Roman"/>
          <w:noProof/>
          <w:sz w:val="24"/>
          <w:szCs w:val="24"/>
          <w:lang w:val="ro-RO"/>
        </w:rPr>
      </w:pPr>
      <w:r w:rsidRPr="005975EB">
        <w:rPr>
          <w:rFonts w:ascii="Trebuchet MS" w:eastAsia="Times New Roman" w:hAnsi="Trebuchet MS" w:cs="Times New Roman"/>
          <w:noProof/>
          <w:color w:val="000000"/>
          <w:sz w:val="24"/>
          <w:szCs w:val="24"/>
          <w:lang w:val="ro-RO"/>
        </w:rPr>
        <w:t>Propuneri, sugestii, opinii cu valoare de recomandare privind proiectul de act normativ supus consultării publice se pot trimite în termen de 10 zile calendaristice de la data publicării prezentului anunț la adresa de e-mail consultare.publica@sgg.ro.</w:t>
      </w:r>
    </w:p>
    <w:p w:rsidR="005975EB" w:rsidRPr="005975EB" w:rsidRDefault="005975EB" w:rsidP="005975EB">
      <w:pPr>
        <w:spacing w:after="200" w:line="240" w:lineRule="auto"/>
        <w:jc w:val="both"/>
        <w:rPr>
          <w:rFonts w:ascii="Times New Roman" w:eastAsia="Times New Roman" w:hAnsi="Times New Roman" w:cs="Times New Roman"/>
          <w:noProof/>
          <w:sz w:val="24"/>
          <w:szCs w:val="24"/>
          <w:lang w:val="ro-RO"/>
        </w:rPr>
      </w:pPr>
      <w:r w:rsidRPr="005975EB">
        <w:rPr>
          <w:rFonts w:ascii="Trebuchet MS" w:eastAsia="Times New Roman" w:hAnsi="Trebuchet MS" w:cs="Times New Roman"/>
          <w:noProof/>
          <w:color w:val="000000"/>
          <w:sz w:val="24"/>
          <w:szCs w:val="24"/>
          <w:lang w:val="ro-RO"/>
        </w:rPr>
        <w:t xml:space="preserve">Materialele transmise vor purta mențiunea: „Propuneri privind dezbaterea Proiectului de Hotărâre a Guvernului privind </w:t>
      </w:r>
      <w:r w:rsidR="000C51E3" w:rsidRPr="005975EB">
        <w:rPr>
          <w:rFonts w:ascii="Trebuchet MS" w:eastAsia="Times New Roman" w:hAnsi="Trebuchet MS" w:cs="Times New Roman"/>
          <w:noProof/>
          <w:color w:val="000000"/>
          <w:sz w:val="24"/>
          <w:szCs w:val="24"/>
          <w:lang w:val="ro-RO"/>
        </w:rPr>
        <w:t xml:space="preserve">înființarea, organizarea și funcționarea </w:t>
      </w:r>
      <w:r w:rsidR="000C51E3" w:rsidRPr="000C51E3">
        <w:rPr>
          <w:rFonts w:ascii="Trebuchet MS" w:eastAsia="Times New Roman" w:hAnsi="Trebuchet MS" w:cs="Times New Roman"/>
          <w:noProof/>
          <w:color w:val="000000"/>
          <w:sz w:val="24"/>
          <w:szCs w:val="24"/>
          <w:lang w:val="ro-RO"/>
        </w:rPr>
        <w:t>Autorității pentru Digitalizarea României</w:t>
      </w:r>
      <w:r w:rsidRPr="005975EB">
        <w:rPr>
          <w:rFonts w:ascii="Trebuchet MS" w:eastAsia="Times New Roman" w:hAnsi="Trebuchet MS" w:cs="Times New Roman"/>
          <w:noProof/>
          <w:color w:val="000000"/>
          <w:sz w:val="24"/>
          <w:szCs w:val="24"/>
          <w:lang w:val="ro-RO"/>
        </w:rPr>
        <w:t>”. </w:t>
      </w:r>
    </w:p>
    <w:p w:rsidR="005975EB" w:rsidRPr="005975EB" w:rsidRDefault="005975EB" w:rsidP="005975EB">
      <w:pPr>
        <w:spacing w:after="200" w:line="240" w:lineRule="auto"/>
        <w:jc w:val="both"/>
        <w:rPr>
          <w:rFonts w:ascii="Times New Roman" w:eastAsia="Times New Roman" w:hAnsi="Times New Roman" w:cs="Times New Roman"/>
          <w:noProof/>
          <w:sz w:val="24"/>
          <w:szCs w:val="24"/>
          <w:lang w:val="ro-RO"/>
        </w:rPr>
      </w:pPr>
      <w:r w:rsidRPr="005975EB">
        <w:rPr>
          <w:rFonts w:ascii="Trebuchet MS" w:eastAsia="Times New Roman" w:hAnsi="Trebuchet MS" w:cs="Times New Roman"/>
          <w:noProof/>
          <w:color w:val="000000"/>
          <w:sz w:val="24"/>
          <w:szCs w:val="24"/>
          <w:lang w:val="ro-RO"/>
        </w:rPr>
        <w:t xml:space="preserve">Propunerile trimise vor fi publicate pe pagina de internet a instituției, la linkul </w:t>
      </w:r>
      <w:hyperlink r:id="rId5" w:history="1">
        <w:r w:rsidRPr="000C51E3">
          <w:rPr>
            <w:rFonts w:ascii="Trebuchet MS" w:eastAsia="Times New Roman" w:hAnsi="Trebuchet MS" w:cs="Times New Roman"/>
            <w:noProof/>
            <w:color w:val="0563C1"/>
            <w:sz w:val="24"/>
            <w:szCs w:val="24"/>
            <w:u w:val="single"/>
            <w:lang w:val="ro-RO"/>
          </w:rPr>
          <w:t>https://sgg.gov.ro/new/anunturi-proiecte-de-acte-normative/</w:t>
        </w:r>
      </w:hyperlink>
      <w:r w:rsidRPr="005975EB">
        <w:rPr>
          <w:rFonts w:ascii="Trebuchet MS" w:eastAsia="Times New Roman" w:hAnsi="Trebuchet MS" w:cs="Times New Roman"/>
          <w:noProof/>
          <w:color w:val="000000"/>
          <w:sz w:val="24"/>
          <w:szCs w:val="24"/>
          <w:lang w:val="ro-RO"/>
        </w:rPr>
        <w:t>.</w:t>
      </w:r>
    </w:p>
    <w:p w:rsidR="005975EB" w:rsidRPr="005975EB" w:rsidRDefault="005975EB" w:rsidP="005975EB">
      <w:pPr>
        <w:spacing w:after="200" w:line="240" w:lineRule="auto"/>
        <w:jc w:val="both"/>
        <w:rPr>
          <w:rFonts w:ascii="Times New Roman" w:eastAsia="Times New Roman" w:hAnsi="Times New Roman" w:cs="Times New Roman"/>
          <w:noProof/>
          <w:sz w:val="24"/>
          <w:szCs w:val="24"/>
          <w:lang w:val="ro-RO"/>
        </w:rPr>
      </w:pPr>
      <w:r w:rsidRPr="005975EB">
        <w:rPr>
          <w:rFonts w:ascii="Trebuchet MS" w:eastAsia="Times New Roman" w:hAnsi="Trebuchet MS" w:cs="Times New Roman"/>
          <w:noProof/>
          <w:color w:val="000000"/>
          <w:sz w:val="24"/>
          <w:szCs w:val="24"/>
          <w:lang w:val="ro-RO"/>
        </w:rPr>
        <w:t>Nepreluarea recomandărilor formulate și înaintate în scris va fi justificată în scris. </w:t>
      </w:r>
    </w:p>
    <w:p w:rsidR="005975EB" w:rsidRDefault="005975EB" w:rsidP="005975EB">
      <w:pPr>
        <w:spacing w:after="200" w:line="240" w:lineRule="auto"/>
        <w:jc w:val="both"/>
        <w:rPr>
          <w:rFonts w:ascii="Trebuchet MS" w:eastAsia="Times New Roman" w:hAnsi="Trebuchet MS" w:cs="Times New Roman"/>
          <w:noProof/>
          <w:color w:val="000000"/>
          <w:sz w:val="24"/>
          <w:szCs w:val="24"/>
          <w:lang w:val="ro-RO"/>
        </w:rPr>
      </w:pPr>
      <w:r w:rsidRPr="005975EB">
        <w:rPr>
          <w:rFonts w:ascii="Trebuchet MS" w:eastAsia="Times New Roman" w:hAnsi="Trebuchet MS" w:cs="Times New Roman"/>
          <w:noProof/>
          <w:color w:val="000000"/>
          <w:sz w:val="24"/>
          <w:szCs w:val="24"/>
          <w:lang w:val="ro-RO"/>
        </w:rPr>
        <w:t>Pentru informații suplimentare, vă stăm la dispoziție la următoarea adresă de e-mail: consultare.publica@sgg.ro. </w:t>
      </w:r>
    </w:p>
    <w:p w:rsidR="000C51E3" w:rsidRPr="005975EB" w:rsidRDefault="000C51E3" w:rsidP="005975EB">
      <w:pPr>
        <w:spacing w:after="200" w:line="240" w:lineRule="auto"/>
        <w:jc w:val="both"/>
        <w:rPr>
          <w:rFonts w:ascii="Trebuchet MS" w:eastAsia="Times New Roman" w:hAnsi="Trebuchet MS" w:cs="Times New Roman"/>
          <w:noProof/>
          <w:sz w:val="24"/>
          <w:szCs w:val="24"/>
          <w:lang w:val="ro-RO"/>
        </w:rPr>
      </w:pPr>
      <w:r w:rsidRPr="000C51E3">
        <w:rPr>
          <w:rFonts w:ascii="Trebuchet MS" w:eastAsia="Times New Roman" w:hAnsi="Trebuchet MS" w:cs="Times New Roman"/>
          <w:noProof/>
          <w:sz w:val="24"/>
          <w:szCs w:val="24"/>
          <w:lang w:val="ro-RO"/>
        </w:rPr>
        <w:t>Publicat la data de 10.12.2019, aflat în dezbatere până la data de 20.12.2019.</w:t>
      </w:r>
    </w:p>
    <w:p w:rsidR="0052253C" w:rsidRPr="000C51E3" w:rsidRDefault="0052253C">
      <w:pPr>
        <w:rPr>
          <w:noProof/>
          <w:lang w:val="ro-RO"/>
        </w:rPr>
      </w:pPr>
    </w:p>
    <w:sectPr w:rsidR="0052253C" w:rsidRPr="000C51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346F2"/>
    <w:multiLevelType w:val="multilevel"/>
    <w:tmpl w:val="F07EB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015814"/>
    <w:multiLevelType w:val="multilevel"/>
    <w:tmpl w:val="63342D04"/>
    <w:lvl w:ilvl="0">
      <w:start w:val="1"/>
      <w:numFmt w:val="decimal"/>
      <w:lvlText w:val=""/>
      <w:lvlJc w:val="right"/>
      <w:pPr>
        <w:ind w:left="320" w:hanging="1"/>
      </w:pPr>
    </w:lvl>
    <w:lvl w:ilvl="1">
      <w:start w:val="1"/>
      <w:numFmt w:val="decimal"/>
      <w:lvlText w:val=""/>
      <w:lvlJc w:val="right"/>
      <w:pPr>
        <w:ind w:left="800" w:hanging="1"/>
      </w:pPr>
    </w:lvl>
    <w:lvl w:ilvl="2">
      <w:start w:val="1"/>
      <w:numFmt w:val="decimal"/>
      <w:lvlText w:val=""/>
      <w:lvlJc w:val="right"/>
      <w:pPr>
        <w:ind w:left="1280" w:hanging="1"/>
      </w:pPr>
    </w:lvl>
    <w:lvl w:ilvl="3">
      <w:start w:val="1"/>
      <w:numFmt w:val="decimal"/>
      <w:lvlText w:val=""/>
      <w:lvlJc w:val="right"/>
      <w:pPr>
        <w:ind w:left="1760" w:hanging="1"/>
      </w:pPr>
    </w:lvl>
    <w:lvl w:ilvl="4">
      <w:start w:val="1"/>
      <w:numFmt w:val="decimal"/>
      <w:lvlText w:val=""/>
      <w:lvlJc w:val="right"/>
      <w:pPr>
        <w:ind w:left="2240" w:hanging="1"/>
      </w:pPr>
    </w:lvl>
    <w:lvl w:ilvl="5">
      <w:start w:val="1"/>
      <w:numFmt w:val="decimal"/>
      <w:lvlText w:val=""/>
      <w:lvlJc w:val="right"/>
      <w:pPr>
        <w:ind w:left="2720" w:hanging="1"/>
      </w:pPr>
    </w:lvl>
    <w:lvl w:ilvl="6">
      <w:start w:val="1"/>
      <w:numFmt w:val="decimal"/>
      <w:lvlText w:val=""/>
      <w:lvlJc w:val="right"/>
      <w:pPr>
        <w:ind w:left="3200" w:hanging="1"/>
      </w:pPr>
    </w:lvl>
    <w:lvl w:ilvl="7">
      <w:start w:val="1"/>
      <w:numFmt w:val="decimal"/>
      <w:lvlText w:val=""/>
      <w:lvlJc w:val="right"/>
      <w:pPr>
        <w:ind w:left="3680" w:hanging="1"/>
      </w:pPr>
    </w:lvl>
    <w:lvl w:ilvl="8">
      <w:start w:val="1"/>
      <w:numFmt w:val="decimal"/>
      <w:lvlText w:val=""/>
      <w:lvlJc w:val="right"/>
      <w:pPr>
        <w:ind w:left="4160" w:hanging="1"/>
      </w:pPr>
    </w:lvl>
  </w:abstractNum>
  <w:num w:numId="1">
    <w:abstractNumId w:val="0"/>
  </w:num>
  <w:num w:numId="2">
    <w:abstractNumId w:val="1"/>
    <w:lvlOverride w:ilvl="0">
      <w:lvl w:ilvl="0">
        <w:start w:val="1"/>
        <w:numFmt w:val="decimal"/>
        <w:lvlText w:val=""/>
        <w:lvlJc w:val="right"/>
        <w:pPr>
          <w:ind w:left="320" w:hanging="1"/>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5EB"/>
    <w:rsid w:val="00060CB5"/>
    <w:rsid w:val="000C51E3"/>
    <w:rsid w:val="00355105"/>
    <w:rsid w:val="0052253C"/>
    <w:rsid w:val="005975EB"/>
    <w:rsid w:val="0062176D"/>
    <w:rsid w:val="007E4F25"/>
    <w:rsid w:val="00917C2A"/>
    <w:rsid w:val="00CB5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B2E9EB-F4D2-4266-B182-739721871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75E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975EB"/>
    <w:rPr>
      <w:color w:val="0000FF"/>
      <w:u w:val="single"/>
    </w:rPr>
  </w:style>
  <w:style w:type="paragraph" w:styleId="ListParagraph">
    <w:name w:val="List Paragraph"/>
    <w:basedOn w:val="Normal"/>
    <w:uiPriority w:val="34"/>
    <w:qFormat/>
    <w:rsid w:val="0062176D"/>
    <w:pPr>
      <w:spacing w:after="200" w:line="276" w:lineRule="auto"/>
      <w:ind w:left="720"/>
      <w:contextualSpacing/>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395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gg.gov.ro/new/anunturi-proiecte-de-acte-normativ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Stan</dc:creator>
  <cp:keywords/>
  <dc:description/>
  <cp:lastModifiedBy>Patricia Stan</cp:lastModifiedBy>
  <cp:revision>3</cp:revision>
  <dcterms:created xsi:type="dcterms:W3CDTF">2019-12-10T08:22:00Z</dcterms:created>
  <dcterms:modified xsi:type="dcterms:W3CDTF">2019-12-10T09:21:00Z</dcterms:modified>
</cp:coreProperties>
</file>