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4.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5.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6.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57.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58.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59.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0.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1.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2.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3.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4.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5.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66.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67.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68.xml" ContentType="application/vnd.openxmlformats-officedocument.drawingml.chart+xml"/>
  <Override PartName="/word/charts/style68.xml" ContentType="application/vnd.ms-office.chartstyle+xml"/>
  <Override PartName="/word/charts/colors68.xml" ContentType="application/vnd.ms-office.chartcolorstyle+xml"/>
  <Override PartName="/word/charts/chart69.xml" ContentType="application/vnd.openxmlformats-officedocument.drawingml.chart+xml"/>
  <Override PartName="/word/charts/style69.xml" ContentType="application/vnd.ms-office.chartstyle+xml"/>
  <Override PartName="/word/charts/colors69.xml" ContentType="application/vnd.ms-office.chartcolorstyle+xml"/>
  <Override PartName="/word/charts/chart70.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71.xml" ContentType="application/vnd.openxmlformats-officedocument.drawingml.chart+xml"/>
  <Override PartName="/word/charts/style71.xml" ContentType="application/vnd.ms-office.chartstyle+xml"/>
  <Override PartName="/word/charts/colors71.xml" ContentType="application/vnd.ms-office.chartcolorstyle+xml"/>
  <Override PartName="/word/charts/chart72.xml" ContentType="application/vnd.openxmlformats-officedocument.drawingml.chart+xml"/>
  <Override PartName="/word/charts/style72.xml" ContentType="application/vnd.ms-office.chartstyle+xml"/>
  <Override PartName="/word/charts/colors72.xml" ContentType="application/vnd.ms-office.chartcolorstyle+xml"/>
  <Override PartName="/word/charts/chart73.xml" ContentType="application/vnd.openxmlformats-officedocument.drawingml.chart+xml"/>
  <Override PartName="/word/charts/style73.xml" ContentType="application/vnd.ms-office.chartstyle+xml"/>
  <Override PartName="/word/charts/colors73.xml" ContentType="application/vnd.ms-office.chartcolorstyle+xml"/>
  <Override PartName="/word/charts/chart74.xml" ContentType="application/vnd.openxmlformats-officedocument.drawingml.chart+xml"/>
  <Override PartName="/word/charts/style74.xml" ContentType="application/vnd.ms-office.chartstyle+xml"/>
  <Override PartName="/word/charts/colors74.xml" ContentType="application/vnd.ms-office.chartcolorstyle+xml"/>
  <Override PartName="/word/charts/chart75.xml" ContentType="application/vnd.openxmlformats-officedocument.drawingml.chart+xml"/>
  <Override PartName="/word/charts/style75.xml" ContentType="application/vnd.ms-office.chartstyle+xml"/>
  <Override PartName="/word/charts/colors75.xml" ContentType="application/vnd.ms-office.chartcolorstyle+xml"/>
  <Override PartName="/word/charts/chart76.xml" ContentType="application/vnd.openxmlformats-officedocument.drawingml.chart+xml"/>
  <Override PartName="/word/charts/style76.xml" ContentType="application/vnd.ms-office.chartstyle+xml"/>
  <Override PartName="/word/charts/colors76.xml" ContentType="application/vnd.ms-office.chartcolorstyle+xml"/>
  <Override PartName="/word/charts/chart77.xml" ContentType="application/vnd.openxmlformats-officedocument.drawingml.chart+xml"/>
  <Override PartName="/word/charts/style77.xml" ContentType="application/vnd.ms-office.chartstyle+xml"/>
  <Override PartName="/word/charts/colors77.xml" ContentType="application/vnd.ms-office.chartcolorstyle+xml"/>
  <Override PartName="/word/charts/chart78.xml" ContentType="application/vnd.openxmlformats-officedocument.drawingml.chart+xml"/>
  <Override PartName="/word/charts/style78.xml" ContentType="application/vnd.ms-office.chartstyle+xml"/>
  <Override PartName="/word/charts/colors78.xml" ContentType="application/vnd.ms-office.chartcolorstyle+xml"/>
  <Override PartName="/word/charts/chart79.xml" ContentType="application/vnd.openxmlformats-officedocument.drawingml.chart+xml"/>
  <Override PartName="/word/charts/style79.xml" ContentType="application/vnd.ms-office.chartstyle+xml"/>
  <Override PartName="/word/charts/colors79.xml" ContentType="application/vnd.ms-office.chartcolorstyle+xml"/>
  <Override PartName="/word/charts/chart80.xml" ContentType="application/vnd.openxmlformats-officedocument.drawingml.chart+xml"/>
  <Override PartName="/word/charts/style80.xml" ContentType="application/vnd.ms-office.chartstyle+xml"/>
  <Override PartName="/word/charts/colors80.xml" ContentType="application/vnd.ms-office.chartcolorstyle+xml"/>
  <Override PartName="/word/charts/chart81.xml" ContentType="application/vnd.openxmlformats-officedocument.drawingml.chart+xml"/>
  <Override PartName="/word/charts/style81.xml" ContentType="application/vnd.ms-office.chartstyle+xml"/>
  <Override PartName="/word/charts/colors81.xml" ContentType="application/vnd.ms-office.chartcolorstyle+xml"/>
  <Override PartName="/word/charts/chart82.xml" ContentType="application/vnd.openxmlformats-officedocument.drawingml.chart+xml"/>
  <Override PartName="/word/charts/style82.xml" ContentType="application/vnd.ms-office.chartstyle+xml"/>
  <Override PartName="/word/charts/colors82.xml" ContentType="application/vnd.ms-office.chartcolorstyle+xml"/>
  <Override PartName="/word/charts/chart83.xml" ContentType="application/vnd.openxmlformats-officedocument.drawingml.chart+xml"/>
  <Override PartName="/word/charts/style83.xml" ContentType="application/vnd.ms-office.chartstyle+xml"/>
  <Override PartName="/word/charts/colors83.xml" ContentType="application/vnd.ms-office.chartcolorstyle+xml"/>
  <Override PartName="/word/charts/chart84.xml" ContentType="application/vnd.openxmlformats-officedocument.drawingml.chart+xml"/>
  <Override PartName="/word/charts/style84.xml" ContentType="application/vnd.ms-office.chartstyle+xml"/>
  <Override PartName="/word/charts/colors84.xml" ContentType="application/vnd.ms-office.chartcolorstyle+xml"/>
  <Override PartName="/word/charts/chart85.xml" ContentType="application/vnd.openxmlformats-officedocument.drawingml.chart+xml"/>
  <Override PartName="/word/charts/style85.xml" ContentType="application/vnd.ms-office.chartstyle+xml"/>
  <Override PartName="/word/charts/colors85.xml" ContentType="application/vnd.ms-office.chartcolorstyle+xml"/>
  <Override PartName="/word/charts/chart86.xml" ContentType="application/vnd.openxmlformats-officedocument.drawingml.chart+xml"/>
  <Override PartName="/word/charts/style86.xml" ContentType="application/vnd.ms-office.chartstyle+xml"/>
  <Override PartName="/word/charts/colors86.xml" ContentType="application/vnd.ms-office.chartcolorstyle+xml"/>
  <Override PartName="/word/charts/chart87.xml" ContentType="application/vnd.openxmlformats-officedocument.drawingml.chart+xml"/>
  <Override PartName="/word/charts/style87.xml" ContentType="application/vnd.ms-office.chartstyle+xml"/>
  <Override PartName="/word/charts/colors87.xml" ContentType="application/vnd.ms-office.chartcolorstyle+xml"/>
  <Override PartName="/word/charts/chart88.xml" ContentType="application/vnd.openxmlformats-officedocument.drawingml.chart+xml"/>
  <Override PartName="/word/charts/style88.xml" ContentType="application/vnd.ms-office.chartstyle+xml"/>
  <Override PartName="/word/charts/colors88.xml" ContentType="application/vnd.ms-office.chartcolorstyle+xml"/>
  <Override PartName="/word/charts/chart89.xml" ContentType="application/vnd.openxmlformats-officedocument.drawingml.chart+xml"/>
  <Override PartName="/word/charts/style89.xml" ContentType="application/vnd.ms-office.chartstyle+xml"/>
  <Override PartName="/word/charts/colors89.xml" ContentType="application/vnd.ms-office.chartcolorstyle+xml"/>
  <Override PartName="/word/charts/chart90.xml" ContentType="application/vnd.openxmlformats-officedocument.drawingml.chart+xml"/>
  <Override PartName="/word/charts/style90.xml" ContentType="application/vnd.ms-office.chartstyle+xml"/>
  <Override PartName="/word/charts/colors90.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B1874" w:rsidRPr="00DC736D" w:rsidRDefault="00CF64CA" w:rsidP="00DC736D">
      <w:pPr>
        <w:jc w:val="center"/>
        <w:rPr>
          <w:rFonts w:ascii="Times New Roman" w:hAnsi="Times New Roman" w:cs="Times New Roman"/>
          <w:b/>
          <w:sz w:val="28"/>
          <w:szCs w:val="28"/>
        </w:rPr>
      </w:pPr>
      <w:r>
        <w:rPr>
          <w:rFonts w:ascii="Times New Roman" w:hAnsi="Times New Roman" w:cs="Times New Roman"/>
          <w:b/>
          <w:sz w:val="28"/>
          <w:szCs w:val="28"/>
        </w:rPr>
        <w:t xml:space="preserve">DIRECŢIA </w:t>
      </w:r>
      <w:r w:rsidR="00AB1874" w:rsidRPr="00DC736D">
        <w:rPr>
          <w:rFonts w:ascii="Times New Roman" w:hAnsi="Times New Roman" w:cs="Times New Roman"/>
          <w:b/>
          <w:sz w:val="28"/>
          <w:szCs w:val="28"/>
        </w:rPr>
        <w:t>CONTROL INTERN MANAGERIAL ŞI RELAŢII INTERINSTITUŢIONALE</w:t>
      </w:r>
    </w:p>
    <w:p w:rsidR="00AB1874" w:rsidRPr="00DC736D" w:rsidRDefault="00AB1874" w:rsidP="00DC736D">
      <w:pPr>
        <w:rPr>
          <w:rFonts w:ascii="Times New Roman" w:hAnsi="Times New Roman" w:cs="Times New Roman"/>
        </w:rPr>
      </w:pPr>
    </w:p>
    <w:p w:rsidR="00AB1874" w:rsidRPr="00DC736D" w:rsidRDefault="00AB1874" w:rsidP="00DC736D">
      <w:pPr>
        <w:rPr>
          <w:rFonts w:ascii="Times New Roman" w:hAnsi="Times New Roman" w:cs="Times New Roman"/>
        </w:rPr>
      </w:pPr>
    </w:p>
    <w:p w:rsidR="00976ED2" w:rsidRPr="00DC736D" w:rsidRDefault="00976ED2" w:rsidP="00DC736D">
      <w:pPr>
        <w:jc w:val="right"/>
        <w:rPr>
          <w:rFonts w:ascii="Times New Roman" w:hAnsi="Times New Roman" w:cs="Times New Roman"/>
          <w:b/>
          <w:sz w:val="24"/>
          <w:szCs w:val="24"/>
        </w:rPr>
      </w:pPr>
      <w:r w:rsidRPr="00DC736D">
        <w:rPr>
          <w:rFonts w:ascii="Times New Roman" w:hAnsi="Times New Roman" w:cs="Times New Roman"/>
          <w:b/>
          <w:sz w:val="24"/>
          <w:szCs w:val="24"/>
        </w:rPr>
        <w:t>Aprob,</w:t>
      </w:r>
    </w:p>
    <w:p w:rsidR="00976ED2" w:rsidRDefault="009F45E7" w:rsidP="00DC736D">
      <w:pPr>
        <w:jc w:val="right"/>
        <w:rPr>
          <w:rFonts w:ascii="Times New Roman" w:hAnsi="Times New Roman" w:cs="Times New Roman"/>
          <w:sz w:val="24"/>
          <w:szCs w:val="24"/>
        </w:rPr>
      </w:pPr>
      <w:r>
        <w:rPr>
          <w:rFonts w:ascii="Times New Roman" w:hAnsi="Times New Roman" w:cs="Times New Roman"/>
          <w:sz w:val="24"/>
          <w:szCs w:val="24"/>
        </w:rPr>
        <w:t>ORDONATOR PRINCIPAL DE CREDITE</w:t>
      </w:r>
    </w:p>
    <w:p w:rsidR="009F45E7" w:rsidRPr="00DC736D" w:rsidRDefault="009F45E7" w:rsidP="00DC736D">
      <w:pPr>
        <w:jc w:val="right"/>
        <w:rPr>
          <w:rFonts w:ascii="Times New Roman" w:hAnsi="Times New Roman" w:cs="Times New Roman"/>
          <w:sz w:val="24"/>
          <w:szCs w:val="24"/>
        </w:rPr>
      </w:pPr>
      <w:r>
        <w:rPr>
          <w:rFonts w:ascii="Times New Roman" w:hAnsi="Times New Roman" w:cs="Times New Roman"/>
          <w:sz w:val="24"/>
          <w:szCs w:val="24"/>
        </w:rPr>
        <w:t>Marin POPESCU</w:t>
      </w:r>
    </w:p>
    <w:p w:rsidR="00AB1874" w:rsidRPr="00DC736D" w:rsidRDefault="00976ED2" w:rsidP="00DC736D">
      <w:pPr>
        <w:rPr>
          <w:rFonts w:ascii="Times New Roman" w:hAnsi="Times New Roman" w:cs="Times New Roman"/>
          <w:color w:val="FF0000"/>
        </w:rPr>
      </w:pPr>
      <w:r w:rsidRPr="00DC736D">
        <w:rPr>
          <w:rFonts w:ascii="Times New Roman" w:hAnsi="Times New Roman" w:cs="Times New Roman"/>
          <w:color w:val="FF0000"/>
        </w:rPr>
        <w:t xml:space="preserve">                                             </w:t>
      </w:r>
    </w:p>
    <w:p w:rsidR="00AB1874" w:rsidRPr="00DC736D" w:rsidRDefault="00AB1874" w:rsidP="00DC736D">
      <w:pPr>
        <w:rPr>
          <w:rFonts w:ascii="Times New Roman" w:hAnsi="Times New Roman" w:cs="Times New Roman"/>
        </w:rPr>
      </w:pPr>
    </w:p>
    <w:p w:rsidR="00976ED2" w:rsidRPr="00DC736D" w:rsidRDefault="00976ED2" w:rsidP="00DC736D">
      <w:pPr>
        <w:rPr>
          <w:rFonts w:ascii="Times New Roman" w:hAnsi="Times New Roman" w:cs="Times New Roman"/>
          <w:b/>
          <w:sz w:val="24"/>
          <w:szCs w:val="24"/>
        </w:rPr>
      </w:pPr>
      <w:r w:rsidRPr="00DC736D">
        <w:rPr>
          <w:rFonts w:ascii="Times New Roman" w:hAnsi="Times New Roman" w:cs="Times New Roman"/>
          <w:b/>
          <w:sz w:val="24"/>
          <w:szCs w:val="24"/>
        </w:rPr>
        <w:t>Avizat,</w:t>
      </w:r>
    </w:p>
    <w:p w:rsidR="00976ED2" w:rsidRPr="00DC736D" w:rsidRDefault="0065233C" w:rsidP="00DC736D">
      <w:pPr>
        <w:rPr>
          <w:rFonts w:ascii="Times New Roman" w:hAnsi="Times New Roman" w:cs="Times New Roman"/>
          <w:sz w:val="24"/>
          <w:szCs w:val="24"/>
        </w:rPr>
      </w:pPr>
      <w:r>
        <w:rPr>
          <w:rFonts w:ascii="Times New Roman" w:hAnsi="Times New Roman" w:cs="Times New Roman"/>
          <w:sz w:val="24"/>
          <w:szCs w:val="24"/>
        </w:rPr>
        <w:t>DIRECTOR</w:t>
      </w:r>
    </w:p>
    <w:p w:rsidR="00D1611C" w:rsidRPr="00DC736D" w:rsidRDefault="00854780" w:rsidP="00DC736D">
      <w:pPr>
        <w:rPr>
          <w:rFonts w:ascii="Times New Roman" w:hAnsi="Times New Roman" w:cs="Times New Roman"/>
          <w:sz w:val="24"/>
          <w:szCs w:val="24"/>
        </w:rPr>
      </w:pPr>
      <w:r w:rsidRPr="00DC736D">
        <w:rPr>
          <w:rFonts w:ascii="Times New Roman" w:hAnsi="Times New Roman" w:cs="Times New Roman"/>
          <w:sz w:val="24"/>
          <w:szCs w:val="24"/>
        </w:rPr>
        <w:t>Maria Daniela GÂLCĂ</w:t>
      </w:r>
    </w:p>
    <w:p w:rsidR="00B66C05" w:rsidRPr="00DC736D" w:rsidRDefault="00B66C05" w:rsidP="00DC736D">
      <w:pPr>
        <w:rPr>
          <w:rFonts w:ascii="Times New Roman" w:hAnsi="Times New Roman" w:cs="Times New Roman"/>
        </w:rPr>
      </w:pPr>
    </w:p>
    <w:p w:rsidR="00AB1874" w:rsidRPr="00DC736D" w:rsidRDefault="00AB1874" w:rsidP="00DC736D">
      <w:pPr>
        <w:rPr>
          <w:rFonts w:ascii="Times New Roman" w:hAnsi="Times New Roman" w:cs="Times New Roman"/>
        </w:rPr>
      </w:pPr>
    </w:p>
    <w:p w:rsidR="00DC736D" w:rsidRDefault="00DC736D" w:rsidP="00DC736D">
      <w:pPr>
        <w:jc w:val="center"/>
        <w:rPr>
          <w:rFonts w:ascii="Times New Roman" w:hAnsi="Times New Roman" w:cs="Times New Roman"/>
          <w:b/>
          <w:i/>
          <w:color w:val="000000" w:themeColor="text1"/>
          <w:sz w:val="36"/>
          <w:szCs w:val="36"/>
        </w:rPr>
      </w:pPr>
    </w:p>
    <w:p w:rsidR="00B836CA" w:rsidRPr="00DC736D" w:rsidRDefault="00EE5893" w:rsidP="00DC736D">
      <w:pPr>
        <w:jc w:val="center"/>
        <w:rPr>
          <w:rFonts w:ascii="Times New Roman" w:hAnsi="Times New Roman" w:cs="Times New Roman"/>
          <w:i/>
          <w:sz w:val="36"/>
          <w:szCs w:val="36"/>
        </w:rPr>
      </w:pPr>
      <w:r w:rsidRPr="00DC736D">
        <w:rPr>
          <w:rFonts w:ascii="Times New Roman" w:hAnsi="Times New Roman" w:cs="Times New Roman"/>
          <w:b/>
          <w:i/>
          <w:color w:val="000000" w:themeColor="text1"/>
          <w:sz w:val="36"/>
          <w:szCs w:val="36"/>
        </w:rPr>
        <w:t>RA</w:t>
      </w:r>
      <w:r w:rsidR="00AB1874" w:rsidRPr="00DC736D">
        <w:rPr>
          <w:rFonts w:ascii="Times New Roman" w:hAnsi="Times New Roman" w:cs="Times New Roman"/>
          <w:b/>
          <w:i/>
          <w:color w:val="000000" w:themeColor="text1"/>
          <w:sz w:val="36"/>
          <w:szCs w:val="36"/>
        </w:rPr>
        <w:t>PORT</w:t>
      </w:r>
      <w:r w:rsidR="00DC736D" w:rsidRPr="00DC736D">
        <w:rPr>
          <w:rFonts w:ascii="Times New Roman" w:hAnsi="Times New Roman" w:cs="Times New Roman"/>
          <w:b/>
          <w:i/>
          <w:color w:val="000000" w:themeColor="text1"/>
          <w:sz w:val="36"/>
          <w:szCs w:val="36"/>
        </w:rPr>
        <w:t xml:space="preserve"> </w:t>
      </w:r>
      <w:r w:rsidR="00AB1874" w:rsidRPr="00DC736D">
        <w:rPr>
          <w:rFonts w:ascii="Times New Roman" w:hAnsi="Times New Roman" w:cs="Times New Roman"/>
          <w:b/>
          <w:i/>
          <w:color w:val="000000" w:themeColor="text1"/>
          <w:sz w:val="36"/>
          <w:szCs w:val="36"/>
        </w:rPr>
        <w:t xml:space="preserve">PRIVIND </w:t>
      </w:r>
      <w:r w:rsidR="00B66C05" w:rsidRPr="00DC736D">
        <w:rPr>
          <w:rFonts w:ascii="Times New Roman" w:hAnsi="Times New Roman" w:cs="Times New Roman"/>
          <w:b/>
          <w:i/>
          <w:color w:val="000000" w:themeColor="text1"/>
          <w:sz w:val="36"/>
          <w:szCs w:val="36"/>
        </w:rPr>
        <w:t>CONTROL</w:t>
      </w:r>
      <w:r w:rsidR="004E62D7" w:rsidRPr="00DC736D">
        <w:rPr>
          <w:rFonts w:ascii="Times New Roman" w:hAnsi="Times New Roman" w:cs="Times New Roman"/>
          <w:b/>
          <w:i/>
          <w:color w:val="000000" w:themeColor="text1"/>
          <w:sz w:val="36"/>
          <w:szCs w:val="36"/>
        </w:rPr>
        <w:t>UL</w:t>
      </w:r>
      <w:r w:rsidR="00AB1874" w:rsidRPr="00DC736D">
        <w:rPr>
          <w:rFonts w:ascii="Times New Roman" w:hAnsi="Times New Roman" w:cs="Times New Roman"/>
          <w:b/>
          <w:i/>
          <w:color w:val="000000" w:themeColor="text1"/>
          <w:sz w:val="36"/>
          <w:szCs w:val="36"/>
        </w:rPr>
        <w:t xml:space="preserve"> INTERN</w:t>
      </w:r>
      <w:r w:rsidR="00572C01" w:rsidRPr="00DC736D">
        <w:rPr>
          <w:rFonts w:ascii="Times New Roman" w:hAnsi="Times New Roman" w:cs="Times New Roman"/>
          <w:b/>
          <w:i/>
          <w:color w:val="000000" w:themeColor="text1"/>
          <w:sz w:val="36"/>
          <w:szCs w:val="36"/>
        </w:rPr>
        <w:t xml:space="preserve"> MANAGERIAL</w:t>
      </w:r>
      <w:r w:rsidR="00DC736D">
        <w:rPr>
          <w:rFonts w:ascii="Times New Roman" w:hAnsi="Times New Roman" w:cs="Times New Roman"/>
          <w:b/>
          <w:i/>
          <w:color w:val="000000" w:themeColor="text1"/>
          <w:sz w:val="36"/>
          <w:szCs w:val="36"/>
        </w:rPr>
        <w:t xml:space="preserve"> </w:t>
      </w:r>
      <w:r w:rsidR="00AB1874" w:rsidRPr="00DC736D">
        <w:rPr>
          <w:rFonts w:ascii="Times New Roman" w:hAnsi="Times New Roman" w:cs="Times New Roman"/>
          <w:b/>
          <w:i/>
          <w:color w:val="000000" w:themeColor="text1"/>
          <w:sz w:val="36"/>
          <w:szCs w:val="36"/>
        </w:rPr>
        <w:t>PE ANUL 201</w:t>
      </w:r>
      <w:r w:rsidR="00EE7F28" w:rsidRPr="00DC736D">
        <w:rPr>
          <w:rFonts w:ascii="Times New Roman" w:hAnsi="Times New Roman" w:cs="Times New Roman"/>
          <w:b/>
          <w:i/>
          <w:color w:val="000000" w:themeColor="text1"/>
          <w:sz w:val="36"/>
          <w:szCs w:val="36"/>
        </w:rPr>
        <w:t>6</w:t>
      </w:r>
    </w:p>
    <w:p w:rsidR="008E1AC6" w:rsidRPr="00DC736D" w:rsidRDefault="008E1AC6" w:rsidP="00DC736D">
      <w:pPr>
        <w:rPr>
          <w:rFonts w:ascii="Times New Roman" w:hAnsi="Times New Roman" w:cs="Times New Roman"/>
          <w:sz w:val="36"/>
          <w:szCs w:val="36"/>
        </w:rPr>
      </w:pPr>
    </w:p>
    <w:p w:rsidR="00D53789" w:rsidRPr="00DC736D" w:rsidRDefault="00EE5893" w:rsidP="00DC736D">
      <w:pPr>
        <w:rPr>
          <w:rFonts w:ascii="Times New Roman" w:hAnsi="Times New Roman" w:cs="Times New Roman"/>
          <w:sz w:val="36"/>
          <w:szCs w:val="36"/>
        </w:rPr>
      </w:pPr>
      <w:r w:rsidRPr="00DC736D">
        <w:rPr>
          <w:rFonts w:ascii="Times New Roman" w:hAnsi="Times New Roman" w:cs="Times New Roman"/>
          <w:sz w:val="36"/>
          <w:szCs w:val="36"/>
        </w:rPr>
        <w:tab/>
      </w:r>
    </w:p>
    <w:p w:rsidR="00D53789" w:rsidRPr="00DC736D" w:rsidRDefault="00D53789" w:rsidP="00DC736D">
      <w:pPr>
        <w:rPr>
          <w:rFonts w:ascii="Times New Roman" w:hAnsi="Times New Roman" w:cs="Times New Roman"/>
          <w:sz w:val="36"/>
          <w:szCs w:val="36"/>
        </w:rPr>
      </w:pPr>
    </w:p>
    <w:p w:rsidR="00DC736D" w:rsidRDefault="00DC736D" w:rsidP="00DC736D">
      <w:pPr>
        <w:jc w:val="center"/>
        <w:rPr>
          <w:rFonts w:ascii="Times New Roman" w:hAnsi="Times New Roman" w:cs="Times New Roman"/>
          <w:b/>
          <w:color w:val="000000" w:themeColor="text1"/>
          <w:sz w:val="24"/>
          <w:szCs w:val="24"/>
        </w:rPr>
      </w:pPr>
    </w:p>
    <w:p w:rsidR="00DC736D" w:rsidRDefault="00DC736D" w:rsidP="00DC736D">
      <w:pPr>
        <w:jc w:val="center"/>
        <w:rPr>
          <w:rFonts w:ascii="Times New Roman" w:hAnsi="Times New Roman" w:cs="Times New Roman"/>
          <w:b/>
          <w:color w:val="000000" w:themeColor="text1"/>
          <w:sz w:val="24"/>
          <w:szCs w:val="24"/>
        </w:rPr>
      </w:pPr>
    </w:p>
    <w:p w:rsidR="00B836CA" w:rsidRPr="00DC736D" w:rsidRDefault="000B6EA6" w:rsidP="00DC736D">
      <w:pPr>
        <w:jc w:val="center"/>
        <w:rPr>
          <w:rFonts w:ascii="Times New Roman" w:hAnsi="Times New Roman" w:cs="Times New Roman"/>
          <w:b/>
          <w:color w:val="000000" w:themeColor="text1"/>
          <w:sz w:val="28"/>
          <w:szCs w:val="28"/>
        </w:rPr>
      </w:pPr>
      <w:r w:rsidRPr="00DC736D">
        <w:rPr>
          <w:rFonts w:ascii="Times New Roman" w:hAnsi="Times New Roman" w:cs="Times New Roman"/>
          <w:b/>
          <w:color w:val="000000" w:themeColor="text1"/>
          <w:sz w:val="28"/>
          <w:szCs w:val="28"/>
        </w:rPr>
        <w:t>București</w:t>
      </w:r>
    </w:p>
    <w:p w:rsidR="008E1AC6" w:rsidRPr="00DC736D" w:rsidRDefault="000B6EA6" w:rsidP="00DC736D">
      <w:pPr>
        <w:jc w:val="center"/>
        <w:rPr>
          <w:rFonts w:ascii="Times New Roman" w:hAnsi="Times New Roman" w:cs="Times New Roman"/>
          <w:b/>
          <w:color w:val="000000" w:themeColor="text1"/>
          <w:sz w:val="28"/>
          <w:szCs w:val="28"/>
        </w:rPr>
      </w:pPr>
      <w:r w:rsidRPr="00DC736D">
        <w:rPr>
          <w:rFonts w:ascii="Times New Roman" w:hAnsi="Times New Roman" w:cs="Times New Roman"/>
          <w:b/>
          <w:color w:val="000000" w:themeColor="text1"/>
          <w:sz w:val="28"/>
          <w:szCs w:val="28"/>
        </w:rPr>
        <w:t>201</w:t>
      </w:r>
      <w:r w:rsidR="00E437B5" w:rsidRPr="00DC736D">
        <w:rPr>
          <w:rFonts w:ascii="Times New Roman" w:hAnsi="Times New Roman" w:cs="Times New Roman"/>
          <w:b/>
          <w:color w:val="000000" w:themeColor="text1"/>
          <w:sz w:val="28"/>
          <w:szCs w:val="28"/>
        </w:rPr>
        <w:t>7</w:t>
      </w:r>
    </w:p>
    <w:p w:rsidR="00D53789" w:rsidRDefault="00D53789" w:rsidP="00602BDC">
      <w:pPr>
        <w:spacing w:line="276" w:lineRule="auto"/>
        <w:jc w:val="center"/>
        <w:rPr>
          <w:rFonts w:ascii="Times New Roman" w:hAnsi="Times New Roman" w:cs="Times New Roman"/>
          <w:b/>
          <w:i/>
          <w:sz w:val="28"/>
          <w:szCs w:val="28"/>
        </w:rPr>
      </w:pPr>
    </w:p>
    <w:p w:rsidR="00C27DE4" w:rsidRDefault="00C27DE4">
      <w:pPr>
        <w:rPr>
          <w:rFonts w:ascii="Times New Roman" w:hAnsi="Times New Roman" w:cs="Times New Roman"/>
          <w:b/>
          <w:i/>
          <w:sz w:val="28"/>
          <w:szCs w:val="28"/>
        </w:rPr>
      </w:pPr>
      <w:r>
        <w:rPr>
          <w:rFonts w:ascii="Times New Roman" w:hAnsi="Times New Roman" w:cs="Times New Roman"/>
          <w:b/>
          <w:i/>
          <w:sz w:val="28"/>
          <w:szCs w:val="28"/>
        </w:rPr>
        <w:br w:type="page"/>
      </w:r>
    </w:p>
    <w:p w:rsidR="00B836CA" w:rsidRPr="00CF64CA" w:rsidRDefault="00B836CA" w:rsidP="00EE5893">
      <w:pPr>
        <w:spacing w:line="276" w:lineRule="auto"/>
        <w:rPr>
          <w:rFonts w:ascii="Times New Roman" w:hAnsi="Times New Roman" w:cs="Times New Roman"/>
          <w:b/>
          <w:i/>
          <w:sz w:val="24"/>
          <w:szCs w:val="24"/>
        </w:rPr>
      </w:pPr>
      <w:r w:rsidRPr="00CF64CA">
        <w:rPr>
          <w:rFonts w:ascii="Times New Roman" w:hAnsi="Times New Roman" w:cs="Times New Roman"/>
          <w:b/>
          <w:i/>
          <w:sz w:val="24"/>
          <w:szCs w:val="24"/>
        </w:rPr>
        <w:t>CUPRINS</w:t>
      </w:r>
    </w:p>
    <w:bookmarkStart w:id="0" w:name="_Toc485907429" w:displacedByCustomXml="next"/>
    <w:sdt>
      <w:sdtPr>
        <w:rPr>
          <w:rFonts w:asciiTheme="minorHAnsi" w:eastAsiaTheme="minorHAnsi" w:hAnsiTheme="minorHAnsi" w:cstheme="minorBidi"/>
          <w:color w:val="auto"/>
          <w:sz w:val="22"/>
          <w:szCs w:val="22"/>
          <w:lang w:val="ro-RO"/>
        </w:rPr>
        <w:id w:val="1731810459"/>
        <w:docPartObj>
          <w:docPartGallery w:val="Table of Contents"/>
          <w:docPartUnique/>
        </w:docPartObj>
      </w:sdtPr>
      <w:sdtEndPr>
        <w:rPr>
          <w:rFonts w:ascii="Times New Roman" w:hAnsi="Times New Roman" w:cs="Times New Roman"/>
          <w:b/>
          <w:bCs/>
          <w:noProof/>
          <w:sz w:val="24"/>
          <w:szCs w:val="24"/>
        </w:rPr>
      </w:sdtEndPr>
      <w:sdtContent>
        <w:p w:rsidR="00A443F2" w:rsidRDefault="00A443F2">
          <w:pPr>
            <w:pStyle w:val="TOCHeading"/>
          </w:pPr>
        </w:p>
        <w:p w:rsidR="008E6133" w:rsidRPr="00200783" w:rsidRDefault="00A443F2" w:rsidP="00200783">
          <w:pPr>
            <w:pStyle w:val="TOC1"/>
            <w:spacing w:line="360" w:lineRule="auto"/>
            <w:rPr>
              <w:rFonts w:eastAsiaTheme="minorEastAsia"/>
              <w:noProof/>
              <w:sz w:val="24"/>
              <w:szCs w:val="24"/>
              <w:lang w:eastAsia="ro-RO"/>
            </w:rPr>
          </w:pPr>
          <w:r w:rsidRPr="00A443F2">
            <w:rPr>
              <w:rFonts w:ascii="Times New Roman" w:hAnsi="Times New Roman" w:cs="Times New Roman"/>
              <w:sz w:val="24"/>
              <w:szCs w:val="24"/>
            </w:rPr>
            <w:fldChar w:fldCharType="begin"/>
          </w:r>
          <w:r w:rsidRPr="00A443F2">
            <w:rPr>
              <w:rFonts w:ascii="Times New Roman" w:hAnsi="Times New Roman" w:cs="Times New Roman"/>
              <w:sz w:val="24"/>
              <w:szCs w:val="24"/>
            </w:rPr>
            <w:instrText xml:space="preserve"> TOC \o "1-3" \h \z \u </w:instrText>
          </w:r>
          <w:r w:rsidRPr="00A443F2">
            <w:rPr>
              <w:rFonts w:ascii="Times New Roman" w:hAnsi="Times New Roman" w:cs="Times New Roman"/>
              <w:sz w:val="24"/>
              <w:szCs w:val="24"/>
            </w:rPr>
            <w:fldChar w:fldCharType="separate"/>
          </w:r>
          <w:hyperlink w:anchor="_Toc485992667" w:history="1">
            <w:r w:rsidR="008E6133" w:rsidRPr="00200783">
              <w:rPr>
                <w:rStyle w:val="Hyperlink"/>
                <w:rFonts w:cs="Times New Roman"/>
                <w:b/>
                <w:noProof/>
                <w:sz w:val="24"/>
                <w:szCs w:val="24"/>
              </w:rPr>
              <w:t>INTRODUCERE</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_Toc485992667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4</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68" w:history="1">
            <w:r w:rsidR="007E7FC1">
              <w:rPr>
                <w:rStyle w:val="Hyperlink"/>
                <w:rFonts w:cs="Times New Roman"/>
                <w:b/>
                <w:noProof/>
                <w:sz w:val="24"/>
                <w:szCs w:val="24"/>
              </w:rPr>
              <w:t>CAP.1</w:t>
            </w:r>
            <w:r w:rsidR="008E6133" w:rsidRPr="00200783">
              <w:rPr>
                <w:rStyle w:val="Hyperlink"/>
                <w:rFonts w:cs="Times New Roman"/>
                <w:b/>
                <w:noProof/>
                <w:sz w:val="24"/>
                <w:szCs w:val="24"/>
              </w:rPr>
              <w:t xml:space="preserve"> </w:t>
            </w:r>
            <w:r w:rsidR="007E7FC1">
              <w:rPr>
                <w:rStyle w:val="Hyperlink"/>
                <w:rFonts w:cs="Times New Roman"/>
                <w:b/>
                <w:noProof/>
                <w:sz w:val="24"/>
                <w:szCs w:val="24"/>
              </w:rPr>
              <w:t xml:space="preserve"> </w:t>
            </w:r>
            <w:r w:rsidR="008E6133" w:rsidRPr="00200783">
              <w:rPr>
                <w:rStyle w:val="Hyperlink"/>
                <w:rFonts w:cs="Times New Roman"/>
                <w:b/>
                <w:noProof/>
                <w:sz w:val="24"/>
                <w:szCs w:val="24"/>
              </w:rPr>
              <w:t>CADRUL GENERAL ÎN DOMENIUL CONTROLULUI  INTERN MANAGERIAL</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_Toc485992668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5</w:t>
            </w:r>
            <w:r w:rsidR="008E6133" w:rsidRPr="00200783">
              <w:rPr>
                <w:noProof/>
                <w:webHidden/>
                <w:sz w:val="24"/>
                <w:szCs w:val="24"/>
              </w:rPr>
              <w:fldChar w:fldCharType="end"/>
            </w:r>
          </w:hyperlink>
        </w:p>
        <w:p w:rsidR="008E6133" w:rsidRPr="00200783" w:rsidRDefault="009C6F07" w:rsidP="00200783">
          <w:pPr>
            <w:pStyle w:val="TOC1"/>
            <w:tabs>
              <w:tab w:val="left" w:pos="660"/>
            </w:tabs>
            <w:spacing w:line="360" w:lineRule="auto"/>
            <w:rPr>
              <w:rFonts w:eastAsiaTheme="minorEastAsia"/>
              <w:noProof/>
              <w:sz w:val="24"/>
              <w:szCs w:val="24"/>
              <w:lang w:eastAsia="ro-RO"/>
            </w:rPr>
          </w:pPr>
          <w:hyperlink w:anchor="_Toc485992669" w:history="1">
            <w:r w:rsidR="008E6133" w:rsidRPr="00200783">
              <w:rPr>
                <w:rStyle w:val="Hyperlink"/>
                <w:noProof/>
                <w:sz w:val="24"/>
                <w:szCs w:val="24"/>
              </w:rPr>
              <w:t>1.1.</w:t>
            </w:r>
            <w:r w:rsidR="008E6133" w:rsidRPr="00200783">
              <w:rPr>
                <w:rFonts w:eastAsiaTheme="minorEastAsia"/>
                <w:noProof/>
                <w:sz w:val="24"/>
                <w:szCs w:val="24"/>
                <w:lang w:eastAsia="ro-RO"/>
              </w:rPr>
              <w:tab/>
            </w:r>
            <w:r w:rsidR="008E6133" w:rsidRPr="00200783">
              <w:rPr>
                <w:rStyle w:val="Hyperlink"/>
                <w:noProof/>
                <w:sz w:val="24"/>
                <w:szCs w:val="24"/>
              </w:rPr>
              <w:t>Cadrul legislativ și organizatoric în domeniul SCIM</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_Toc485992669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5</w:t>
            </w:r>
            <w:r w:rsidR="008E6133" w:rsidRPr="00200783">
              <w:rPr>
                <w:noProof/>
                <w:webHidden/>
                <w:sz w:val="24"/>
                <w:szCs w:val="24"/>
              </w:rPr>
              <w:fldChar w:fldCharType="end"/>
            </w:r>
          </w:hyperlink>
        </w:p>
        <w:p w:rsidR="008E6133" w:rsidRPr="00200783" w:rsidRDefault="009C6F07" w:rsidP="00200783">
          <w:pPr>
            <w:pStyle w:val="TOC1"/>
            <w:tabs>
              <w:tab w:val="left" w:pos="660"/>
            </w:tabs>
            <w:spacing w:line="360" w:lineRule="auto"/>
            <w:rPr>
              <w:rFonts w:eastAsiaTheme="minorEastAsia"/>
              <w:noProof/>
              <w:sz w:val="24"/>
              <w:szCs w:val="24"/>
              <w:lang w:eastAsia="ro-RO"/>
            </w:rPr>
          </w:pPr>
          <w:hyperlink w:anchor="_Toc485992670" w:history="1">
            <w:r w:rsidR="008E6133" w:rsidRPr="00200783">
              <w:rPr>
                <w:rStyle w:val="Hyperlink"/>
                <w:noProof/>
                <w:sz w:val="24"/>
                <w:szCs w:val="24"/>
              </w:rPr>
              <w:t>1.2.</w:t>
            </w:r>
            <w:r w:rsidR="008E6133" w:rsidRPr="00200783">
              <w:rPr>
                <w:rFonts w:eastAsiaTheme="minorEastAsia"/>
                <w:noProof/>
                <w:sz w:val="24"/>
                <w:szCs w:val="24"/>
                <w:lang w:eastAsia="ro-RO"/>
              </w:rPr>
              <w:tab/>
            </w:r>
            <w:r w:rsidR="008E6133" w:rsidRPr="00200783">
              <w:rPr>
                <w:rStyle w:val="Hyperlink"/>
                <w:noProof/>
                <w:sz w:val="24"/>
                <w:szCs w:val="24"/>
              </w:rPr>
              <w:t>Obiectivele generale și specifice ale DCIMRI</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_Toc485992670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8</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71" w:history="1">
            <w:r w:rsidR="008E6133" w:rsidRPr="00200783">
              <w:rPr>
                <w:rStyle w:val="Hyperlink"/>
                <w:b/>
                <w:noProof/>
                <w:sz w:val="24"/>
                <w:szCs w:val="24"/>
              </w:rPr>
              <w:t>C</w:t>
            </w:r>
            <w:r w:rsidR="007E7FC1">
              <w:rPr>
                <w:rStyle w:val="Hyperlink"/>
                <w:b/>
                <w:noProof/>
                <w:sz w:val="24"/>
                <w:szCs w:val="24"/>
              </w:rPr>
              <w:t>ap.2</w:t>
            </w:r>
            <w:r w:rsidR="008E6133" w:rsidRPr="00200783">
              <w:rPr>
                <w:rStyle w:val="Hyperlink"/>
                <w:b/>
                <w:noProof/>
                <w:sz w:val="24"/>
                <w:szCs w:val="24"/>
              </w:rPr>
              <w:t xml:space="preserve"> </w:t>
            </w:r>
            <w:r w:rsidR="007E7FC1">
              <w:rPr>
                <w:rStyle w:val="Hyperlink"/>
                <w:b/>
                <w:noProof/>
                <w:sz w:val="24"/>
                <w:szCs w:val="24"/>
              </w:rPr>
              <w:t xml:space="preserve"> </w:t>
            </w:r>
            <w:r w:rsidR="008E6133" w:rsidRPr="00200783">
              <w:rPr>
                <w:rStyle w:val="Hyperlink"/>
                <w:b/>
                <w:noProof/>
                <w:sz w:val="24"/>
                <w:szCs w:val="24"/>
              </w:rPr>
              <w:t xml:space="preserve">STADIUL IMPLEMENTĂRII ŞI DEZVOLTĂRII  SISTEMULUI DE CONTROL INTERN MANAGERIAL </w:t>
            </w:r>
            <w:r w:rsidR="008E6133" w:rsidRPr="00200783">
              <w:rPr>
                <w:rStyle w:val="Hyperlink"/>
                <w:rFonts w:cs="Times New Roman"/>
                <w:b/>
                <w:noProof/>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ENTITĂŢILE PUBLICE</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_Toc485992671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9</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72" w:history="1">
            <w:r w:rsidR="008E6133" w:rsidRPr="00200783">
              <w:rPr>
                <w:rStyle w:val="Hyperlink"/>
                <w:noProof/>
                <w:sz w:val="24"/>
                <w:szCs w:val="24"/>
              </w:rPr>
              <w:t>2.1. Analiza stadiului implementării sistemului de control intern managerial de la nivelul entităţilor publice centrale</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_Toc485992672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9</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73" w:history="1">
            <w:r w:rsidR="008E6133" w:rsidRPr="00200783">
              <w:rPr>
                <w:rStyle w:val="Hyperlink"/>
                <w:noProof/>
                <w:sz w:val="24"/>
                <w:szCs w:val="24"/>
              </w:rPr>
              <w:t>2.1.1. Implementarea standardelor de control intern managerial la nivelul ordonatorilor  principali de credite-aparat propriu</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_Toc485992673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14</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74" w:history="1">
            <w:r w:rsidR="008E6133" w:rsidRPr="00200783">
              <w:rPr>
                <w:rStyle w:val="Hyperlink"/>
                <w:noProof/>
                <w:sz w:val="24"/>
                <w:szCs w:val="24"/>
              </w:rPr>
              <w:t>2.1.2. Implementarea standardelor de control intern managerial la entităţile publice aflate în subordonarea sau coordonarea ordonatorilor principali de credite</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_Toc485992674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52</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75" w:history="1">
            <w:r w:rsidR="008E6133" w:rsidRPr="00200783">
              <w:rPr>
                <w:rStyle w:val="Hyperlink"/>
                <w:noProof/>
                <w:sz w:val="24"/>
                <w:szCs w:val="24"/>
              </w:rPr>
              <w:t>2.1.3. Concluziile privind stadiul implementării standardelor de control intern managerial la nivelul entităţilor publice centrale</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_Toc485992675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61</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76" w:history="1">
            <w:r w:rsidR="008E6133" w:rsidRPr="00200783">
              <w:rPr>
                <w:rStyle w:val="Hyperlink"/>
                <w:noProof/>
                <w:sz w:val="24"/>
                <w:szCs w:val="24"/>
              </w:rPr>
              <w:t>2.2. Analiza activității de raportare asupra SCIM la 31 decembrie 2016 ale conducătorilor instituțiilor publice centrale</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_Toc485992676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73</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77" w:history="1">
            <w:r w:rsidR="008E6133" w:rsidRPr="00200783">
              <w:rPr>
                <w:rStyle w:val="Hyperlink"/>
                <w:b/>
                <w:noProof/>
                <w:sz w:val="24"/>
                <w:szCs w:val="24"/>
              </w:rPr>
              <w:t>CAP.3 ANALIZA ACTIVITĂȚII DE VERIFICARE ȘI ÎNDRUMARE METODOLOGICĂ A STADIULUI IMPLEMENTĂRII ŞI   DEZVOLTĂRII SISTEMULUI DE CONTROL INTERN MANAGERIAL LA ENTITĂŢILE PUBLICE</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_Toc485992677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89</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78" w:history="1">
            <w:r w:rsidR="008E6133" w:rsidRPr="00200783">
              <w:rPr>
                <w:rStyle w:val="Hyperlink"/>
                <w:noProof/>
                <w:sz w:val="24"/>
                <w:szCs w:val="24"/>
              </w:rPr>
              <w:t>3.1. Evaluarea activității de verificare și îndrumare metodologică a SCIM și gradul de îndeplinire al Planului de activitate anual al DCIMRI</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_Toc485992678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89</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79" w:history="1">
            <w:r w:rsidR="008E6133" w:rsidRPr="00200783">
              <w:rPr>
                <w:rStyle w:val="Hyperlink"/>
                <w:noProof/>
                <w:sz w:val="24"/>
                <w:szCs w:val="24"/>
              </w:rPr>
              <w:t>3.2. Analiza perfecționării pregătirii profesionale în domeniul SCIM la entităţile publice centrale</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_Toc485992679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93</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80" w:history="1">
            <w:r w:rsidR="008E6133" w:rsidRPr="00200783">
              <w:rPr>
                <w:rStyle w:val="Hyperlink"/>
                <w:noProof/>
                <w:sz w:val="24"/>
                <w:szCs w:val="24"/>
              </w:rPr>
              <w:t>3.3. Analiza activității de implementării a recomandărilor formulate de către DCIMRI în baza misiunilor de verificare</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_Toc485992680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93</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81" w:history="1">
            <w:r w:rsidR="008E6133" w:rsidRPr="00200783">
              <w:rPr>
                <w:rStyle w:val="Hyperlink"/>
                <w:b/>
                <w:noProof/>
                <w:sz w:val="24"/>
                <w:szCs w:val="24"/>
              </w:rPr>
              <w:t>CAP.4  CONCLUZII ȘI PROPUNERI DE MĂSURI PENTRU DEZVOLTAREA SISTEMELOR DE CONTROL INTERN MANAGERIAL ÎN CADRUL ENTITĂŢILE PUBLICE CENTRALE</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_Toc485992681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95</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82" w:history="1">
            <w:r w:rsidR="008E6133" w:rsidRPr="00200783">
              <w:rPr>
                <w:rStyle w:val="Hyperlink"/>
                <w:rFonts w:eastAsia="Times New Roman"/>
                <w:noProof/>
                <w:sz w:val="24"/>
                <w:szCs w:val="24"/>
                <w:lang w:eastAsia="sk-SK"/>
              </w:rPr>
              <w:t xml:space="preserve">4.1. Situația centralizatoare </w:t>
            </w:r>
            <w:r w:rsidR="008E6133" w:rsidRPr="00200783">
              <w:rPr>
                <w:rStyle w:val="Hyperlink"/>
                <w:noProof/>
                <w:sz w:val="24"/>
                <w:szCs w:val="24"/>
              </w:rPr>
              <w:t>privind stadiul implementării și dezvoltării SCIM la data de 31 decembrie 2016,</w:t>
            </w:r>
            <w:r w:rsidR="008E6133" w:rsidRPr="00200783">
              <w:rPr>
                <w:rStyle w:val="Hyperlink"/>
                <w:rFonts w:eastAsia="Times New Roman"/>
                <w:noProof/>
                <w:sz w:val="24"/>
                <w:szCs w:val="24"/>
                <w:lang w:eastAsia="sk-SK"/>
              </w:rPr>
              <w:t xml:space="preserve"> Anexa 3, Cap. I – Informații generale</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_Toc485992682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95</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83" w:history="1">
            <w:r w:rsidR="008E6133" w:rsidRPr="00200783">
              <w:rPr>
                <w:rStyle w:val="Hyperlink"/>
                <w:rFonts w:eastAsia="Times New Roman"/>
                <w:noProof/>
                <w:sz w:val="24"/>
                <w:szCs w:val="24"/>
                <w:lang w:eastAsia="sk-SK"/>
              </w:rPr>
              <w:t xml:space="preserve">4.2. Situația centralizatoare </w:t>
            </w:r>
            <w:r w:rsidR="008E6133" w:rsidRPr="00200783">
              <w:rPr>
                <w:rStyle w:val="Hyperlink"/>
                <w:noProof/>
                <w:sz w:val="24"/>
                <w:szCs w:val="24"/>
              </w:rPr>
              <w:t>privind stadiul implementării și dezvoltării SCIM la data de 31 decembrie 2015,</w:t>
            </w:r>
            <w:r w:rsidR="008E6133" w:rsidRPr="00200783">
              <w:rPr>
                <w:rStyle w:val="Hyperlink"/>
                <w:rFonts w:eastAsia="Times New Roman"/>
                <w:noProof/>
                <w:sz w:val="24"/>
                <w:szCs w:val="24"/>
                <w:lang w:eastAsia="sk-SK"/>
              </w:rPr>
              <w:t xml:space="preserve"> Anexa 3 Cap. II - Stadiul implementării standardelor de control intern managerial, conform rezultatelor autoevaluării</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_Toc485992683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96</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84" w:history="1">
            <w:r w:rsidR="008E6133" w:rsidRPr="00200783">
              <w:rPr>
                <w:rStyle w:val="Hyperlink"/>
                <w:noProof/>
                <w:sz w:val="24"/>
                <w:szCs w:val="24"/>
              </w:rPr>
              <w:t>4.3. Raport asupra SCIM la data de 31 decembrie 2016 - Anexa 4.3</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_Toc485992684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97</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85" w:history="1">
            <w:r w:rsidR="008E6133" w:rsidRPr="00200783">
              <w:rPr>
                <w:rStyle w:val="Hyperlink"/>
                <w:noProof/>
                <w:sz w:val="24"/>
                <w:szCs w:val="24"/>
              </w:rPr>
              <w:t>4.4. Propuneri pentru dezvoltarea procesului de implementare a sistemului de control intern managerial</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_Toc485992685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99</w:t>
            </w:r>
            <w:r w:rsidR="008E6133" w:rsidRPr="00200783">
              <w:rPr>
                <w:noProof/>
                <w:webHidden/>
                <w:sz w:val="24"/>
                <w:szCs w:val="24"/>
              </w:rPr>
              <w:fldChar w:fldCharType="end"/>
            </w:r>
          </w:hyperlink>
        </w:p>
        <w:p w:rsidR="008E6133" w:rsidRPr="00200783" w:rsidRDefault="009C6F07" w:rsidP="00200783">
          <w:pPr>
            <w:pStyle w:val="TOC1"/>
            <w:spacing w:line="360" w:lineRule="auto"/>
            <w:rPr>
              <w:rFonts w:eastAsiaTheme="minorEastAsia"/>
              <w:noProof/>
              <w:sz w:val="24"/>
              <w:szCs w:val="24"/>
              <w:lang w:eastAsia="ro-RO"/>
            </w:rPr>
          </w:pPr>
          <w:hyperlink w:anchor="_Toc485992686" w:history="1">
            <w:r w:rsidR="008E6133" w:rsidRPr="00200783">
              <w:rPr>
                <w:rStyle w:val="Hyperlink"/>
                <w:rFonts w:eastAsia="Times New Roman"/>
                <w:noProof/>
                <w:sz w:val="24"/>
                <w:szCs w:val="24"/>
                <w:lang w:eastAsia="ro-RO"/>
              </w:rPr>
              <w:t>4.5. Concluzii</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_Toc485992686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100</w:t>
            </w:r>
            <w:r w:rsidR="008E6133" w:rsidRPr="00200783">
              <w:rPr>
                <w:noProof/>
                <w:webHidden/>
                <w:sz w:val="24"/>
                <w:szCs w:val="24"/>
              </w:rPr>
              <w:fldChar w:fldCharType="end"/>
            </w:r>
          </w:hyperlink>
        </w:p>
        <w:p w:rsidR="008E6133" w:rsidRDefault="009C6F07" w:rsidP="00200783">
          <w:pPr>
            <w:pStyle w:val="TOC1"/>
            <w:spacing w:line="360" w:lineRule="auto"/>
            <w:rPr>
              <w:rFonts w:eastAsiaTheme="minorEastAsia"/>
              <w:noProof/>
              <w:lang w:eastAsia="ro-RO"/>
            </w:rPr>
          </w:pPr>
          <w:hyperlink w:anchor="_Toc485992687" w:history="1">
            <w:r w:rsidR="008E6133" w:rsidRPr="00200783">
              <w:rPr>
                <w:rStyle w:val="Hyperlink"/>
                <w:rFonts w:eastAsia="Times New Roman"/>
                <w:noProof/>
                <w:sz w:val="24"/>
                <w:szCs w:val="24"/>
                <w:lang w:eastAsia="ro-RO"/>
              </w:rPr>
              <w:t>4.6. Propuneri pentru dezvoltarea sistemului de control intern managerial</w:t>
            </w:r>
            <w:r w:rsidR="008E6133" w:rsidRPr="00200783">
              <w:rPr>
                <w:noProof/>
                <w:webHidden/>
                <w:sz w:val="24"/>
                <w:szCs w:val="24"/>
              </w:rPr>
              <w:tab/>
            </w:r>
            <w:r w:rsidR="008E6133" w:rsidRPr="00200783">
              <w:rPr>
                <w:noProof/>
                <w:webHidden/>
                <w:sz w:val="24"/>
                <w:szCs w:val="24"/>
              </w:rPr>
              <w:fldChar w:fldCharType="begin"/>
            </w:r>
            <w:r w:rsidR="008E6133" w:rsidRPr="00200783">
              <w:rPr>
                <w:noProof/>
                <w:webHidden/>
                <w:sz w:val="24"/>
                <w:szCs w:val="24"/>
              </w:rPr>
              <w:instrText xml:space="preserve"> PAGEREF _Toc485992687 \h </w:instrText>
            </w:r>
            <w:r w:rsidR="008E6133" w:rsidRPr="00200783">
              <w:rPr>
                <w:noProof/>
                <w:webHidden/>
                <w:sz w:val="24"/>
                <w:szCs w:val="24"/>
              </w:rPr>
            </w:r>
            <w:r w:rsidR="008E6133" w:rsidRPr="00200783">
              <w:rPr>
                <w:noProof/>
                <w:webHidden/>
                <w:sz w:val="24"/>
                <w:szCs w:val="24"/>
              </w:rPr>
              <w:fldChar w:fldCharType="separate"/>
            </w:r>
            <w:r w:rsidR="00F41E40">
              <w:rPr>
                <w:noProof/>
                <w:webHidden/>
                <w:sz w:val="24"/>
                <w:szCs w:val="24"/>
              </w:rPr>
              <w:t>100</w:t>
            </w:r>
            <w:r w:rsidR="008E6133" w:rsidRPr="00200783">
              <w:rPr>
                <w:noProof/>
                <w:webHidden/>
                <w:sz w:val="24"/>
                <w:szCs w:val="24"/>
              </w:rPr>
              <w:fldChar w:fldCharType="end"/>
            </w:r>
          </w:hyperlink>
        </w:p>
        <w:p w:rsidR="00A443F2" w:rsidRPr="00A443F2" w:rsidRDefault="00A443F2" w:rsidP="00A443F2">
          <w:pPr>
            <w:tabs>
              <w:tab w:val="right" w:leader="dot" w:pos="9639"/>
            </w:tabs>
            <w:rPr>
              <w:rFonts w:ascii="Times New Roman" w:hAnsi="Times New Roman" w:cs="Times New Roman"/>
              <w:sz w:val="24"/>
              <w:szCs w:val="24"/>
            </w:rPr>
          </w:pPr>
          <w:r w:rsidRPr="00A443F2">
            <w:rPr>
              <w:rFonts w:ascii="Times New Roman" w:hAnsi="Times New Roman" w:cs="Times New Roman"/>
              <w:b/>
              <w:bCs/>
              <w:noProof/>
              <w:sz w:val="24"/>
              <w:szCs w:val="24"/>
            </w:rPr>
            <w:fldChar w:fldCharType="end"/>
          </w:r>
        </w:p>
      </w:sdtContent>
    </w:sdt>
    <w:p w:rsidR="004F13E2" w:rsidRPr="00A443F2" w:rsidRDefault="004F13E2" w:rsidP="00A443F2">
      <w:pPr>
        <w:tabs>
          <w:tab w:val="right" w:leader="dot" w:pos="9639"/>
        </w:tabs>
        <w:rPr>
          <w:rFonts w:ascii="Times New Roman" w:hAnsi="Times New Roman" w:cs="Times New Roman"/>
          <w:b/>
          <w:color w:val="000000" w:themeColor="text1"/>
          <w:sz w:val="24"/>
          <w:szCs w:val="24"/>
        </w:rPr>
      </w:pPr>
      <w:r w:rsidRPr="00A443F2">
        <w:rPr>
          <w:rFonts w:ascii="Times New Roman" w:hAnsi="Times New Roman" w:cs="Times New Roman"/>
          <w:b/>
          <w:color w:val="000000" w:themeColor="text1"/>
          <w:sz w:val="24"/>
          <w:szCs w:val="24"/>
        </w:rPr>
        <w:br w:type="page"/>
      </w:r>
    </w:p>
    <w:p w:rsidR="005B4940" w:rsidRPr="00A443F2" w:rsidRDefault="005B4940" w:rsidP="00A443F2">
      <w:pPr>
        <w:pStyle w:val="Heading1"/>
        <w:tabs>
          <w:tab w:val="right" w:leader="dot" w:pos="9639"/>
        </w:tabs>
        <w:spacing w:before="360" w:after="360"/>
        <w:rPr>
          <w:rFonts w:ascii="Times New Roman" w:hAnsi="Times New Roman" w:cs="Times New Roman"/>
          <w:b/>
          <w:color w:val="000000" w:themeColor="text1"/>
          <w:sz w:val="24"/>
          <w:szCs w:val="24"/>
        </w:rPr>
      </w:pPr>
      <w:bookmarkStart w:id="1" w:name="_Toc485992667"/>
      <w:r w:rsidRPr="00A443F2">
        <w:rPr>
          <w:rFonts w:ascii="Times New Roman" w:hAnsi="Times New Roman" w:cs="Times New Roman"/>
          <w:b/>
          <w:color w:val="000000" w:themeColor="text1"/>
          <w:sz w:val="24"/>
          <w:szCs w:val="24"/>
        </w:rPr>
        <w:t>INTRODUCERE</w:t>
      </w:r>
      <w:bookmarkEnd w:id="0"/>
      <w:bookmarkEnd w:id="1"/>
    </w:p>
    <w:p w:rsidR="007E795C" w:rsidRDefault="007E795C" w:rsidP="00602BDC">
      <w:pPr>
        <w:spacing w:line="276" w:lineRule="auto"/>
        <w:ind w:firstLine="708"/>
        <w:jc w:val="both"/>
        <w:rPr>
          <w:rFonts w:ascii="Times New Roman" w:hAnsi="Times New Roman" w:cs="Times New Roman"/>
          <w:sz w:val="24"/>
          <w:szCs w:val="24"/>
        </w:rPr>
      </w:pPr>
      <w:r w:rsidRPr="00CF06D0">
        <w:rPr>
          <w:rFonts w:ascii="Times New Roman" w:hAnsi="Times New Roman" w:cs="Times New Roman"/>
          <w:i/>
          <w:sz w:val="24"/>
          <w:szCs w:val="24"/>
        </w:rPr>
        <w:t xml:space="preserve">Raportul </w:t>
      </w:r>
      <w:r w:rsidRPr="00621DE9">
        <w:rPr>
          <w:rFonts w:ascii="Times New Roman" w:hAnsi="Times New Roman" w:cs="Times New Roman"/>
          <w:i/>
          <w:sz w:val="24"/>
          <w:szCs w:val="24"/>
        </w:rPr>
        <w:t xml:space="preserve">privind </w:t>
      </w:r>
      <w:r w:rsidR="00156D05">
        <w:rPr>
          <w:rFonts w:ascii="Times New Roman" w:hAnsi="Times New Roman" w:cs="Times New Roman"/>
          <w:i/>
          <w:sz w:val="24"/>
          <w:szCs w:val="24"/>
        </w:rPr>
        <w:t>controlul</w:t>
      </w:r>
      <w:r w:rsidRPr="00621DE9">
        <w:rPr>
          <w:rFonts w:ascii="Times New Roman" w:hAnsi="Times New Roman" w:cs="Times New Roman"/>
          <w:i/>
          <w:sz w:val="24"/>
          <w:szCs w:val="24"/>
        </w:rPr>
        <w:t xml:space="preserve"> intern managerial pe anul </w:t>
      </w:r>
      <w:r w:rsidRPr="00F26F14">
        <w:rPr>
          <w:rFonts w:ascii="Times New Roman" w:hAnsi="Times New Roman" w:cs="Times New Roman"/>
          <w:i/>
          <w:sz w:val="24"/>
          <w:szCs w:val="24"/>
        </w:rPr>
        <w:t>201</w:t>
      </w:r>
      <w:r w:rsidR="000C0BBD" w:rsidRPr="00F26F14">
        <w:rPr>
          <w:rFonts w:ascii="Times New Roman" w:hAnsi="Times New Roman" w:cs="Times New Roman"/>
          <w:i/>
          <w:sz w:val="24"/>
          <w:szCs w:val="24"/>
        </w:rPr>
        <w:t>6</w:t>
      </w:r>
      <w:r w:rsidRPr="00930ECB">
        <w:rPr>
          <w:rFonts w:ascii="Times New Roman" w:hAnsi="Times New Roman" w:cs="Times New Roman"/>
          <w:sz w:val="24"/>
          <w:szCs w:val="24"/>
        </w:rPr>
        <w:t xml:space="preserve"> prezintă stadiul implementăr</w:t>
      </w:r>
      <w:r>
        <w:rPr>
          <w:rFonts w:ascii="Times New Roman" w:hAnsi="Times New Roman" w:cs="Times New Roman"/>
          <w:sz w:val="24"/>
          <w:szCs w:val="24"/>
        </w:rPr>
        <w:t xml:space="preserve">ii şi dezvoltării sistemelor de control intern </w:t>
      </w:r>
      <w:r w:rsidRPr="00930ECB">
        <w:rPr>
          <w:rFonts w:ascii="Times New Roman" w:hAnsi="Times New Roman" w:cs="Times New Roman"/>
          <w:sz w:val="24"/>
          <w:szCs w:val="24"/>
        </w:rPr>
        <w:t xml:space="preserve">managerial la nivelul </w:t>
      </w:r>
      <w:r w:rsidR="00E2647C">
        <w:rPr>
          <w:rFonts w:ascii="Times New Roman" w:hAnsi="Times New Roman" w:cs="Times New Roman"/>
          <w:sz w:val="24"/>
          <w:szCs w:val="24"/>
        </w:rPr>
        <w:t>entităților</w:t>
      </w:r>
      <w:r w:rsidRPr="00930ECB">
        <w:rPr>
          <w:rFonts w:ascii="Times New Roman" w:hAnsi="Times New Roman" w:cs="Times New Roman"/>
          <w:sz w:val="24"/>
          <w:szCs w:val="24"/>
        </w:rPr>
        <w:t xml:space="preserve"> publice la care se exercită funcţia de ordonator principal de credite al bugetului de stat, al bugetului asigurărilor sociale de stat şi al bugetului oricărui fond special</w:t>
      </w:r>
      <w:r>
        <w:rPr>
          <w:rFonts w:ascii="Times New Roman" w:hAnsi="Times New Roman" w:cs="Times New Roman"/>
          <w:sz w:val="24"/>
          <w:szCs w:val="24"/>
        </w:rPr>
        <w:t>.</w:t>
      </w:r>
    </w:p>
    <w:p w:rsidR="007E795C" w:rsidRPr="009049B5" w:rsidRDefault="007E795C" w:rsidP="00D1463D">
      <w:pPr>
        <w:spacing w:line="276" w:lineRule="auto"/>
        <w:jc w:val="both"/>
        <w:rPr>
          <w:rFonts w:ascii="Times New Roman" w:hAnsi="Times New Roman" w:cs="Times New Roman"/>
          <w:i/>
          <w:sz w:val="24"/>
          <w:szCs w:val="24"/>
        </w:rPr>
      </w:pPr>
      <w:r w:rsidRPr="007E7C71">
        <w:rPr>
          <w:rFonts w:ascii="Times New Roman" w:hAnsi="Times New Roman" w:cs="Times New Roman"/>
          <w:sz w:val="24"/>
          <w:szCs w:val="24"/>
        </w:rPr>
        <w:t>Activitatea în domeni</w:t>
      </w:r>
      <w:r>
        <w:rPr>
          <w:rFonts w:ascii="Times New Roman" w:hAnsi="Times New Roman" w:cs="Times New Roman"/>
          <w:sz w:val="24"/>
          <w:szCs w:val="24"/>
        </w:rPr>
        <w:t xml:space="preserve">ul sistemelor de control intern </w:t>
      </w:r>
      <w:r w:rsidRPr="007E7C71">
        <w:rPr>
          <w:rFonts w:ascii="Times New Roman" w:hAnsi="Times New Roman" w:cs="Times New Roman"/>
          <w:sz w:val="24"/>
          <w:szCs w:val="24"/>
        </w:rPr>
        <w:t>managerial a fost preluată de către Secretariatul General al Guvernului</w:t>
      </w:r>
      <w:r>
        <w:rPr>
          <w:rFonts w:ascii="Times New Roman" w:hAnsi="Times New Roman" w:cs="Times New Roman"/>
          <w:sz w:val="24"/>
          <w:szCs w:val="24"/>
        </w:rPr>
        <w:t xml:space="preserve"> (SGG)</w:t>
      </w:r>
      <w:r w:rsidRPr="007E7C71">
        <w:rPr>
          <w:rFonts w:ascii="Times New Roman" w:hAnsi="Times New Roman" w:cs="Times New Roman"/>
          <w:sz w:val="24"/>
          <w:szCs w:val="24"/>
        </w:rPr>
        <w:t xml:space="preserve"> de la Ministerul Finanțelor Publice (MFP), potrivit prevederilor </w:t>
      </w:r>
      <w:r w:rsidRPr="00621DE9">
        <w:rPr>
          <w:rFonts w:ascii="Times New Roman" w:hAnsi="Times New Roman" w:cs="Times New Roman"/>
          <w:i/>
          <w:sz w:val="24"/>
          <w:szCs w:val="24"/>
        </w:rPr>
        <w:t xml:space="preserve">art. 11 din OUG nr. 86/2014 privind stabilirea unor măsuri de reorganizare la nivelul administrației publice centrale și pentru modificarea și completarea unor acte normative, </w:t>
      </w:r>
      <w:r w:rsidRPr="00621DE9">
        <w:rPr>
          <w:rFonts w:ascii="Times New Roman" w:hAnsi="Times New Roman" w:cs="Times New Roman"/>
          <w:i/>
          <w:sz w:val="24"/>
          <w:szCs w:val="24"/>
          <w:lang w:val="en-US"/>
        </w:rPr>
        <w:t xml:space="preserve">aprobată prin </w:t>
      </w:r>
      <w:r w:rsidRPr="004E62D7">
        <w:rPr>
          <w:rFonts w:ascii="Times New Roman" w:hAnsi="Times New Roman" w:cs="Times New Roman"/>
          <w:i/>
          <w:vanish/>
          <w:sz w:val="24"/>
          <w:szCs w:val="24"/>
          <w:lang w:val="en-US"/>
        </w:rPr>
        <w:t>&lt;LLNK 12015   174 10 201   0 18&gt;</w:t>
      </w:r>
      <w:r w:rsidRPr="004E62D7">
        <w:rPr>
          <w:rFonts w:ascii="Times New Roman" w:hAnsi="Times New Roman" w:cs="Times New Roman"/>
          <w:i/>
          <w:sz w:val="24"/>
          <w:szCs w:val="24"/>
          <w:lang w:val="en-US"/>
        </w:rPr>
        <w:t>Legea nr. 174/2015</w:t>
      </w:r>
      <w:r w:rsidRPr="004E62D7">
        <w:rPr>
          <w:rFonts w:ascii="Times New Roman" w:hAnsi="Times New Roman" w:cs="Times New Roman"/>
          <w:sz w:val="24"/>
          <w:szCs w:val="24"/>
          <w:lang w:val="en-US"/>
        </w:rPr>
        <w:t>,</w:t>
      </w:r>
      <w:r w:rsidRPr="00497838">
        <w:rPr>
          <w:rFonts w:ascii="Times New Roman" w:hAnsi="Times New Roman" w:cs="Times New Roman"/>
          <w:sz w:val="24"/>
          <w:szCs w:val="24"/>
          <w:lang w:val="en-US"/>
        </w:rPr>
        <w:t xml:space="preserve"> </w:t>
      </w:r>
      <w:r w:rsidRPr="00621DE9">
        <w:rPr>
          <w:rFonts w:ascii="Times New Roman" w:hAnsi="Times New Roman" w:cs="Times New Roman"/>
          <w:i/>
          <w:sz w:val="24"/>
          <w:szCs w:val="24"/>
          <w:lang w:val="en-US"/>
        </w:rPr>
        <w:t xml:space="preserve">cu modificările </w:t>
      </w:r>
      <w:r w:rsidR="00B01049">
        <w:rPr>
          <w:rFonts w:ascii="Times New Roman" w:hAnsi="Times New Roman" w:cs="Times New Roman"/>
          <w:i/>
          <w:sz w:val="24"/>
          <w:szCs w:val="24"/>
          <w:lang w:val="en-US"/>
        </w:rPr>
        <w:t xml:space="preserve">și completările </w:t>
      </w:r>
      <w:r w:rsidRPr="00621DE9">
        <w:rPr>
          <w:rFonts w:ascii="Times New Roman" w:hAnsi="Times New Roman" w:cs="Times New Roman"/>
          <w:i/>
          <w:sz w:val="24"/>
          <w:szCs w:val="24"/>
          <w:lang w:val="en-US"/>
        </w:rPr>
        <w:t>ulterioare</w:t>
      </w:r>
      <w:r w:rsidR="00621DE9">
        <w:rPr>
          <w:rFonts w:ascii="Times New Roman" w:hAnsi="Times New Roman" w:cs="Times New Roman"/>
          <w:sz w:val="24"/>
          <w:szCs w:val="24"/>
          <w:lang w:val="en-US"/>
        </w:rPr>
        <w:t>.</w:t>
      </w:r>
    </w:p>
    <w:p w:rsidR="007E795C" w:rsidRDefault="007E795C" w:rsidP="00D1463D">
      <w:pPr>
        <w:spacing w:line="276" w:lineRule="auto"/>
        <w:jc w:val="both"/>
        <w:rPr>
          <w:rFonts w:ascii="Times New Roman" w:hAnsi="Times New Roman" w:cs="Times New Roman"/>
          <w:sz w:val="24"/>
          <w:szCs w:val="24"/>
          <w:lang w:val="en-US"/>
        </w:rPr>
      </w:pPr>
      <w:r w:rsidRPr="004B2905">
        <w:rPr>
          <w:rFonts w:ascii="Times New Roman" w:hAnsi="Times New Roman" w:cs="Times New Roman"/>
          <w:color w:val="000000" w:themeColor="text1"/>
          <w:sz w:val="24"/>
          <w:szCs w:val="24"/>
        </w:rPr>
        <w:t xml:space="preserve">În aceste condiţii, </w:t>
      </w:r>
      <w:r w:rsidRPr="004B2905">
        <w:rPr>
          <w:rFonts w:ascii="Times New Roman" w:hAnsi="Times New Roman" w:cs="Times New Roman"/>
          <w:color w:val="000000" w:themeColor="text1"/>
          <w:sz w:val="24"/>
          <w:szCs w:val="24"/>
          <w:lang w:val="en-US"/>
        </w:rPr>
        <w:t xml:space="preserve">Secretariatul General al Guvernului, prin </w:t>
      </w:r>
      <w:r w:rsidR="00E437B5" w:rsidRPr="004B2905">
        <w:rPr>
          <w:rFonts w:ascii="Times New Roman" w:hAnsi="Times New Roman" w:cs="Times New Roman"/>
          <w:i/>
          <w:color w:val="000000" w:themeColor="text1"/>
          <w:sz w:val="24"/>
          <w:szCs w:val="24"/>
          <w:lang w:val="en-US"/>
        </w:rPr>
        <w:t>Direcţia</w:t>
      </w:r>
      <w:r w:rsidRPr="004B2905">
        <w:rPr>
          <w:rFonts w:ascii="Times New Roman" w:hAnsi="Times New Roman" w:cs="Times New Roman"/>
          <w:i/>
          <w:color w:val="000000" w:themeColor="text1"/>
          <w:sz w:val="24"/>
          <w:szCs w:val="24"/>
          <w:lang w:val="en-US"/>
        </w:rPr>
        <w:t xml:space="preserve"> control intern </w:t>
      </w:r>
      <w:r w:rsidR="00E437B5" w:rsidRPr="004B2905">
        <w:rPr>
          <w:rFonts w:ascii="Times New Roman" w:hAnsi="Times New Roman" w:cs="Times New Roman"/>
          <w:i/>
          <w:color w:val="000000" w:themeColor="text1"/>
          <w:sz w:val="24"/>
          <w:szCs w:val="24"/>
          <w:lang w:val="en-US"/>
        </w:rPr>
        <w:t xml:space="preserve">managerial </w:t>
      </w:r>
      <w:r w:rsidRPr="004B2905">
        <w:rPr>
          <w:rFonts w:ascii="Times New Roman" w:hAnsi="Times New Roman" w:cs="Times New Roman"/>
          <w:i/>
          <w:color w:val="000000" w:themeColor="text1"/>
          <w:sz w:val="24"/>
          <w:szCs w:val="24"/>
          <w:lang w:val="en-US"/>
        </w:rPr>
        <w:t>şi relaţii interinstituţionale (DCIMRI)</w:t>
      </w:r>
      <w:r w:rsidRPr="004B2905">
        <w:rPr>
          <w:rFonts w:ascii="Times New Roman" w:hAnsi="Times New Roman" w:cs="Times New Roman"/>
          <w:color w:val="000000" w:themeColor="text1"/>
          <w:sz w:val="24"/>
          <w:szCs w:val="24"/>
          <w:lang w:val="en-US"/>
        </w:rPr>
        <w:t xml:space="preserve">, elaborează şi prezintă Guvernului, </w:t>
      </w:r>
      <w:r w:rsidR="00577FC6" w:rsidRPr="004B2905">
        <w:rPr>
          <w:rFonts w:ascii="Times New Roman" w:hAnsi="Times New Roman" w:cs="Times New Roman"/>
          <w:i/>
          <w:color w:val="000000" w:themeColor="text1"/>
          <w:sz w:val="24"/>
          <w:szCs w:val="24"/>
        </w:rPr>
        <w:t>Raportul</w:t>
      </w:r>
      <w:r w:rsidR="00B66C05" w:rsidRPr="004B2905">
        <w:rPr>
          <w:rFonts w:ascii="Times New Roman" w:hAnsi="Times New Roman" w:cs="Times New Roman"/>
          <w:i/>
          <w:color w:val="000000" w:themeColor="text1"/>
          <w:sz w:val="24"/>
          <w:szCs w:val="24"/>
        </w:rPr>
        <w:t xml:space="preserve"> privind stadiul implementării sistemelor de control intern managerial la nivelul entităților publice pe anul </w:t>
      </w:r>
      <w:r w:rsidR="00E437B5" w:rsidRPr="004B2905">
        <w:rPr>
          <w:rFonts w:ascii="Times New Roman" w:hAnsi="Times New Roman" w:cs="Times New Roman"/>
          <w:i/>
          <w:color w:val="000000" w:themeColor="text1"/>
          <w:sz w:val="24"/>
          <w:szCs w:val="24"/>
        </w:rPr>
        <w:t>2016</w:t>
      </w:r>
      <w:r w:rsidR="00B66C05" w:rsidRPr="004B2905">
        <w:rPr>
          <w:rFonts w:ascii="Times New Roman" w:hAnsi="Times New Roman" w:cs="Times New Roman"/>
          <w:i/>
          <w:color w:val="000000" w:themeColor="text1"/>
          <w:sz w:val="24"/>
          <w:szCs w:val="24"/>
        </w:rPr>
        <w:t xml:space="preserve">, </w:t>
      </w:r>
      <w:r w:rsidR="00B66C05" w:rsidRPr="004B2905">
        <w:rPr>
          <w:rFonts w:ascii="Times New Roman" w:hAnsi="Times New Roman" w:cs="Times New Roman"/>
          <w:color w:val="000000" w:themeColor="text1"/>
          <w:sz w:val="24"/>
          <w:szCs w:val="24"/>
        </w:rPr>
        <w:t>numit în continuare</w:t>
      </w:r>
      <w:r w:rsidR="00577FC6" w:rsidRPr="004B2905">
        <w:rPr>
          <w:rFonts w:ascii="Times New Roman" w:hAnsi="Times New Roman" w:cs="Times New Roman"/>
          <w:i/>
          <w:color w:val="000000" w:themeColor="text1"/>
          <w:sz w:val="24"/>
          <w:szCs w:val="24"/>
        </w:rPr>
        <w:t xml:space="preserve"> Raport</w:t>
      </w:r>
      <w:r w:rsidR="00B66C05" w:rsidRPr="004B2905">
        <w:rPr>
          <w:rFonts w:ascii="Times New Roman" w:hAnsi="Times New Roman" w:cs="Times New Roman"/>
          <w:i/>
          <w:color w:val="000000" w:themeColor="text1"/>
          <w:sz w:val="24"/>
          <w:szCs w:val="24"/>
        </w:rPr>
        <w:t xml:space="preserve"> </w:t>
      </w:r>
      <w:r w:rsidR="004E62D7" w:rsidRPr="004B2905">
        <w:rPr>
          <w:rFonts w:ascii="Times New Roman" w:hAnsi="Times New Roman" w:cs="Times New Roman"/>
          <w:i/>
          <w:color w:val="000000" w:themeColor="text1"/>
          <w:sz w:val="24"/>
          <w:szCs w:val="24"/>
        </w:rPr>
        <w:t xml:space="preserve">privind controlul intern managerial </w:t>
      </w:r>
      <w:r w:rsidR="00B66C05" w:rsidRPr="004B2905">
        <w:rPr>
          <w:rFonts w:ascii="Times New Roman" w:hAnsi="Times New Roman" w:cs="Times New Roman"/>
          <w:i/>
          <w:color w:val="000000" w:themeColor="text1"/>
          <w:sz w:val="24"/>
          <w:szCs w:val="24"/>
        </w:rPr>
        <w:t xml:space="preserve">pe anul </w:t>
      </w:r>
      <w:r w:rsidR="00E437B5" w:rsidRPr="004B2905">
        <w:rPr>
          <w:rFonts w:ascii="Times New Roman" w:hAnsi="Times New Roman" w:cs="Times New Roman"/>
          <w:i/>
          <w:color w:val="000000" w:themeColor="text1"/>
          <w:sz w:val="24"/>
          <w:szCs w:val="24"/>
        </w:rPr>
        <w:t>2016</w:t>
      </w:r>
      <w:r w:rsidR="00621DE9" w:rsidRPr="004B2905">
        <w:rPr>
          <w:rFonts w:ascii="Times New Roman" w:hAnsi="Times New Roman" w:cs="Times New Roman"/>
          <w:i/>
          <w:color w:val="000000" w:themeColor="text1"/>
          <w:sz w:val="24"/>
          <w:szCs w:val="24"/>
          <w:lang w:val="en-US"/>
        </w:rPr>
        <w:t>,</w:t>
      </w:r>
      <w:r w:rsidRPr="004B2905">
        <w:rPr>
          <w:rFonts w:ascii="Times New Roman" w:hAnsi="Times New Roman" w:cs="Times New Roman"/>
          <w:i/>
          <w:color w:val="000000" w:themeColor="text1"/>
          <w:sz w:val="24"/>
          <w:szCs w:val="24"/>
          <w:lang w:val="en-US"/>
        </w:rPr>
        <w:t xml:space="preserve"> </w:t>
      </w:r>
      <w:r w:rsidRPr="004B2905">
        <w:rPr>
          <w:rFonts w:ascii="Times New Roman" w:hAnsi="Times New Roman" w:cs="Times New Roman"/>
          <w:color w:val="000000" w:themeColor="text1"/>
          <w:sz w:val="24"/>
          <w:szCs w:val="24"/>
          <w:lang w:val="en-US"/>
        </w:rPr>
        <w:t xml:space="preserve">în </w:t>
      </w:r>
      <w:r w:rsidR="00621DE9" w:rsidRPr="004B2905">
        <w:rPr>
          <w:rFonts w:ascii="Times New Roman" w:hAnsi="Times New Roman" w:cs="Times New Roman"/>
          <w:color w:val="000000" w:themeColor="text1"/>
          <w:sz w:val="24"/>
          <w:szCs w:val="24"/>
          <w:lang w:val="en-US"/>
        </w:rPr>
        <w:t>conformitate</w:t>
      </w:r>
      <w:r w:rsidRPr="004B2905">
        <w:rPr>
          <w:rFonts w:ascii="Times New Roman" w:hAnsi="Times New Roman" w:cs="Times New Roman"/>
          <w:color w:val="000000" w:themeColor="text1"/>
          <w:sz w:val="24"/>
          <w:szCs w:val="24"/>
          <w:lang w:val="en-US"/>
        </w:rPr>
        <w:t xml:space="preserve"> </w:t>
      </w:r>
      <w:r w:rsidR="00621DE9" w:rsidRPr="004B2905">
        <w:rPr>
          <w:rFonts w:ascii="Times New Roman" w:hAnsi="Times New Roman" w:cs="Times New Roman"/>
          <w:color w:val="000000" w:themeColor="text1"/>
          <w:sz w:val="24"/>
          <w:szCs w:val="24"/>
          <w:lang w:val="en-US"/>
        </w:rPr>
        <w:t xml:space="preserve">cu prevederile </w:t>
      </w:r>
      <w:r w:rsidRPr="004B2905">
        <w:rPr>
          <w:rFonts w:ascii="Times New Roman" w:hAnsi="Times New Roman" w:cs="Times New Roman"/>
          <w:color w:val="000000" w:themeColor="text1"/>
          <w:sz w:val="24"/>
          <w:szCs w:val="24"/>
          <w:lang w:val="en-US"/>
        </w:rPr>
        <w:t>art.</w:t>
      </w:r>
      <w:r w:rsidR="00621DE9" w:rsidRPr="004B2905">
        <w:rPr>
          <w:rFonts w:ascii="Times New Roman" w:hAnsi="Times New Roman" w:cs="Times New Roman"/>
          <w:color w:val="000000" w:themeColor="text1"/>
          <w:sz w:val="24"/>
          <w:szCs w:val="24"/>
          <w:lang w:val="en-US"/>
        </w:rPr>
        <w:t xml:space="preserve"> </w:t>
      </w:r>
      <w:r w:rsidRPr="004B2905">
        <w:rPr>
          <w:rFonts w:ascii="Times New Roman" w:hAnsi="Times New Roman" w:cs="Times New Roman"/>
          <w:color w:val="000000" w:themeColor="text1"/>
          <w:sz w:val="24"/>
          <w:szCs w:val="24"/>
          <w:lang w:val="en-US"/>
        </w:rPr>
        <w:t>8</w:t>
      </w:r>
      <w:r w:rsidR="004E62D7" w:rsidRPr="004B2905">
        <w:rPr>
          <w:rFonts w:ascii="Times New Roman" w:hAnsi="Times New Roman" w:cs="Times New Roman"/>
          <w:color w:val="000000" w:themeColor="text1"/>
          <w:sz w:val="24"/>
          <w:szCs w:val="24"/>
          <w:vertAlign w:val="superscript"/>
          <w:lang w:val="en-US"/>
        </w:rPr>
        <w:t>3</w:t>
      </w:r>
      <w:r w:rsidR="00621DE9" w:rsidRPr="004B2905">
        <w:rPr>
          <w:rFonts w:ascii="Times New Roman" w:hAnsi="Times New Roman" w:cs="Times New Roman"/>
          <w:color w:val="000000" w:themeColor="text1"/>
          <w:sz w:val="24"/>
          <w:szCs w:val="24"/>
          <w:lang w:val="en-US"/>
        </w:rPr>
        <w:t xml:space="preserve"> alin. </w:t>
      </w:r>
      <w:r w:rsidR="00072D0F" w:rsidRPr="004B2905">
        <w:rPr>
          <w:rFonts w:ascii="Times New Roman" w:hAnsi="Times New Roman" w:cs="Times New Roman"/>
          <w:color w:val="000000" w:themeColor="text1"/>
          <w:sz w:val="24"/>
          <w:szCs w:val="24"/>
          <w:lang w:val="en-US"/>
        </w:rPr>
        <w:t>1</w:t>
      </w:r>
      <w:r w:rsidRPr="004B2905">
        <w:rPr>
          <w:rFonts w:ascii="Times New Roman" w:hAnsi="Times New Roman" w:cs="Times New Roman"/>
          <w:color w:val="000000" w:themeColor="text1"/>
          <w:sz w:val="24"/>
          <w:szCs w:val="24"/>
          <w:lang w:val="en-US"/>
        </w:rPr>
        <w:t xml:space="preserve"> din </w:t>
      </w:r>
      <w:r w:rsidRPr="004B2905">
        <w:rPr>
          <w:rFonts w:ascii="Times New Roman" w:hAnsi="Times New Roman" w:cs="Times New Roman"/>
          <w:i/>
          <w:color w:val="000000" w:themeColor="text1"/>
          <w:sz w:val="24"/>
          <w:szCs w:val="24"/>
          <w:lang w:val="en-US"/>
        </w:rPr>
        <w:t>OSGG nr.</w:t>
      </w:r>
      <w:r w:rsidR="001E0D2C" w:rsidRPr="004B2905">
        <w:rPr>
          <w:rFonts w:ascii="Times New Roman" w:hAnsi="Times New Roman" w:cs="Times New Roman"/>
          <w:i/>
          <w:color w:val="000000" w:themeColor="text1"/>
          <w:sz w:val="24"/>
          <w:szCs w:val="24"/>
          <w:lang w:val="en-US"/>
        </w:rPr>
        <w:t xml:space="preserve"> </w:t>
      </w:r>
      <w:r w:rsidRPr="004B2905">
        <w:rPr>
          <w:rFonts w:ascii="Times New Roman" w:hAnsi="Times New Roman" w:cs="Times New Roman"/>
          <w:i/>
          <w:color w:val="000000" w:themeColor="text1"/>
          <w:sz w:val="24"/>
          <w:szCs w:val="24"/>
          <w:lang w:val="en-US"/>
        </w:rPr>
        <w:t>400/2015</w:t>
      </w:r>
      <w:r w:rsidR="00621DE9" w:rsidRPr="004B2905">
        <w:rPr>
          <w:rFonts w:ascii="Times New Roman" w:hAnsi="Times New Roman" w:cs="Times New Roman"/>
          <w:i/>
          <w:color w:val="000000" w:themeColor="text1"/>
          <w:sz w:val="24"/>
          <w:szCs w:val="24"/>
          <w:lang w:val="en-US"/>
        </w:rPr>
        <w:t>,</w:t>
      </w:r>
      <w:r w:rsidRPr="004B2905">
        <w:rPr>
          <w:rFonts w:ascii="Times New Roman" w:hAnsi="Times New Roman" w:cs="Times New Roman"/>
          <w:i/>
          <w:color w:val="000000" w:themeColor="text1"/>
          <w:sz w:val="24"/>
          <w:szCs w:val="24"/>
          <w:lang w:val="en-US"/>
        </w:rPr>
        <w:t xml:space="preserve"> cu modifică</w:t>
      </w:r>
      <w:r w:rsidR="00621DE9" w:rsidRPr="004B2905">
        <w:rPr>
          <w:rFonts w:ascii="Times New Roman" w:hAnsi="Times New Roman" w:cs="Times New Roman"/>
          <w:i/>
          <w:color w:val="000000" w:themeColor="text1"/>
          <w:sz w:val="24"/>
          <w:szCs w:val="24"/>
          <w:lang w:val="en-US"/>
        </w:rPr>
        <w:t>rile şi completările ulterioare</w:t>
      </w:r>
      <w:r w:rsidR="00072D0F" w:rsidRPr="001938CF">
        <w:rPr>
          <w:rFonts w:ascii="Times New Roman" w:hAnsi="Times New Roman" w:cs="Times New Roman"/>
          <w:sz w:val="24"/>
          <w:szCs w:val="24"/>
          <w:lang w:val="en-US"/>
        </w:rPr>
        <w:t>.</w:t>
      </w:r>
    </w:p>
    <w:p w:rsidR="00072D0F" w:rsidRPr="004E62D7" w:rsidRDefault="00D92C56" w:rsidP="00E44139">
      <w:pPr>
        <w:spacing w:line="276" w:lineRule="auto"/>
        <w:jc w:val="both"/>
        <w:rPr>
          <w:rFonts w:ascii="Times New Roman" w:hAnsi="Times New Roman" w:cs="Times New Roman"/>
          <w:sz w:val="24"/>
          <w:szCs w:val="24"/>
        </w:rPr>
      </w:pPr>
      <w:r>
        <w:rPr>
          <w:rFonts w:ascii="Times New Roman" w:hAnsi="Times New Roman" w:cs="Times New Roman"/>
          <w:i/>
          <w:sz w:val="24"/>
          <w:szCs w:val="24"/>
        </w:rPr>
        <w:t xml:space="preserve">Raportul </w:t>
      </w:r>
      <w:r w:rsidR="004E62D7">
        <w:rPr>
          <w:rFonts w:ascii="Times New Roman" w:hAnsi="Times New Roman" w:cs="Times New Roman"/>
          <w:i/>
          <w:sz w:val="24"/>
          <w:szCs w:val="24"/>
        </w:rPr>
        <w:t xml:space="preserve">privind controlul intern managerial </w:t>
      </w:r>
      <w:r>
        <w:rPr>
          <w:rFonts w:ascii="Times New Roman" w:hAnsi="Times New Roman" w:cs="Times New Roman"/>
          <w:i/>
          <w:sz w:val="24"/>
          <w:szCs w:val="24"/>
        </w:rPr>
        <w:t xml:space="preserve">pe anul </w:t>
      </w:r>
      <w:r w:rsidR="00E437B5" w:rsidRPr="00F26F14">
        <w:rPr>
          <w:rFonts w:ascii="Times New Roman" w:hAnsi="Times New Roman" w:cs="Times New Roman"/>
          <w:i/>
          <w:sz w:val="24"/>
          <w:szCs w:val="24"/>
        </w:rPr>
        <w:t>2016</w:t>
      </w:r>
      <w:r w:rsidR="00072D0F" w:rsidRPr="00621DE9">
        <w:rPr>
          <w:rFonts w:ascii="Times New Roman" w:hAnsi="Times New Roman" w:cs="Times New Roman"/>
          <w:i/>
          <w:sz w:val="24"/>
          <w:szCs w:val="24"/>
        </w:rPr>
        <w:t xml:space="preserve"> </w:t>
      </w:r>
      <w:r w:rsidR="00072D0F" w:rsidRPr="00072D0F">
        <w:rPr>
          <w:rFonts w:ascii="Times New Roman" w:hAnsi="Times New Roman" w:cs="Times New Roman"/>
          <w:sz w:val="24"/>
          <w:szCs w:val="24"/>
        </w:rPr>
        <w:t xml:space="preserve">elaborat de către </w:t>
      </w:r>
      <w:r w:rsidR="00072D0F" w:rsidRPr="00072D0F">
        <w:rPr>
          <w:rFonts w:ascii="Times New Roman" w:hAnsi="Times New Roman" w:cs="Times New Roman"/>
          <w:sz w:val="24"/>
          <w:szCs w:val="24"/>
          <w:lang w:val="en-US"/>
        </w:rPr>
        <w:t xml:space="preserve">Secretariatul General al Guvernului, prin DCIMRI, </w:t>
      </w:r>
      <w:r w:rsidR="00072D0F">
        <w:rPr>
          <w:rFonts w:ascii="Times New Roman" w:hAnsi="Times New Roman" w:cs="Times New Roman"/>
          <w:sz w:val="24"/>
          <w:szCs w:val="24"/>
          <w:lang w:val="en-US"/>
        </w:rPr>
        <w:t>prezintă</w:t>
      </w:r>
      <w:r w:rsidR="00072D0F" w:rsidRPr="00072D0F">
        <w:rPr>
          <w:rFonts w:ascii="Times New Roman" w:hAnsi="Times New Roman" w:cs="Times New Roman"/>
          <w:sz w:val="24"/>
          <w:szCs w:val="24"/>
          <w:lang w:val="en-US"/>
        </w:rPr>
        <w:t xml:space="preserve"> evoluţia sistemelor de control intern managerial la nivelul tuturor </w:t>
      </w:r>
      <w:r w:rsidR="00072D0F" w:rsidRPr="00072D0F">
        <w:rPr>
          <w:rFonts w:ascii="Times New Roman" w:hAnsi="Times New Roman" w:cs="Times New Roman"/>
          <w:sz w:val="24"/>
          <w:szCs w:val="24"/>
        </w:rPr>
        <w:t xml:space="preserve">ordonatorilor principali de credite ai bugetului de stat, ai bugetului asigurărilor sociale de stat şi ai bugetului oricărui fond special, </w:t>
      </w:r>
      <w:r w:rsidR="00072D0F" w:rsidRPr="004E62D7">
        <w:rPr>
          <w:rFonts w:ascii="Times New Roman" w:hAnsi="Times New Roman" w:cs="Times New Roman"/>
          <w:sz w:val="24"/>
          <w:szCs w:val="24"/>
        </w:rPr>
        <w:t>în conformitate cu raportările acestora.</w:t>
      </w:r>
    </w:p>
    <w:p w:rsidR="007E795C" w:rsidRDefault="00621DE9" w:rsidP="00E44139">
      <w:pPr>
        <w:spacing w:line="276" w:lineRule="auto"/>
        <w:jc w:val="both"/>
        <w:rPr>
          <w:rFonts w:ascii="Times New Roman" w:hAnsi="Times New Roman" w:cs="Times New Roman"/>
          <w:sz w:val="24"/>
          <w:szCs w:val="24"/>
        </w:rPr>
      </w:pPr>
      <w:r w:rsidRPr="00621DE9">
        <w:rPr>
          <w:rFonts w:ascii="Times New Roman" w:hAnsi="Times New Roman" w:cs="Times New Roman"/>
          <w:sz w:val="24"/>
          <w:szCs w:val="24"/>
        </w:rPr>
        <w:t>De asemenea,</w:t>
      </w:r>
      <w:r>
        <w:rPr>
          <w:rFonts w:ascii="Times New Roman" w:hAnsi="Times New Roman" w:cs="Times New Roman"/>
          <w:i/>
          <w:sz w:val="24"/>
          <w:szCs w:val="24"/>
        </w:rPr>
        <w:t xml:space="preserve"> </w:t>
      </w:r>
      <w:r w:rsidR="00D92C56">
        <w:rPr>
          <w:rFonts w:ascii="Times New Roman" w:hAnsi="Times New Roman" w:cs="Times New Roman"/>
          <w:i/>
          <w:sz w:val="24"/>
          <w:szCs w:val="24"/>
        </w:rPr>
        <w:t xml:space="preserve">Raportul </w:t>
      </w:r>
      <w:r w:rsidR="004E62D7">
        <w:rPr>
          <w:rFonts w:ascii="Times New Roman" w:hAnsi="Times New Roman" w:cs="Times New Roman"/>
          <w:i/>
          <w:sz w:val="24"/>
          <w:szCs w:val="24"/>
        </w:rPr>
        <w:t>privind controlul intern managerial</w:t>
      </w:r>
      <w:r w:rsidR="00D92C56">
        <w:rPr>
          <w:rFonts w:ascii="Times New Roman" w:hAnsi="Times New Roman" w:cs="Times New Roman"/>
          <w:i/>
          <w:sz w:val="24"/>
          <w:szCs w:val="24"/>
        </w:rPr>
        <w:t xml:space="preserve"> pe anul </w:t>
      </w:r>
      <w:r w:rsidR="00E437B5" w:rsidRPr="00F26F14">
        <w:rPr>
          <w:rFonts w:ascii="Times New Roman" w:hAnsi="Times New Roman" w:cs="Times New Roman"/>
          <w:i/>
          <w:sz w:val="24"/>
          <w:szCs w:val="24"/>
        </w:rPr>
        <w:t>2016</w:t>
      </w:r>
      <w:r w:rsidR="00D92C56">
        <w:rPr>
          <w:rFonts w:ascii="Times New Roman" w:hAnsi="Times New Roman" w:cs="Times New Roman"/>
          <w:i/>
          <w:sz w:val="24"/>
          <w:szCs w:val="24"/>
        </w:rPr>
        <w:t xml:space="preserve"> </w:t>
      </w:r>
      <w:r w:rsidR="007E795C" w:rsidRPr="00C215C2">
        <w:rPr>
          <w:rFonts w:ascii="Times New Roman" w:hAnsi="Times New Roman" w:cs="Times New Roman"/>
          <w:sz w:val="24"/>
          <w:szCs w:val="24"/>
        </w:rPr>
        <w:t>reflectă o imagine a modului în car</w:t>
      </w:r>
      <w:r>
        <w:rPr>
          <w:rFonts w:ascii="Times New Roman" w:hAnsi="Times New Roman" w:cs="Times New Roman"/>
          <w:sz w:val="24"/>
          <w:szCs w:val="24"/>
        </w:rPr>
        <w:t xml:space="preserve">e standardele de control intern </w:t>
      </w:r>
      <w:r w:rsidR="007E795C" w:rsidRPr="00C215C2">
        <w:rPr>
          <w:rFonts w:ascii="Times New Roman" w:hAnsi="Times New Roman" w:cs="Times New Roman"/>
          <w:sz w:val="24"/>
          <w:szCs w:val="24"/>
        </w:rPr>
        <w:t>managerial</w:t>
      </w:r>
      <w:r>
        <w:rPr>
          <w:rFonts w:ascii="Times New Roman" w:hAnsi="Times New Roman" w:cs="Times New Roman"/>
          <w:sz w:val="24"/>
          <w:szCs w:val="24"/>
        </w:rPr>
        <w:t xml:space="preserve">, prevăzute în Anexa 1 a </w:t>
      </w:r>
      <w:r w:rsidRPr="00621DE9">
        <w:rPr>
          <w:rFonts w:ascii="Times New Roman" w:hAnsi="Times New Roman" w:cs="Times New Roman"/>
          <w:i/>
          <w:sz w:val="24"/>
          <w:szCs w:val="24"/>
          <w:lang w:val="en-US"/>
        </w:rPr>
        <w:t>OSGG nr.</w:t>
      </w:r>
      <w:r w:rsidR="00171E1C">
        <w:rPr>
          <w:rFonts w:ascii="Times New Roman" w:hAnsi="Times New Roman" w:cs="Times New Roman"/>
          <w:i/>
          <w:sz w:val="24"/>
          <w:szCs w:val="24"/>
          <w:lang w:val="en-US"/>
        </w:rPr>
        <w:t xml:space="preserve"> </w:t>
      </w:r>
      <w:r w:rsidRPr="00621DE9">
        <w:rPr>
          <w:rFonts w:ascii="Times New Roman" w:hAnsi="Times New Roman" w:cs="Times New Roman"/>
          <w:i/>
          <w:sz w:val="24"/>
          <w:szCs w:val="24"/>
          <w:lang w:val="en-US"/>
        </w:rPr>
        <w:t>400/2015</w:t>
      </w:r>
      <w:r>
        <w:rPr>
          <w:rFonts w:ascii="Times New Roman" w:hAnsi="Times New Roman" w:cs="Times New Roman"/>
          <w:i/>
          <w:sz w:val="24"/>
          <w:szCs w:val="24"/>
          <w:lang w:val="en-US"/>
        </w:rPr>
        <w:t>,</w:t>
      </w:r>
      <w:r w:rsidRPr="00621DE9">
        <w:rPr>
          <w:rFonts w:ascii="Times New Roman" w:hAnsi="Times New Roman" w:cs="Times New Roman"/>
          <w:i/>
          <w:sz w:val="24"/>
          <w:szCs w:val="24"/>
          <w:lang w:val="en-US"/>
        </w:rPr>
        <w:t xml:space="preserve"> cu modificările şi completările ulterioare</w:t>
      </w:r>
      <w:r w:rsidR="007E795C" w:rsidRPr="00C215C2">
        <w:rPr>
          <w:rFonts w:ascii="Times New Roman" w:hAnsi="Times New Roman" w:cs="Times New Roman"/>
          <w:sz w:val="24"/>
          <w:szCs w:val="24"/>
        </w:rPr>
        <w:t xml:space="preserve"> au fost implementate la nivelul ordonatorilor principali de credite ai bugetului de stat, ai bugetului asigurărilor sociale de stat şi ai bugetului oricărui fond special, </w:t>
      </w:r>
      <w:r w:rsidR="007E795C" w:rsidRPr="00621DE9">
        <w:rPr>
          <w:rFonts w:ascii="Times New Roman" w:hAnsi="Times New Roman" w:cs="Times New Roman"/>
          <w:i/>
          <w:sz w:val="24"/>
          <w:szCs w:val="24"/>
        </w:rPr>
        <w:t>prin efectuarea unei analize asupra fiec</w:t>
      </w:r>
      <w:r w:rsidRPr="00621DE9">
        <w:rPr>
          <w:rFonts w:ascii="Times New Roman" w:hAnsi="Times New Roman" w:cs="Times New Roman"/>
          <w:i/>
          <w:sz w:val="24"/>
          <w:szCs w:val="24"/>
        </w:rPr>
        <w:t xml:space="preserve">ărui standard de control intern </w:t>
      </w:r>
      <w:r w:rsidR="007E795C" w:rsidRPr="00621DE9">
        <w:rPr>
          <w:rFonts w:ascii="Times New Roman" w:hAnsi="Times New Roman" w:cs="Times New Roman"/>
          <w:i/>
          <w:sz w:val="24"/>
          <w:szCs w:val="24"/>
        </w:rPr>
        <w:t>managerial</w:t>
      </w:r>
      <w:r w:rsidR="007E795C" w:rsidRPr="00C215C2">
        <w:rPr>
          <w:rFonts w:ascii="Times New Roman" w:hAnsi="Times New Roman" w:cs="Times New Roman"/>
          <w:sz w:val="24"/>
          <w:szCs w:val="24"/>
        </w:rPr>
        <w:t xml:space="preserve">, </w:t>
      </w:r>
      <w:r w:rsidR="00072D0F">
        <w:rPr>
          <w:rFonts w:ascii="Times New Roman" w:hAnsi="Times New Roman" w:cs="Times New Roman"/>
          <w:sz w:val="24"/>
          <w:szCs w:val="24"/>
        </w:rPr>
        <w:t xml:space="preserve">care evidențiază </w:t>
      </w:r>
      <w:r w:rsidR="007E795C" w:rsidRPr="00C215C2">
        <w:rPr>
          <w:rFonts w:ascii="Times New Roman" w:hAnsi="Times New Roman" w:cs="Times New Roman"/>
          <w:sz w:val="24"/>
          <w:szCs w:val="24"/>
        </w:rPr>
        <w:t>aspecte</w:t>
      </w:r>
      <w:r w:rsidR="00072D0F">
        <w:rPr>
          <w:rFonts w:ascii="Times New Roman" w:hAnsi="Times New Roman" w:cs="Times New Roman"/>
          <w:sz w:val="24"/>
          <w:szCs w:val="24"/>
        </w:rPr>
        <w:t>le</w:t>
      </w:r>
      <w:r w:rsidR="007E795C" w:rsidRPr="00C215C2">
        <w:rPr>
          <w:rFonts w:ascii="Times New Roman" w:hAnsi="Times New Roman" w:cs="Times New Roman"/>
          <w:sz w:val="24"/>
          <w:szCs w:val="24"/>
        </w:rPr>
        <w:t xml:space="preserve"> relevante.</w:t>
      </w:r>
    </w:p>
    <w:p w:rsidR="007E795C" w:rsidRDefault="007E795C" w:rsidP="00E44139">
      <w:pPr>
        <w:spacing w:line="276" w:lineRule="auto"/>
        <w:jc w:val="both"/>
        <w:rPr>
          <w:rFonts w:ascii="Times New Roman" w:hAnsi="Times New Roman" w:cs="Times New Roman"/>
          <w:sz w:val="24"/>
          <w:szCs w:val="24"/>
        </w:rPr>
      </w:pPr>
      <w:r w:rsidRPr="00B6707B">
        <w:rPr>
          <w:rFonts w:ascii="Times New Roman" w:hAnsi="Times New Roman" w:cs="Times New Roman"/>
          <w:sz w:val="24"/>
          <w:szCs w:val="24"/>
        </w:rPr>
        <w:t>Scopul</w:t>
      </w:r>
      <w:r>
        <w:rPr>
          <w:rFonts w:ascii="Times New Roman" w:hAnsi="Times New Roman" w:cs="Times New Roman"/>
          <w:i/>
          <w:sz w:val="24"/>
          <w:szCs w:val="24"/>
        </w:rPr>
        <w:t xml:space="preserve"> </w:t>
      </w:r>
      <w:r w:rsidR="00D92C56">
        <w:rPr>
          <w:rFonts w:ascii="Times New Roman" w:hAnsi="Times New Roman" w:cs="Times New Roman"/>
          <w:i/>
          <w:sz w:val="24"/>
          <w:szCs w:val="24"/>
        </w:rPr>
        <w:t>Raportul</w:t>
      </w:r>
      <w:r w:rsidR="00577FC6">
        <w:rPr>
          <w:rFonts w:ascii="Times New Roman" w:hAnsi="Times New Roman" w:cs="Times New Roman"/>
          <w:i/>
          <w:sz w:val="24"/>
          <w:szCs w:val="24"/>
        </w:rPr>
        <w:t>ui</w:t>
      </w:r>
      <w:r w:rsidR="00D92C56">
        <w:rPr>
          <w:rFonts w:ascii="Times New Roman" w:hAnsi="Times New Roman" w:cs="Times New Roman"/>
          <w:i/>
          <w:sz w:val="24"/>
          <w:szCs w:val="24"/>
        </w:rPr>
        <w:t xml:space="preserve"> </w:t>
      </w:r>
      <w:r w:rsidR="004E62D7">
        <w:rPr>
          <w:rFonts w:ascii="Times New Roman" w:hAnsi="Times New Roman" w:cs="Times New Roman"/>
          <w:i/>
          <w:sz w:val="24"/>
          <w:szCs w:val="24"/>
        </w:rPr>
        <w:t xml:space="preserve">privind controlul intern managerial </w:t>
      </w:r>
      <w:r w:rsidR="00D92C56">
        <w:rPr>
          <w:rFonts w:ascii="Times New Roman" w:hAnsi="Times New Roman" w:cs="Times New Roman"/>
          <w:i/>
          <w:sz w:val="24"/>
          <w:szCs w:val="24"/>
        </w:rPr>
        <w:t xml:space="preserve">pe </w:t>
      </w:r>
      <w:r w:rsidR="00D92C56" w:rsidRPr="00F26F14">
        <w:rPr>
          <w:rFonts w:ascii="Times New Roman" w:hAnsi="Times New Roman" w:cs="Times New Roman"/>
          <w:i/>
          <w:sz w:val="24"/>
          <w:szCs w:val="24"/>
        </w:rPr>
        <w:t xml:space="preserve">anul </w:t>
      </w:r>
      <w:r w:rsidR="00E437B5" w:rsidRPr="00F26F14">
        <w:rPr>
          <w:rFonts w:ascii="Times New Roman" w:hAnsi="Times New Roman" w:cs="Times New Roman"/>
          <w:i/>
          <w:sz w:val="24"/>
          <w:szCs w:val="24"/>
        </w:rPr>
        <w:t>2016</w:t>
      </w:r>
      <w:r w:rsidR="00171E1C" w:rsidRPr="00F26F14">
        <w:rPr>
          <w:rFonts w:ascii="Times New Roman" w:hAnsi="Times New Roman" w:cs="Times New Roman"/>
          <w:i/>
          <w:sz w:val="24"/>
          <w:szCs w:val="24"/>
        </w:rPr>
        <w:t xml:space="preserve"> </w:t>
      </w:r>
      <w:r>
        <w:rPr>
          <w:rFonts w:ascii="Times New Roman" w:hAnsi="Times New Roman" w:cs="Times New Roman"/>
          <w:sz w:val="24"/>
          <w:szCs w:val="24"/>
        </w:rPr>
        <w:t xml:space="preserve">este de a prezenta Guvernului </w:t>
      </w:r>
      <w:r w:rsidRPr="00E2647C">
        <w:rPr>
          <w:rFonts w:ascii="Times New Roman" w:hAnsi="Times New Roman" w:cs="Times New Roman"/>
          <w:i/>
          <w:sz w:val="24"/>
          <w:szCs w:val="24"/>
        </w:rPr>
        <w:t xml:space="preserve">stadiul implementării şi dezvoltării sistemelor de control intern managerial la nivelul </w:t>
      </w:r>
      <w:r w:rsidR="00E2647C" w:rsidRPr="00E2647C">
        <w:rPr>
          <w:rFonts w:ascii="Times New Roman" w:hAnsi="Times New Roman" w:cs="Times New Roman"/>
          <w:i/>
          <w:sz w:val="24"/>
          <w:szCs w:val="24"/>
        </w:rPr>
        <w:t>entităților</w:t>
      </w:r>
      <w:r w:rsidRPr="00E2647C">
        <w:rPr>
          <w:rFonts w:ascii="Times New Roman" w:hAnsi="Times New Roman" w:cs="Times New Roman"/>
          <w:i/>
          <w:sz w:val="24"/>
          <w:szCs w:val="24"/>
        </w:rPr>
        <w:t xml:space="preserve"> publice</w:t>
      </w:r>
      <w:r w:rsidRPr="00F85990">
        <w:rPr>
          <w:rFonts w:ascii="Times New Roman" w:hAnsi="Times New Roman" w:cs="Times New Roman"/>
          <w:sz w:val="24"/>
          <w:szCs w:val="24"/>
        </w:rPr>
        <w:t xml:space="preserve"> la care se exercită funcţia de ordonator principal de credite al bugetului de stat, al bugetului asigurărilor sociale de stat şi al </w:t>
      </w:r>
      <w:r>
        <w:rPr>
          <w:rFonts w:ascii="Times New Roman" w:hAnsi="Times New Roman" w:cs="Times New Roman"/>
          <w:sz w:val="24"/>
          <w:szCs w:val="24"/>
        </w:rPr>
        <w:t>bugetului oricărui fond special şi al entităţilor publice aflate în subordo</w:t>
      </w:r>
      <w:r w:rsidR="00E2647C">
        <w:rPr>
          <w:rFonts w:ascii="Times New Roman" w:hAnsi="Times New Roman" w:cs="Times New Roman"/>
          <w:sz w:val="24"/>
          <w:szCs w:val="24"/>
        </w:rPr>
        <w:t>narea sau coordonarea acestora</w:t>
      </w:r>
      <w:r w:rsidR="00C446FE">
        <w:rPr>
          <w:rFonts w:ascii="Times New Roman" w:hAnsi="Times New Roman" w:cs="Times New Roman"/>
          <w:sz w:val="24"/>
          <w:szCs w:val="24"/>
        </w:rPr>
        <w:t>,</w:t>
      </w:r>
      <w:r w:rsidR="00E2647C">
        <w:rPr>
          <w:rFonts w:ascii="Times New Roman" w:hAnsi="Times New Roman" w:cs="Times New Roman"/>
          <w:sz w:val="24"/>
          <w:szCs w:val="24"/>
        </w:rPr>
        <w:t xml:space="preserve"> </w:t>
      </w:r>
      <w:r w:rsidR="00C446FE">
        <w:rPr>
          <w:rFonts w:ascii="Times New Roman" w:hAnsi="Times New Roman" w:cs="Times New Roman"/>
          <w:sz w:val="24"/>
          <w:szCs w:val="24"/>
        </w:rPr>
        <w:t xml:space="preserve">precum </w:t>
      </w:r>
      <w:r>
        <w:rPr>
          <w:rFonts w:ascii="Times New Roman" w:hAnsi="Times New Roman" w:cs="Times New Roman"/>
          <w:sz w:val="24"/>
          <w:szCs w:val="24"/>
        </w:rPr>
        <w:t xml:space="preserve">şi </w:t>
      </w:r>
      <w:r w:rsidRPr="00E01E38">
        <w:rPr>
          <w:rFonts w:ascii="Times New Roman" w:hAnsi="Times New Roman" w:cs="Times New Roman"/>
          <w:i/>
          <w:sz w:val="24"/>
          <w:szCs w:val="24"/>
        </w:rPr>
        <w:t xml:space="preserve">concluzii care se desprind </w:t>
      </w:r>
      <w:r w:rsidR="00C446FE">
        <w:rPr>
          <w:rFonts w:ascii="Times New Roman" w:hAnsi="Times New Roman" w:cs="Times New Roman"/>
          <w:i/>
          <w:sz w:val="24"/>
          <w:szCs w:val="24"/>
        </w:rPr>
        <w:t>pentru</w:t>
      </w:r>
      <w:r w:rsidR="009226D6">
        <w:rPr>
          <w:rFonts w:ascii="Times New Roman" w:hAnsi="Times New Roman" w:cs="Times New Roman"/>
          <w:i/>
          <w:sz w:val="24"/>
          <w:szCs w:val="24"/>
        </w:rPr>
        <w:t xml:space="preserve"> </w:t>
      </w:r>
      <w:r w:rsidRPr="00E01E38">
        <w:rPr>
          <w:rFonts w:ascii="Times New Roman" w:hAnsi="Times New Roman" w:cs="Times New Roman"/>
          <w:i/>
          <w:sz w:val="24"/>
          <w:szCs w:val="24"/>
        </w:rPr>
        <w:t>îmbunătăţirea a</w:t>
      </w:r>
      <w:r w:rsidR="00CC478D" w:rsidRPr="00E01E38">
        <w:rPr>
          <w:rFonts w:ascii="Times New Roman" w:hAnsi="Times New Roman" w:cs="Times New Roman"/>
          <w:i/>
          <w:sz w:val="24"/>
          <w:szCs w:val="24"/>
        </w:rPr>
        <w:t>ctivităţii entităţilor publice în domeniul sistemelor</w:t>
      </w:r>
      <w:r w:rsidRPr="00E01E38">
        <w:rPr>
          <w:rFonts w:ascii="Times New Roman" w:hAnsi="Times New Roman" w:cs="Times New Roman"/>
          <w:i/>
          <w:sz w:val="24"/>
          <w:szCs w:val="24"/>
        </w:rPr>
        <w:t xml:space="preserve"> de control intern managerial</w:t>
      </w:r>
      <w:r>
        <w:rPr>
          <w:rFonts w:ascii="Times New Roman" w:hAnsi="Times New Roman" w:cs="Times New Roman"/>
          <w:sz w:val="24"/>
          <w:szCs w:val="24"/>
        </w:rPr>
        <w:t>.</w:t>
      </w:r>
    </w:p>
    <w:p w:rsidR="00D53789" w:rsidRDefault="00D53789" w:rsidP="00602BDC">
      <w:pPr>
        <w:spacing w:line="276" w:lineRule="auto"/>
        <w:ind w:left="360" w:firstLine="348"/>
        <w:jc w:val="both"/>
        <w:rPr>
          <w:rFonts w:ascii="Times New Roman" w:hAnsi="Times New Roman" w:cs="Times New Roman"/>
          <w:sz w:val="24"/>
          <w:szCs w:val="24"/>
        </w:rPr>
      </w:pPr>
    </w:p>
    <w:p w:rsidR="004B2905" w:rsidRDefault="004B2905">
      <w:pPr>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type="page"/>
      </w:r>
    </w:p>
    <w:p w:rsidR="005B4940" w:rsidRPr="00CF64CA" w:rsidRDefault="005B4940" w:rsidP="004B2905">
      <w:pPr>
        <w:pStyle w:val="Heading1"/>
        <w:spacing w:after="240"/>
        <w:jc w:val="both"/>
        <w:rPr>
          <w:rFonts w:ascii="Times New Roman" w:hAnsi="Times New Roman" w:cs="Times New Roman"/>
          <w:b/>
          <w:color w:val="000000" w:themeColor="text1"/>
          <w:sz w:val="24"/>
          <w:szCs w:val="24"/>
        </w:rPr>
      </w:pPr>
      <w:bookmarkStart w:id="2" w:name="_Toc485907430"/>
      <w:bookmarkStart w:id="3" w:name="_Toc485992668"/>
      <w:r w:rsidRPr="00CF64CA">
        <w:rPr>
          <w:rFonts w:ascii="Times New Roman" w:hAnsi="Times New Roman" w:cs="Times New Roman"/>
          <w:b/>
          <w:color w:val="000000" w:themeColor="text1"/>
          <w:sz w:val="24"/>
          <w:szCs w:val="24"/>
        </w:rPr>
        <w:t xml:space="preserve">CAP.1 </w:t>
      </w:r>
      <w:r w:rsidR="007E7FC1">
        <w:rPr>
          <w:rFonts w:ascii="Times New Roman" w:hAnsi="Times New Roman" w:cs="Times New Roman"/>
          <w:b/>
          <w:color w:val="000000" w:themeColor="text1"/>
          <w:sz w:val="24"/>
          <w:szCs w:val="24"/>
        </w:rPr>
        <w:t xml:space="preserve"> </w:t>
      </w:r>
      <w:r w:rsidRPr="00CF64CA">
        <w:rPr>
          <w:rFonts w:ascii="Times New Roman" w:hAnsi="Times New Roman" w:cs="Times New Roman"/>
          <w:b/>
          <w:color w:val="000000" w:themeColor="text1"/>
          <w:sz w:val="24"/>
          <w:szCs w:val="24"/>
        </w:rPr>
        <w:t>CADRUL GENERAL ÎN DOMENIUL CONTROLULUI  INTERN MANAGERIAL</w:t>
      </w:r>
      <w:bookmarkEnd w:id="2"/>
      <w:bookmarkEnd w:id="3"/>
    </w:p>
    <w:p w:rsidR="007E795C" w:rsidRPr="00CF64CA" w:rsidRDefault="007E795C" w:rsidP="00C7604C">
      <w:pPr>
        <w:pStyle w:val="Raport"/>
        <w:numPr>
          <w:ilvl w:val="1"/>
          <w:numId w:val="12"/>
        </w:numPr>
        <w:spacing w:after="240"/>
        <w:jc w:val="both"/>
        <w:rPr>
          <w:sz w:val="24"/>
          <w:szCs w:val="24"/>
        </w:rPr>
      </w:pPr>
      <w:bookmarkStart w:id="4" w:name="_Toc485907431"/>
      <w:bookmarkStart w:id="5" w:name="_Toc485992669"/>
      <w:r w:rsidRPr="00CF64CA">
        <w:rPr>
          <w:sz w:val="24"/>
          <w:szCs w:val="24"/>
        </w:rPr>
        <w:t xml:space="preserve">Cadrul legislativ și organizatoric în domeniul </w:t>
      </w:r>
      <w:bookmarkEnd w:id="4"/>
      <w:r w:rsidR="005B1BEC">
        <w:rPr>
          <w:sz w:val="24"/>
          <w:szCs w:val="24"/>
        </w:rPr>
        <w:t>SCIM</w:t>
      </w:r>
      <w:bookmarkEnd w:id="5"/>
    </w:p>
    <w:p w:rsidR="001B7BA5" w:rsidRDefault="00A36CCA" w:rsidP="00A61397">
      <w:pPr>
        <w:spacing w:line="276" w:lineRule="auto"/>
        <w:jc w:val="both"/>
        <w:rPr>
          <w:rFonts w:ascii="Times New Roman" w:hAnsi="Times New Roman" w:cs="Times New Roman"/>
          <w:sz w:val="24"/>
          <w:szCs w:val="24"/>
          <w:lang w:val="en-US"/>
        </w:rPr>
      </w:pPr>
      <w:r w:rsidRPr="00A36CCA">
        <w:rPr>
          <w:rFonts w:ascii="Times New Roman" w:hAnsi="Times New Roman" w:cs="Times New Roman"/>
          <w:sz w:val="24"/>
          <w:szCs w:val="24"/>
        </w:rPr>
        <w:t xml:space="preserve">În cadrul Secretariatului General al Guvernului a fost înființată </w:t>
      </w:r>
      <w:r w:rsidRPr="00E01E38">
        <w:rPr>
          <w:rFonts w:ascii="Times New Roman" w:hAnsi="Times New Roman" w:cs="Times New Roman"/>
          <w:i/>
          <w:sz w:val="24"/>
          <w:szCs w:val="24"/>
        </w:rPr>
        <w:t>Direcția Control Intern Managerial și Relații Interinstituționale (DCIMRI)</w:t>
      </w:r>
      <w:r w:rsidR="00E01E38">
        <w:rPr>
          <w:rFonts w:ascii="Times New Roman" w:hAnsi="Times New Roman" w:cs="Times New Roman"/>
          <w:i/>
          <w:sz w:val="24"/>
          <w:szCs w:val="24"/>
        </w:rPr>
        <w:t xml:space="preserve">, </w:t>
      </w:r>
      <w:r w:rsidR="001B7BA5">
        <w:rPr>
          <w:rFonts w:ascii="Times New Roman" w:hAnsi="Times New Roman" w:cs="Times New Roman"/>
          <w:sz w:val="24"/>
          <w:szCs w:val="24"/>
        </w:rPr>
        <w:t xml:space="preserve">în baza </w:t>
      </w:r>
      <w:r w:rsidR="001B7BA5" w:rsidRPr="001B7BA5">
        <w:rPr>
          <w:rFonts w:ascii="Times New Roman" w:hAnsi="Times New Roman" w:cs="Times New Roman"/>
          <w:i/>
          <w:sz w:val="24"/>
          <w:szCs w:val="24"/>
        </w:rPr>
        <w:t>ar</w:t>
      </w:r>
      <w:r w:rsidR="00C446FE">
        <w:rPr>
          <w:rFonts w:ascii="Times New Roman" w:hAnsi="Times New Roman" w:cs="Times New Roman"/>
          <w:i/>
          <w:sz w:val="24"/>
          <w:szCs w:val="24"/>
        </w:rPr>
        <w:t xml:space="preserve">t.11, alin. 6 din </w:t>
      </w:r>
      <w:r w:rsidR="004E62D7">
        <w:rPr>
          <w:rFonts w:ascii="Times New Roman" w:hAnsi="Times New Roman" w:cs="Times New Roman"/>
          <w:i/>
          <w:sz w:val="24"/>
          <w:szCs w:val="24"/>
        </w:rPr>
        <w:t>OUG</w:t>
      </w:r>
      <w:r w:rsidR="001B7BA5" w:rsidRPr="001B7BA5">
        <w:rPr>
          <w:rFonts w:ascii="Times New Roman" w:hAnsi="Times New Roman" w:cs="Times New Roman"/>
          <w:i/>
          <w:sz w:val="24"/>
          <w:szCs w:val="24"/>
        </w:rPr>
        <w:t xml:space="preserve"> nr. 86/2014 privind stabilirea unor măsuri de reorganizare la nivelul administrației publice centrale și pentru modificarea și completarea unor acte normative</w:t>
      </w:r>
      <w:r w:rsidR="001B7BA5" w:rsidRPr="00621DE9">
        <w:rPr>
          <w:rFonts w:ascii="Times New Roman" w:hAnsi="Times New Roman" w:cs="Times New Roman"/>
          <w:i/>
          <w:sz w:val="24"/>
          <w:szCs w:val="24"/>
        </w:rPr>
        <w:t xml:space="preserve">, </w:t>
      </w:r>
      <w:r w:rsidR="001B7BA5" w:rsidRPr="00621DE9">
        <w:rPr>
          <w:rFonts w:ascii="Times New Roman" w:hAnsi="Times New Roman" w:cs="Times New Roman"/>
          <w:i/>
          <w:sz w:val="24"/>
          <w:szCs w:val="24"/>
          <w:lang w:val="en-US"/>
        </w:rPr>
        <w:t xml:space="preserve">aprobată </w:t>
      </w:r>
      <w:r w:rsidR="001B7BA5" w:rsidRPr="004E62D7">
        <w:rPr>
          <w:rFonts w:ascii="Times New Roman" w:hAnsi="Times New Roman" w:cs="Times New Roman"/>
          <w:i/>
          <w:sz w:val="24"/>
          <w:szCs w:val="24"/>
          <w:lang w:val="en-US"/>
        </w:rPr>
        <w:t xml:space="preserve">prin </w:t>
      </w:r>
      <w:r w:rsidR="001B7BA5" w:rsidRPr="004E62D7">
        <w:rPr>
          <w:rFonts w:ascii="Times New Roman" w:hAnsi="Times New Roman" w:cs="Times New Roman"/>
          <w:i/>
          <w:vanish/>
          <w:sz w:val="24"/>
          <w:szCs w:val="24"/>
          <w:lang w:val="en-US"/>
        </w:rPr>
        <w:t>&lt;LLNK 12015   174 10 201   0 18&gt;</w:t>
      </w:r>
      <w:r w:rsidR="001B7BA5" w:rsidRPr="004E62D7">
        <w:rPr>
          <w:rFonts w:ascii="Times New Roman" w:hAnsi="Times New Roman" w:cs="Times New Roman"/>
          <w:i/>
          <w:sz w:val="24"/>
          <w:szCs w:val="24"/>
          <w:lang w:val="en-US"/>
        </w:rPr>
        <w:t>Legea nr. 174/2015</w:t>
      </w:r>
      <w:r w:rsidR="001B7BA5" w:rsidRPr="00497838">
        <w:rPr>
          <w:rFonts w:ascii="Times New Roman" w:hAnsi="Times New Roman" w:cs="Times New Roman"/>
          <w:sz w:val="24"/>
          <w:szCs w:val="24"/>
          <w:lang w:val="en-US"/>
        </w:rPr>
        <w:t xml:space="preserve">, </w:t>
      </w:r>
      <w:r w:rsidR="001B7BA5" w:rsidRPr="00621DE9">
        <w:rPr>
          <w:rFonts w:ascii="Times New Roman" w:hAnsi="Times New Roman" w:cs="Times New Roman"/>
          <w:i/>
          <w:sz w:val="24"/>
          <w:szCs w:val="24"/>
          <w:lang w:val="en-US"/>
        </w:rPr>
        <w:t xml:space="preserve">cu modificările </w:t>
      </w:r>
      <w:r w:rsidR="00B01049" w:rsidRPr="00621DE9">
        <w:rPr>
          <w:rFonts w:ascii="Times New Roman" w:hAnsi="Times New Roman" w:cs="Times New Roman"/>
          <w:i/>
          <w:sz w:val="24"/>
          <w:szCs w:val="24"/>
          <w:lang w:val="en-US"/>
        </w:rPr>
        <w:t>şi completări</w:t>
      </w:r>
      <w:r w:rsidR="00B01049">
        <w:rPr>
          <w:rFonts w:ascii="Times New Roman" w:hAnsi="Times New Roman" w:cs="Times New Roman"/>
          <w:i/>
          <w:sz w:val="24"/>
          <w:szCs w:val="24"/>
          <w:lang w:val="en-US"/>
        </w:rPr>
        <w:t>le</w:t>
      </w:r>
      <w:r w:rsidR="00B01049" w:rsidRPr="00621DE9">
        <w:rPr>
          <w:rFonts w:ascii="Times New Roman" w:hAnsi="Times New Roman" w:cs="Times New Roman"/>
          <w:i/>
          <w:sz w:val="24"/>
          <w:szCs w:val="24"/>
          <w:lang w:val="en-US"/>
        </w:rPr>
        <w:t xml:space="preserve"> </w:t>
      </w:r>
      <w:r w:rsidR="001B7BA5" w:rsidRPr="00621DE9">
        <w:rPr>
          <w:rFonts w:ascii="Times New Roman" w:hAnsi="Times New Roman" w:cs="Times New Roman"/>
          <w:i/>
          <w:sz w:val="24"/>
          <w:szCs w:val="24"/>
          <w:lang w:val="en-US"/>
        </w:rPr>
        <w:t>ulterioare</w:t>
      </w:r>
      <w:r w:rsidR="001B7BA5">
        <w:rPr>
          <w:rFonts w:ascii="Times New Roman" w:hAnsi="Times New Roman" w:cs="Times New Roman"/>
          <w:sz w:val="24"/>
          <w:szCs w:val="24"/>
          <w:lang w:val="en-US"/>
        </w:rPr>
        <w:t>.</w:t>
      </w:r>
    </w:p>
    <w:p w:rsidR="004A3DD1" w:rsidRDefault="00D306E5" w:rsidP="004B2905">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Direcția </w:t>
      </w:r>
      <w:r w:rsidR="004A3DD1" w:rsidRPr="004A3DD1">
        <w:rPr>
          <w:rFonts w:ascii="Times New Roman" w:hAnsi="Times New Roman" w:cs="Times New Roman"/>
          <w:sz w:val="24"/>
          <w:szCs w:val="24"/>
        </w:rPr>
        <w:t>control intern managerial și relații interinstituționale</w:t>
      </w:r>
      <w:r w:rsidR="004A3DD1">
        <w:rPr>
          <w:rFonts w:ascii="Times New Roman" w:hAnsi="Times New Roman" w:cs="Times New Roman"/>
          <w:sz w:val="24"/>
          <w:szCs w:val="24"/>
        </w:rPr>
        <w:t xml:space="preserve"> are ca</w:t>
      </w:r>
      <w:r w:rsidR="004A3DD1" w:rsidRPr="004A3DD1">
        <w:rPr>
          <w:rFonts w:ascii="Times New Roman" w:hAnsi="Times New Roman" w:cs="Times New Roman"/>
          <w:sz w:val="24"/>
          <w:szCs w:val="24"/>
        </w:rPr>
        <w:t xml:space="preserve"> responsabilitate principală elaborarea și implementarea politicii în domeniul sistemulu</w:t>
      </w:r>
      <w:r w:rsidR="004E62D7">
        <w:rPr>
          <w:rFonts w:ascii="Times New Roman" w:hAnsi="Times New Roman" w:cs="Times New Roman"/>
          <w:sz w:val="24"/>
          <w:szCs w:val="24"/>
        </w:rPr>
        <w:t xml:space="preserve">i de control intern managerial și </w:t>
      </w:r>
      <w:r w:rsidR="004A3DD1" w:rsidRPr="004A3DD1">
        <w:rPr>
          <w:rFonts w:ascii="Times New Roman" w:hAnsi="Times New Roman" w:cs="Times New Roman"/>
          <w:sz w:val="24"/>
          <w:szCs w:val="24"/>
        </w:rPr>
        <w:t>coordonarea și supravegherea prin activități de verificare și îndrumare metodologică a implementării sistemul</w:t>
      </w:r>
      <w:r w:rsidR="004A3DD1">
        <w:rPr>
          <w:rFonts w:ascii="Times New Roman" w:hAnsi="Times New Roman" w:cs="Times New Roman"/>
          <w:sz w:val="24"/>
          <w:szCs w:val="24"/>
        </w:rPr>
        <w:t>ui de control intern managerial.</w:t>
      </w:r>
    </w:p>
    <w:p w:rsidR="00AE5D9C" w:rsidRDefault="004A3DD1" w:rsidP="004B2905">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În acest sens, DCIMRI</w:t>
      </w:r>
      <w:r w:rsidRPr="004A3DD1">
        <w:rPr>
          <w:rFonts w:ascii="Times New Roman" w:hAnsi="Times New Roman" w:cs="Times New Roman"/>
          <w:sz w:val="24"/>
          <w:szCs w:val="24"/>
          <w:lang w:val="en-US"/>
        </w:rPr>
        <w:t xml:space="preserve"> desfășoară activit</w:t>
      </w:r>
      <w:r w:rsidR="009226D6">
        <w:rPr>
          <w:rFonts w:ascii="Times New Roman" w:hAnsi="Times New Roman" w:cs="Times New Roman"/>
          <w:sz w:val="24"/>
          <w:szCs w:val="24"/>
          <w:lang w:val="en-US"/>
        </w:rPr>
        <w:t xml:space="preserve">ăți de reglementare în domeniul </w:t>
      </w:r>
      <w:r w:rsidRPr="004A3DD1">
        <w:rPr>
          <w:rFonts w:ascii="Times New Roman" w:hAnsi="Times New Roman" w:cs="Times New Roman"/>
          <w:sz w:val="24"/>
          <w:szCs w:val="24"/>
          <w:lang w:val="en-US"/>
        </w:rPr>
        <w:t>implementării și dezvoltării standardelor de control intern managerial, la nivelul ordonatorilor principali de credite prin misiuni de verificare și îndrumare metodologică a procesului de implementare și dezvoltare a sistemului de control intern managerial din cadrul entităților publice.</w:t>
      </w:r>
    </w:p>
    <w:p w:rsidR="00602BDC" w:rsidRPr="004B2905" w:rsidRDefault="00AE5D9C" w:rsidP="004B2905">
      <w:pPr>
        <w:spacing w:line="276" w:lineRule="auto"/>
        <w:jc w:val="both"/>
        <w:rPr>
          <w:rFonts w:ascii="Times New Roman" w:hAnsi="Times New Roman" w:cs="Times New Roman"/>
          <w:i/>
          <w:sz w:val="24"/>
          <w:szCs w:val="24"/>
          <w:lang w:val="en-US"/>
        </w:rPr>
      </w:pPr>
      <w:r w:rsidRPr="004B2905">
        <w:rPr>
          <w:rFonts w:ascii="Times New Roman" w:hAnsi="Times New Roman" w:cs="Times New Roman"/>
          <w:b/>
          <w:sz w:val="24"/>
          <w:szCs w:val="24"/>
          <w:lang w:val="en-US"/>
        </w:rPr>
        <w:t>Secretariatului</w:t>
      </w:r>
      <w:r w:rsidR="009226D6" w:rsidRPr="004B2905">
        <w:rPr>
          <w:rFonts w:ascii="Times New Roman" w:hAnsi="Times New Roman" w:cs="Times New Roman"/>
          <w:b/>
          <w:sz w:val="24"/>
          <w:szCs w:val="24"/>
          <w:lang w:val="en-US"/>
        </w:rPr>
        <w:t xml:space="preserve"> General al Guvernului</w:t>
      </w:r>
      <w:r w:rsidR="009226D6" w:rsidRPr="004B2905">
        <w:rPr>
          <w:rFonts w:ascii="Times New Roman" w:hAnsi="Times New Roman" w:cs="Times New Roman"/>
          <w:sz w:val="24"/>
          <w:szCs w:val="24"/>
          <w:lang w:val="en-US"/>
        </w:rPr>
        <w:t xml:space="preserve"> asigură evaluarea sistemului de control</w:t>
      </w:r>
      <w:r w:rsidRPr="004B2905">
        <w:rPr>
          <w:rFonts w:ascii="Times New Roman" w:hAnsi="Times New Roman" w:cs="Times New Roman"/>
          <w:sz w:val="24"/>
          <w:szCs w:val="24"/>
          <w:lang w:val="en-US"/>
        </w:rPr>
        <w:t xml:space="preserve"> intern managerial</w:t>
      </w:r>
      <w:r w:rsidR="00C446FE" w:rsidRPr="004B2905">
        <w:rPr>
          <w:rFonts w:ascii="Times New Roman" w:hAnsi="Times New Roman" w:cs="Times New Roman"/>
          <w:sz w:val="24"/>
          <w:szCs w:val="24"/>
          <w:lang w:val="en-US"/>
        </w:rPr>
        <w:t xml:space="preserve"> la nivelul entităților publice</w:t>
      </w:r>
      <w:r w:rsidRPr="004B2905">
        <w:rPr>
          <w:rFonts w:ascii="Times New Roman" w:hAnsi="Times New Roman" w:cs="Times New Roman"/>
          <w:sz w:val="24"/>
          <w:szCs w:val="24"/>
          <w:lang w:val="en-US"/>
        </w:rPr>
        <w:t xml:space="preserve">, </w:t>
      </w:r>
      <w:r w:rsidR="009226D6" w:rsidRPr="004B2905">
        <w:rPr>
          <w:rFonts w:ascii="Times New Roman" w:hAnsi="Times New Roman" w:cs="Times New Roman"/>
          <w:sz w:val="24"/>
          <w:szCs w:val="24"/>
          <w:lang w:val="en-US"/>
        </w:rPr>
        <w:t>prin</w:t>
      </w:r>
      <w:r w:rsidR="009226D6" w:rsidRPr="004B2905">
        <w:rPr>
          <w:rFonts w:ascii="Times New Roman" w:hAnsi="Times New Roman" w:cs="Times New Roman"/>
          <w:i/>
          <w:sz w:val="24"/>
          <w:szCs w:val="24"/>
          <w:lang w:val="en-US"/>
        </w:rPr>
        <w:t xml:space="preserve"> DCIMRI</w:t>
      </w:r>
      <w:r w:rsidR="00171E1C" w:rsidRPr="004B2905">
        <w:rPr>
          <w:rFonts w:ascii="Times New Roman" w:hAnsi="Times New Roman" w:cs="Times New Roman"/>
          <w:i/>
          <w:sz w:val="24"/>
          <w:szCs w:val="24"/>
          <w:lang w:val="en-US"/>
        </w:rPr>
        <w:t xml:space="preserve">, </w:t>
      </w:r>
      <w:r w:rsidR="0007613A" w:rsidRPr="004B2905">
        <w:rPr>
          <w:rFonts w:ascii="Times New Roman" w:hAnsi="Times New Roman" w:cs="Times New Roman"/>
          <w:sz w:val="24"/>
          <w:szCs w:val="24"/>
          <w:lang w:val="en-US"/>
        </w:rPr>
        <w:t>în conformitate cu</w:t>
      </w:r>
      <w:r w:rsidR="0007613A" w:rsidRPr="004B2905">
        <w:rPr>
          <w:rFonts w:ascii="Times New Roman" w:hAnsi="Times New Roman" w:cs="Times New Roman"/>
          <w:i/>
          <w:sz w:val="24"/>
          <w:szCs w:val="24"/>
          <w:lang w:val="en-US"/>
        </w:rPr>
        <w:t xml:space="preserve"> punctul 3 din OSGG nr. 201/2016 pentru aprobarea Normelor metodologice privind coordonarea, îndrumarea metodologică și supravegherea stadiului implementării și dezvoltării sistemului de control intern managerial la entitățile publice</w:t>
      </w:r>
      <w:r w:rsidRPr="004B2905">
        <w:rPr>
          <w:rFonts w:ascii="Times New Roman" w:hAnsi="Times New Roman" w:cs="Times New Roman"/>
          <w:i/>
          <w:sz w:val="24"/>
          <w:szCs w:val="24"/>
          <w:lang w:val="en-US"/>
        </w:rPr>
        <w:t>,</w:t>
      </w:r>
      <w:r w:rsidRPr="004B2905">
        <w:rPr>
          <w:rFonts w:ascii="Times New Roman" w:hAnsi="Times New Roman" w:cs="Times New Roman"/>
          <w:sz w:val="24"/>
          <w:szCs w:val="24"/>
          <w:lang w:val="en-US"/>
        </w:rPr>
        <w:t xml:space="preserve"> </w:t>
      </w:r>
      <w:r w:rsidR="009226D6" w:rsidRPr="004B2905">
        <w:rPr>
          <w:rFonts w:ascii="Times New Roman" w:hAnsi="Times New Roman" w:cs="Times New Roman"/>
          <w:sz w:val="24"/>
          <w:szCs w:val="24"/>
          <w:lang w:val="en-US"/>
        </w:rPr>
        <w:t>prin</w:t>
      </w:r>
      <w:r w:rsidR="009226D6" w:rsidRPr="004B2905">
        <w:rPr>
          <w:rFonts w:ascii="Times New Roman" w:hAnsi="Times New Roman" w:cs="Times New Roman"/>
          <w:i/>
          <w:sz w:val="24"/>
          <w:szCs w:val="24"/>
          <w:lang w:val="en-US"/>
        </w:rPr>
        <w:t xml:space="preserve"> </w:t>
      </w:r>
      <w:r w:rsidRPr="004B2905">
        <w:rPr>
          <w:rFonts w:ascii="Times New Roman" w:hAnsi="Times New Roman" w:cs="Times New Roman"/>
          <w:sz w:val="24"/>
          <w:szCs w:val="24"/>
          <w:lang w:val="en-US"/>
        </w:rPr>
        <w:t>următoarele funcţii</w:t>
      </w:r>
      <w:r w:rsidRPr="00C446A0">
        <w:rPr>
          <w:rFonts w:ascii="Times New Roman" w:hAnsi="Times New Roman" w:cs="Times New Roman"/>
          <w:sz w:val="24"/>
          <w:szCs w:val="24"/>
          <w:lang w:val="en-US"/>
        </w:rPr>
        <w:t>:</w:t>
      </w:r>
    </w:p>
    <w:p w:rsidR="00602BDC" w:rsidRPr="00602BDC" w:rsidRDefault="00AE5D9C" w:rsidP="00C7604C">
      <w:pPr>
        <w:pStyle w:val="ListParagraph"/>
        <w:numPr>
          <w:ilvl w:val="0"/>
          <w:numId w:val="7"/>
        </w:numPr>
        <w:spacing w:after="120" w:line="276" w:lineRule="auto"/>
        <w:ind w:left="782" w:hanging="357"/>
        <w:contextualSpacing w:val="0"/>
        <w:jc w:val="both"/>
        <w:rPr>
          <w:rFonts w:ascii="Times New Roman" w:hAnsi="Times New Roman" w:cs="Times New Roman"/>
          <w:i/>
          <w:sz w:val="24"/>
          <w:szCs w:val="24"/>
          <w:lang w:val="en-US"/>
        </w:rPr>
      </w:pPr>
      <w:r w:rsidRPr="004B2905">
        <w:rPr>
          <w:rFonts w:ascii="Times New Roman" w:hAnsi="Times New Roman" w:cs="Times New Roman"/>
          <w:b/>
          <w:i/>
          <w:sz w:val="24"/>
          <w:szCs w:val="24"/>
          <w:lang w:val="en-US"/>
        </w:rPr>
        <w:t>funcţia de reglementare</w:t>
      </w:r>
      <w:r w:rsidRPr="00602BDC">
        <w:rPr>
          <w:rFonts w:ascii="Times New Roman" w:hAnsi="Times New Roman" w:cs="Times New Roman"/>
          <w:sz w:val="24"/>
          <w:szCs w:val="24"/>
          <w:lang w:val="en-US"/>
        </w:rPr>
        <w:t xml:space="preserve"> a politicii în domeniul sistemului de control intern managerial;</w:t>
      </w:r>
    </w:p>
    <w:p w:rsidR="00602BDC" w:rsidRPr="00602BDC" w:rsidRDefault="00AE5D9C" w:rsidP="00C7604C">
      <w:pPr>
        <w:pStyle w:val="ListParagraph"/>
        <w:numPr>
          <w:ilvl w:val="0"/>
          <w:numId w:val="7"/>
        </w:numPr>
        <w:spacing w:after="120" w:line="276" w:lineRule="auto"/>
        <w:ind w:left="782" w:hanging="357"/>
        <w:contextualSpacing w:val="0"/>
        <w:jc w:val="both"/>
        <w:rPr>
          <w:rFonts w:ascii="Times New Roman" w:hAnsi="Times New Roman" w:cs="Times New Roman"/>
          <w:i/>
          <w:sz w:val="24"/>
          <w:szCs w:val="24"/>
          <w:lang w:val="en-US"/>
        </w:rPr>
      </w:pPr>
      <w:r w:rsidRPr="00602BDC">
        <w:rPr>
          <w:rFonts w:ascii="Times New Roman" w:hAnsi="Times New Roman" w:cs="Times New Roman"/>
          <w:sz w:val="24"/>
          <w:szCs w:val="24"/>
          <w:lang w:val="en-US"/>
        </w:rPr>
        <w:t xml:space="preserve"> </w:t>
      </w:r>
      <w:r w:rsidRPr="004B2905">
        <w:rPr>
          <w:rFonts w:ascii="Times New Roman" w:hAnsi="Times New Roman" w:cs="Times New Roman"/>
          <w:b/>
          <w:i/>
          <w:sz w:val="24"/>
          <w:szCs w:val="24"/>
          <w:lang w:val="en-US"/>
        </w:rPr>
        <w:t>funcţia de coordonare</w:t>
      </w:r>
      <w:r w:rsidRPr="00602BDC">
        <w:rPr>
          <w:rFonts w:ascii="Times New Roman" w:hAnsi="Times New Roman" w:cs="Times New Roman"/>
          <w:sz w:val="24"/>
          <w:szCs w:val="24"/>
          <w:lang w:val="en-US"/>
        </w:rPr>
        <w:t xml:space="preserve"> în vederea armonizării activităţilor în procesul implementării şi dezvoltării sistemului de control intern managerial;</w:t>
      </w:r>
    </w:p>
    <w:p w:rsidR="00602BDC" w:rsidRPr="00602BDC" w:rsidRDefault="00AE5D9C" w:rsidP="00C7604C">
      <w:pPr>
        <w:pStyle w:val="ListParagraph"/>
        <w:numPr>
          <w:ilvl w:val="0"/>
          <w:numId w:val="7"/>
        </w:numPr>
        <w:spacing w:after="120" w:line="276" w:lineRule="auto"/>
        <w:ind w:left="782" w:hanging="357"/>
        <w:contextualSpacing w:val="0"/>
        <w:jc w:val="both"/>
        <w:rPr>
          <w:rFonts w:ascii="Times New Roman" w:hAnsi="Times New Roman" w:cs="Times New Roman"/>
          <w:i/>
          <w:sz w:val="24"/>
          <w:szCs w:val="24"/>
          <w:lang w:val="en-US"/>
        </w:rPr>
      </w:pPr>
      <w:r w:rsidRPr="00602BDC">
        <w:rPr>
          <w:rFonts w:ascii="Times New Roman" w:hAnsi="Times New Roman" w:cs="Times New Roman"/>
          <w:sz w:val="24"/>
          <w:szCs w:val="24"/>
          <w:lang w:val="en-US"/>
        </w:rPr>
        <w:t xml:space="preserve"> </w:t>
      </w:r>
      <w:r w:rsidRPr="004B2905">
        <w:rPr>
          <w:rFonts w:ascii="Times New Roman" w:hAnsi="Times New Roman" w:cs="Times New Roman"/>
          <w:b/>
          <w:i/>
          <w:sz w:val="24"/>
          <w:szCs w:val="24"/>
          <w:lang w:val="en-US"/>
        </w:rPr>
        <w:t>funcţia de supraveghere</w:t>
      </w:r>
      <w:r w:rsidRPr="00602BDC">
        <w:rPr>
          <w:rFonts w:ascii="Times New Roman" w:hAnsi="Times New Roman" w:cs="Times New Roman"/>
          <w:sz w:val="24"/>
          <w:szCs w:val="24"/>
          <w:lang w:val="en-US"/>
        </w:rPr>
        <w:t xml:space="preserve"> a activităţii de verificare a realităţii şi a exactităţii a raportărilor transmise şi a activităţii de îndrumare metodologică pentru implementarea şi dezvoltarea sistemului de control intern managerial;</w:t>
      </w:r>
    </w:p>
    <w:p w:rsidR="00602BDC" w:rsidRPr="00602BDC" w:rsidRDefault="00AE5D9C" w:rsidP="00C7604C">
      <w:pPr>
        <w:pStyle w:val="ListParagraph"/>
        <w:numPr>
          <w:ilvl w:val="0"/>
          <w:numId w:val="7"/>
        </w:numPr>
        <w:spacing w:after="120" w:line="276" w:lineRule="auto"/>
        <w:ind w:left="782" w:hanging="357"/>
        <w:contextualSpacing w:val="0"/>
        <w:jc w:val="both"/>
        <w:rPr>
          <w:rFonts w:ascii="Times New Roman" w:hAnsi="Times New Roman" w:cs="Times New Roman"/>
          <w:i/>
          <w:sz w:val="24"/>
          <w:szCs w:val="24"/>
          <w:lang w:val="en-US"/>
        </w:rPr>
      </w:pPr>
      <w:r w:rsidRPr="00602BDC">
        <w:rPr>
          <w:rFonts w:ascii="Times New Roman" w:hAnsi="Times New Roman" w:cs="Times New Roman"/>
          <w:sz w:val="24"/>
          <w:szCs w:val="24"/>
          <w:lang w:val="en-US"/>
        </w:rPr>
        <w:t xml:space="preserve"> </w:t>
      </w:r>
      <w:r w:rsidRPr="004B2905">
        <w:rPr>
          <w:rFonts w:ascii="Times New Roman" w:hAnsi="Times New Roman" w:cs="Times New Roman"/>
          <w:b/>
          <w:i/>
          <w:sz w:val="24"/>
          <w:szCs w:val="24"/>
          <w:lang w:val="en-US"/>
        </w:rPr>
        <w:t>funcţia de verificare</w:t>
      </w:r>
      <w:r w:rsidRPr="00602BDC">
        <w:rPr>
          <w:rFonts w:ascii="Times New Roman" w:hAnsi="Times New Roman" w:cs="Times New Roman"/>
          <w:sz w:val="24"/>
          <w:szCs w:val="24"/>
          <w:lang w:val="en-US"/>
        </w:rPr>
        <w:t xml:space="preserve"> pentru monitorizarea veridicităţii raportărilor entităţilor publice în procesul de evaluare a stadiului implementării şi dezvoltării sistemului de control intern managerial;</w:t>
      </w:r>
    </w:p>
    <w:p w:rsidR="00AE5D9C" w:rsidRPr="00602BDC" w:rsidRDefault="00AE5D9C" w:rsidP="00C7604C">
      <w:pPr>
        <w:pStyle w:val="ListParagraph"/>
        <w:numPr>
          <w:ilvl w:val="0"/>
          <w:numId w:val="7"/>
        </w:numPr>
        <w:spacing w:after="120" w:line="276" w:lineRule="auto"/>
        <w:ind w:left="782" w:hanging="357"/>
        <w:contextualSpacing w:val="0"/>
        <w:jc w:val="both"/>
        <w:rPr>
          <w:rFonts w:ascii="Times New Roman" w:hAnsi="Times New Roman" w:cs="Times New Roman"/>
          <w:i/>
          <w:sz w:val="24"/>
          <w:szCs w:val="24"/>
          <w:lang w:val="en-US"/>
        </w:rPr>
      </w:pPr>
      <w:r w:rsidRPr="004B2905">
        <w:rPr>
          <w:rFonts w:ascii="Times New Roman" w:hAnsi="Times New Roman" w:cs="Times New Roman"/>
          <w:b/>
          <w:sz w:val="24"/>
          <w:szCs w:val="24"/>
          <w:lang w:val="en-US"/>
        </w:rPr>
        <w:t xml:space="preserve"> </w:t>
      </w:r>
      <w:r w:rsidRPr="004B2905">
        <w:rPr>
          <w:rFonts w:ascii="Times New Roman" w:hAnsi="Times New Roman" w:cs="Times New Roman"/>
          <w:b/>
          <w:i/>
          <w:sz w:val="24"/>
          <w:szCs w:val="24"/>
          <w:lang w:val="en-US"/>
        </w:rPr>
        <w:t>funcţia de îndrumare metodologică</w:t>
      </w:r>
      <w:r w:rsidRPr="00602BDC">
        <w:rPr>
          <w:rFonts w:ascii="Times New Roman" w:hAnsi="Times New Roman" w:cs="Times New Roman"/>
          <w:sz w:val="24"/>
          <w:szCs w:val="24"/>
          <w:lang w:val="en-US"/>
        </w:rPr>
        <w:t xml:space="preserve"> pentru asigurarea consilierii personalului entităţilor publice în procesul implementării şi dezvoltării sistemului de control intern managerial pe parcursul derulării misiunilor de verificare şi îndrumare metodologică.</w:t>
      </w:r>
    </w:p>
    <w:p w:rsidR="004B2905" w:rsidRDefault="004B2905">
      <w:pPr>
        <w:rPr>
          <w:rFonts w:ascii="Times New Roman" w:hAnsi="Times New Roman" w:cs="Times New Roman"/>
          <w:b/>
          <w:sz w:val="24"/>
          <w:szCs w:val="24"/>
        </w:rPr>
      </w:pPr>
      <w:r>
        <w:rPr>
          <w:rFonts w:ascii="Times New Roman" w:hAnsi="Times New Roman" w:cs="Times New Roman"/>
          <w:b/>
          <w:sz w:val="24"/>
          <w:szCs w:val="24"/>
        </w:rPr>
        <w:br w:type="page"/>
      </w:r>
    </w:p>
    <w:p w:rsidR="00AE5D9C" w:rsidRPr="004B2905" w:rsidRDefault="004A3DD1" w:rsidP="004B2905">
      <w:pPr>
        <w:spacing w:after="120" w:line="276" w:lineRule="auto"/>
        <w:jc w:val="both"/>
        <w:rPr>
          <w:rFonts w:ascii="Times New Roman" w:hAnsi="Times New Roman" w:cs="Times New Roman"/>
          <w:sz w:val="24"/>
          <w:szCs w:val="24"/>
          <w:lang w:val="en-US"/>
        </w:rPr>
      </w:pPr>
      <w:r w:rsidRPr="004B2905">
        <w:rPr>
          <w:rFonts w:ascii="Times New Roman" w:hAnsi="Times New Roman" w:cs="Times New Roman"/>
          <w:b/>
          <w:sz w:val="24"/>
          <w:szCs w:val="24"/>
        </w:rPr>
        <w:t>Direcția control intern managerial și relații interinstituționale</w:t>
      </w:r>
      <w:r w:rsidRPr="004B2905">
        <w:rPr>
          <w:rFonts w:ascii="Times New Roman" w:hAnsi="Times New Roman" w:cs="Times New Roman"/>
          <w:sz w:val="24"/>
          <w:szCs w:val="24"/>
        </w:rPr>
        <w:t>,</w:t>
      </w:r>
      <w:r w:rsidRPr="004B2905">
        <w:rPr>
          <w:rFonts w:ascii="Times New Roman" w:hAnsi="Times New Roman" w:cs="Times New Roman"/>
          <w:sz w:val="24"/>
          <w:szCs w:val="24"/>
          <w:lang w:val="en-US"/>
        </w:rPr>
        <w:t xml:space="preserve"> în realizarea funcţiilor sale </w:t>
      </w:r>
      <w:r w:rsidR="00AE5D9C" w:rsidRPr="004B2905">
        <w:rPr>
          <w:rFonts w:ascii="Times New Roman" w:hAnsi="Times New Roman" w:cs="Times New Roman"/>
          <w:sz w:val="24"/>
          <w:szCs w:val="24"/>
          <w:lang w:val="en-US"/>
        </w:rPr>
        <w:t>are următoarele atribuţii:</w:t>
      </w:r>
    </w:p>
    <w:p w:rsidR="004B2905" w:rsidRPr="004B2905" w:rsidRDefault="00602BD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4B2905">
        <w:rPr>
          <w:rFonts w:ascii="Times New Roman" w:hAnsi="Times New Roman" w:cs="Times New Roman"/>
          <w:sz w:val="24"/>
          <w:szCs w:val="24"/>
          <w:lang w:val="en-US"/>
        </w:rPr>
        <w:t>r</w:t>
      </w:r>
      <w:r w:rsidR="00AE5D9C" w:rsidRPr="004B2905">
        <w:rPr>
          <w:rFonts w:ascii="Times New Roman" w:hAnsi="Times New Roman" w:cs="Times New Roman"/>
          <w:sz w:val="24"/>
          <w:szCs w:val="24"/>
          <w:lang w:val="en-US"/>
        </w:rPr>
        <w:t>eglementează şi elaborează politicile în domeniul sistemului de control intern managerial</w:t>
      </w:r>
      <w:r w:rsidRPr="004B2905">
        <w:rPr>
          <w:rFonts w:ascii="Times New Roman" w:hAnsi="Times New Roman" w:cs="Times New Roman"/>
          <w:sz w:val="24"/>
          <w:szCs w:val="24"/>
        </w:rPr>
        <w:t>;</w:t>
      </w:r>
    </w:p>
    <w:p w:rsidR="004B2905" w:rsidRDefault="00602BD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4B2905">
        <w:rPr>
          <w:rFonts w:ascii="Times New Roman" w:hAnsi="Times New Roman" w:cs="Times New Roman"/>
          <w:sz w:val="24"/>
          <w:szCs w:val="24"/>
          <w:lang w:val="en-US"/>
        </w:rPr>
        <w:t>i</w:t>
      </w:r>
      <w:r w:rsidR="00AE5D9C" w:rsidRPr="004B2905">
        <w:rPr>
          <w:rFonts w:ascii="Times New Roman" w:hAnsi="Times New Roman" w:cs="Times New Roman"/>
          <w:sz w:val="24"/>
          <w:szCs w:val="24"/>
          <w:lang w:val="en-US"/>
        </w:rPr>
        <w:t>mplementează politicile în domeniul sistemului de control intern managerial;</w:t>
      </w:r>
    </w:p>
    <w:p w:rsidR="004B2905" w:rsidRDefault="00AE5D9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4B2905">
        <w:rPr>
          <w:rFonts w:ascii="Times New Roman" w:hAnsi="Times New Roman" w:cs="Times New Roman"/>
          <w:sz w:val="24"/>
          <w:szCs w:val="24"/>
          <w:lang w:val="en-US"/>
        </w:rPr>
        <w:t>coordonează cadrul de reglementare în domeniul sistemului de control intern managerial;</w:t>
      </w:r>
    </w:p>
    <w:p w:rsidR="004B2905" w:rsidRDefault="00AE5D9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4B2905">
        <w:rPr>
          <w:rFonts w:ascii="Times New Roman" w:hAnsi="Times New Roman" w:cs="Times New Roman"/>
          <w:sz w:val="24"/>
          <w:szCs w:val="24"/>
          <w:lang w:val="en-US"/>
        </w:rPr>
        <w:t>revizuieşte standardele de control intern managerial în concordanţă cu principiile bunelor practici europene şi internaţionale în domeniu;</w:t>
      </w:r>
    </w:p>
    <w:p w:rsidR="004B2905" w:rsidRDefault="00AE5D9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4B2905">
        <w:rPr>
          <w:rFonts w:ascii="Times New Roman" w:hAnsi="Times New Roman" w:cs="Times New Roman"/>
          <w:sz w:val="24"/>
          <w:szCs w:val="24"/>
          <w:lang w:val="en-US"/>
        </w:rPr>
        <w:t>elaborează planul anual de activitate a direcţiei, care se supune spre aprobare conducerii entităţii;</w:t>
      </w:r>
    </w:p>
    <w:p w:rsidR="004B2905" w:rsidRDefault="00AE5D9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AE5D9C">
        <w:rPr>
          <w:rFonts w:ascii="Times New Roman" w:hAnsi="Times New Roman" w:cs="Times New Roman"/>
          <w:sz w:val="24"/>
          <w:szCs w:val="24"/>
          <w:lang w:val="en-US"/>
        </w:rPr>
        <w:t xml:space="preserve">monitorizează activitatea de verificare a realităţii şi exactităţii </w:t>
      </w:r>
      <w:r w:rsidR="00F26F14">
        <w:rPr>
          <w:rFonts w:ascii="Times New Roman" w:hAnsi="Times New Roman" w:cs="Times New Roman"/>
          <w:sz w:val="24"/>
          <w:szCs w:val="24"/>
          <w:lang w:val="en-US"/>
        </w:rPr>
        <w:t xml:space="preserve">raportărilor privind stadiul de </w:t>
      </w:r>
      <w:r w:rsidRPr="00AE5D9C">
        <w:rPr>
          <w:rFonts w:ascii="Times New Roman" w:hAnsi="Times New Roman" w:cs="Times New Roman"/>
          <w:sz w:val="24"/>
          <w:szCs w:val="24"/>
          <w:lang w:val="en-US"/>
        </w:rPr>
        <w:t>implementare a sistemelor de control intern managerial în cadrul entităţilor publice şi redactează documente privind misiunile de verificare şi îndrumare metodologică, care se transmit spre aprobare;</w:t>
      </w:r>
    </w:p>
    <w:p w:rsidR="004B2905" w:rsidRDefault="00AE5D9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AE5D9C">
        <w:rPr>
          <w:rFonts w:ascii="Times New Roman" w:hAnsi="Times New Roman" w:cs="Times New Roman"/>
          <w:sz w:val="24"/>
          <w:szCs w:val="24"/>
          <w:lang w:val="en-US"/>
        </w:rPr>
        <w:t>monitorizează activitatea de îndrumare metodologică a modului de implementare şi dezvoltare a sistemului de control intern managerial şi acordă consiliere pe parcursul derulării misiunilor de verificare şi îndrumare metodologică;</w:t>
      </w:r>
    </w:p>
    <w:p w:rsidR="004B2905" w:rsidRDefault="00AE5D9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AE5D9C">
        <w:rPr>
          <w:rFonts w:ascii="Times New Roman" w:hAnsi="Times New Roman" w:cs="Times New Roman"/>
          <w:sz w:val="24"/>
          <w:szCs w:val="24"/>
          <w:lang w:val="en-US"/>
        </w:rPr>
        <w:t>analizează şi centralizează documentele şi informaţiile privind stadiul implementării şi dezvoltării sistemului de control intern managerial la nivelul ordonatorilor principali de credite ai bugetului de stat, ai bugetului asigurărilor sociale de stat şi al bugetului oricărui fond special;</w:t>
      </w:r>
    </w:p>
    <w:p w:rsidR="004B2905" w:rsidRDefault="00AE5D9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AE5D9C">
        <w:rPr>
          <w:rFonts w:ascii="Times New Roman" w:hAnsi="Times New Roman" w:cs="Times New Roman"/>
          <w:sz w:val="24"/>
          <w:szCs w:val="24"/>
          <w:lang w:val="en-US"/>
        </w:rPr>
        <w:t xml:space="preserve">elaborează Raportul privind stadiul implementării sistemului de control intern managerial </w:t>
      </w:r>
      <w:r w:rsidR="00120846">
        <w:rPr>
          <w:rFonts w:ascii="Times New Roman" w:hAnsi="Times New Roman" w:cs="Times New Roman"/>
          <w:sz w:val="24"/>
          <w:szCs w:val="24"/>
          <w:lang w:val="en-US"/>
        </w:rPr>
        <w:t xml:space="preserve"> </w:t>
      </w:r>
      <w:r w:rsidRPr="00AE5D9C">
        <w:rPr>
          <w:rFonts w:ascii="Times New Roman" w:hAnsi="Times New Roman" w:cs="Times New Roman"/>
          <w:sz w:val="24"/>
          <w:szCs w:val="24"/>
          <w:lang w:val="en-US"/>
        </w:rPr>
        <w:t>la nivelul ordonatorilor principali de credite ai bugetului de stat, ai bugetului asigurărilor sociale de stat şi ai bugetului oricărui fond special;</w:t>
      </w:r>
    </w:p>
    <w:p w:rsidR="004B2905" w:rsidRDefault="00AE5D9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AE5D9C">
        <w:rPr>
          <w:rFonts w:ascii="Times New Roman" w:hAnsi="Times New Roman" w:cs="Times New Roman"/>
          <w:sz w:val="24"/>
          <w:szCs w:val="24"/>
          <w:lang w:val="en-US"/>
        </w:rPr>
        <w:t xml:space="preserve">transmite </w:t>
      </w:r>
      <w:r w:rsidR="00197C8E">
        <w:rPr>
          <w:rFonts w:ascii="Times New Roman" w:hAnsi="Times New Roman" w:cs="Times New Roman"/>
          <w:sz w:val="24"/>
          <w:szCs w:val="24"/>
        </w:rPr>
        <w:t xml:space="preserve">conducerii </w:t>
      </w:r>
      <w:r w:rsidR="00197C8E">
        <w:rPr>
          <w:rFonts w:ascii="Times New Roman" w:hAnsi="Times New Roman" w:cs="Times New Roman"/>
          <w:sz w:val="24"/>
          <w:szCs w:val="24"/>
          <w:lang w:val="en-US"/>
        </w:rPr>
        <w:t>S</w:t>
      </w:r>
      <w:r w:rsidRPr="00AE5D9C">
        <w:rPr>
          <w:rFonts w:ascii="Times New Roman" w:hAnsi="Times New Roman" w:cs="Times New Roman"/>
          <w:sz w:val="24"/>
          <w:szCs w:val="24"/>
          <w:lang w:val="en-US"/>
        </w:rPr>
        <w:t>ecretar</w:t>
      </w:r>
      <w:r w:rsidR="00197C8E">
        <w:rPr>
          <w:rFonts w:ascii="Times New Roman" w:hAnsi="Times New Roman" w:cs="Times New Roman"/>
          <w:sz w:val="24"/>
          <w:szCs w:val="24"/>
          <w:lang w:val="en-US"/>
        </w:rPr>
        <w:t>iat</w:t>
      </w:r>
      <w:r w:rsidRPr="00AE5D9C">
        <w:rPr>
          <w:rFonts w:ascii="Times New Roman" w:hAnsi="Times New Roman" w:cs="Times New Roman"/>
          <w:sz w:val="24"/>
          <w:szCs w:val="24"/>
          <w:lang w:val="en-US"/>
        </w:rPr>
        <w:t xml:space="preserve">ului </w:t>
      </w:r>
      <w:r w:rsidR="00197C8E">
        <w:rPr>
          <w:rFonts w:ascii="Times New Roman" w:hAnsi="Times New Roman" w:cs="Times New Roman"/>
          <w:sz w:val="24"/>
          <w:szCs w:val="24"/>
          <w:lang w:val="en-US"/>
        </w:rPr>
        <w:t>G</w:t>
      </w:r>
      <w:r w:rsidRPr="00AE5D9C">
        <w:rPr>
          <w:rFonts w:ascii="Times New Roman" w:hAnsi="Times New Roman" w:cs="Times New Roman"/>
          <w:sz w:val="24"/>
          <w:szCs w:val="24"/>
          <w:lang w:val="en-US"/>
        </w:rPr>
        <w:t>eneral al Guvernului</w:t>
      </w:r>
      <w:r w:rsidR="005B7DC4">
        <w:rPr>
          <w:rFonts w:ascii="Times New Roman" w:hAnsi="Times New Roman" w:cs="Times New Roman"/>
          <w:sz w:val="24"/>
          <w:szCs w:val="24"/>
          <w:lang w:val="en-US"/>
        </w:rPr>
        <w:t>,</w:t>
      </w:r>
      <w:r w:rsidRPr="00AE5D9C">
        <w:rPr>
          <w:rFonts w:ascii="Times New Roman" w:hAnsi="Times New Roman" w:cs="Times New Roman"/>
          <w:sz w:val="24"/>
          <w:szCs w:val="24"/>
          <w:lang w:val="en-US"/>
        </w:rPr>
        <w:t xml:space="preserve"> Raportul privind stadiul implementării şi dezvoltării sistemului de control intern managerial în vederea prezentării în şedinţa de Guvern;</w:t>
      </w:r>
    </w:p>
    <w:p w:rsidR="004B2905" w:rsidRDefault="00AE5D9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AE5D9C">
        <w:rPr>
          <w:rFonts w:ascii="Times New Roman" w:hAnsi="Times New Roman" w:cs="Times New Roman"/>
          <w:sz w:val="24"/>
          <w:szCs w:val="24"/>
          <w:lang w:val="en-US"/>
        </w:rPr>
        <w:t>iniţiază şi fundamentează propuneri pentru îmbunătăţirea sistemului de control intern managerial la nivelul entităţii publice;</w:t>
      </w:r>
    </w:p>
    <w:p w:rsidR="004B2905" w:rsidRDefault="00AE5D9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AE5D9C">
        <w:rPr>
          <w:rFonts w:ascii="Times New Roman" w:hAnsi="Times New Roman" w:cs="Times New Roman"/>
          <w:sz w:val="24"/>
          <w:szCs w:val="24"/>
          <w:lang w:val="en-US"/>
        </w:rPr>
        <w:t>elaborează recomandări cu privire la neregulile, deficienţele şi disfuncţionalităţile constatate, în condiţiile legii;</w:t>
      </w:r>
    </w:p>
    <w:p w:rsidR="004B2905" w:rsidRDefault="00AE5D9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AE5D9C">
        <w:rPr>
          <w:rFonts w:ascii="Times New Roman" w:hAnsi="Times New Roman" w:cs="Times New Roman"/>
          <w:sz w:val="24"/>
          <w:szCs w:val="24"/>
          <w:lang w:val="en-US"/>
        </w:rPr>
        <w:t xml:space="preserve">asigură secretariatul </w:t>
      </w:r>
      <w:r w:rsidRPr="00C446FE">
        <w:rPr>
          <w:rFonts w:ascii="Times New Roman" w:hAnsi="Times New Roman" w:cs="Times New Roman"/>
          <w:i/>
          <w:sz w:val="24"/>
          <w:szCs w:val="24"/>
          <w:lang w:val="en-US"/>
        </w:rPr>
        <w:t>Comisiei de monitorizare, coordonare şi îndrumare metodologică a implementării şi dezvoltării sistemului de control intern managerial (Comisia de monitorizare)</w:t>
      </w:r>
      <w:r w:rsidRPr="00AE5D9C">
        <w:rPr>
          <w:rFonts w:ascii="Times New Roman" w:hAnsi="Times New Roman" w:cs="Times New Roman"/>
          <w:sz w:val="24"/>
          <w:szCs w:val="24"/>
          <w:lang w:val="en-US"/>
        </w:rPr>
        <w:t>;</w:t>
      </w:r>
    </w:p>
    <w:p w:rsidR="004B2905" w:rsidRDefault="00AE5D9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AE5D9C">
        <w:rPr>
          <w:rFonts w:ascii="Times New Roman" w:hAnsi="Times New Roman" w:cs="Times New Roman"/>
          <w:sz w:val="24"/>
          <w:szCs w:val="24"/>
          <w:lang w:val="en-US"/>
        </w:rPr>
        <w:t xml:space="preserve">asigură secretariatul </w:t>
      </w:r>
      <w:r w:rsidRPr="00C446FE">
        <w:rPr>
          <w:rFonts w:ascii="Times New Roman" w:hAnsi="Times New Roman" w:cs="Times New Roman"/>
          <w:i/>
          <w:sz w:val="24"/>
          <w:szCs w:val="24"/>
          <w:lang w:val="en-US"/>
        </w:rPr>
        <w:t>Echipei de gestionare a riscurilor</w:t>
      </w:r>
      <w:r w:rsidRPr="00AE5D9C">
        <w:rPr>
          <w:rFonts w:ascii="Times New Roman" w:hAnsi="Times New Roman" w:cs="Times New Roman"/>
          <w:sz w:val="24"/>
          <w:szCs w:val="24"/>
          <w:lang w:val="en-US"/>
        </w:rPr>
        <w:t>;</w:t>
      </w:r>
    </w:p>
    <w:p w:rsidR="004B2905" w:rsidRDefault="00AE5D9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AE5D9C">
        <w:rPr>
          <w:rFonts w:ascii="Times New Roman" w:hAnsi="Times New Roman" w:cs="Times New Roman"/>
          <w:sz w:val="24"/>
          <w:szCs w:val="24"/>
          <w:lang w:val="en-US"/>
        </w:rPr>
        <w:t>elaborează şi actualizează registrele de riscuri şi procedurile formalizate pentru activităţile desfăşurate de către DCIMRI;</w:t>
      </w:r>
    </w:p>
    <w:p w:rsidR="004B2905" w:rsidRDefault="00AE5D9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AE5D9C">
        <w:rPr>
          <w:rFonts w:ascii="Times New Roman" w:hAnsi="Times New Roman" w:cs="Times New Roman"/>
          <w:sz w:val="24"/>
          <w:szCs w:val="24"/>
          <w:lang w:val="en-US"/>
        </w:rPr>
        <w:t>colaborează cu organisme şi organizaţii naţionale şi internaţionale, cu structuri similare direcţiei din ţările membre ale Uniunii Europene sau în curs de aderare, precum şi din alte ţări, în domeniul controlului public intern şi realizează lucrările specifice solicitate de statutul României de stat membru în Uniunea Europeană;</w:t>
      </w:r>
    </w:p>
    <w:p w:rsidR="00AE5D9C" w:rsidRDefault="00AE5D9C" w:rsidP="00C7604C">
      <w:pPr>
        <w:pStyle w:val="ListParagraph"/>
        <w:numPr>
          <w:ilvl w:val="0"/>
          <w:numId w:val="13"/>
        </w:numPr>
        <w:tabs>
          <w:tab w:val="left" w:pos="426"/>
          <w:tab w:val="left" w:pos="709"/>
          <w:tab w:val="left" w:pos="851"/>
        </w:tabs>
        <w:spacing w:after="120" w:line="276" w:lineRule="auto"/>
        <w:contextualSpacing w:val="0"/>
        <w:jc w:val="both"/>
        <w:rPr>
          <w:rFonts w:ascii="Times New Roman" w:hAnsi="Times New Roman" w:cs="Times New Roman"/>
          <w:sz w:val="24"/>
          <w:szCs w:val="24"/>
          <w:lang w:val="en-US"/>
        </w:rPr>
      </w:pPr>
      <w:r w:rsidRPr="00AE5D9C">
        <w:rPr>
          <w:rFonts w:ascii="Times New Roman" w:hAnsi="Times New Roman" w:cs="Times New Roman"/>
          <w:sz w:val="24"/>
          <w:szCs w:val="24"/>
          <w:lang w:val="en-US"/>
        </w:rPr>
        <w:t>îndeplineşte alte sarcini în domeniul de activitate.</w:t>
      </w:r>
    </w:p>
    <w:p w:rsidR="004B2905" w:rsidRDefault="004B2905" w:rsidP="004B2905">
      <w:pPr>
        <w:tabs>
          <w:tab w:val="left" w:pos="720"/>
        </w:tabs>
        <w:spacing w:line="276" w:lineRule="auto"/>
        <w:jc w:val="both"/>
        <w:rPr>
          <w:rFonts w:ascii="Times New Roman" w:hAnsi="Times New Roman" w:cs="Times New Roman"/>
          <w:sz w:val="24"/>
          <w:szCs w:val="24"/>
        </w:rPr>
      </w:pPr>
    </w:p>
    <w:p w:rsidR="00F404B7" w:rsidRPr="004B2905" w:rsidRDefault="00F404B7" w:rsidP="004B2905">
      <w:pPr>
        <w:tabs>
          <w:tab w:val="left" w:pos="720"/>
        </w:tabs>
        <w:spacing w:after="120" w:line="276" w:lineRule="auto"/>
        <w:jc w:val="both"/>
        <w:rPr>
          <w:rFonts w:ascii="Times New Roman" w:hAnsi="Times New Roman" w:cs="Times New Roman"/>
          <w:sz w:val="24"/>
          <w:szCs w:val="24"/>
        </w:rPr>
      </w:pPr>
      <w:r w:rsidRPr="004B2905">
        <w:rPr>
          <w:rFonts w:ascii="Times New Roman" w:hAnsi="Times New Roman" w:cs="Times New Roman"/>
          <w:sz w:val="24"/>
          <w:szCs w:val="24"/>
        </w:rPr>
        <w:t xml:space="preserve">La elaborarea prezentului </w:t>
      </w:r>
      <w:r w:rsidR="004B2905">
        <w:rPr>
          <w:rFonts w:ascii="Times New Roman" w:hAnsi="Times New Roman" w:cs="Times New Roman"/>
          <w:sz w:val="24"/>
          <w:szCs w:val="24"/>
        </w:rPr>
        <w:t xml:space="preserve">Raport </w:t>
      </w:r>
      <w:r w:rsidRPr="004B2905">
        <w:rPr>
          <w:rFonts w:ascii="Times New Roman" w:hAnsi="Times New Roman" w:cs="Times New Roman"/>
          <w:sz w:val="24"/>
          <w:szCs w:val="24"/>
        </w:rPr>
        <w:t>s-au avut în vedere următoarele reglementări:</w:t>
      </w:r>
    </w:p>
    <w:p w:rsidR="00F404B7" w:rsidRPr="00CC478D" w:rsidRDefault="00F404B7" w:rsidP="00C7604C">
      <w:pPr>
        <w:pStyle w:val="ListParagraph"/>
        <w:numPr>
          <w:ilvl w:val="0"/>
          <w:numId w:val="14"/>
        </w:numPr>
        <w:spacing w:after="120" w:line="276" w:lineRule="auto"/>
        <w:contextualSpacing w:val="0"/>
        <w:jc w:val="both"/>
        <w:rPr>
          <w:rFonts w:ascii="Times New Roman" w:hAnsi="Times New Roman" w:cs="Times New Roman"/>
          <w:i/>
          <w:sz w:val="24"/>
          <w:szCs w:val="24"/>
        </w:rPr>
      </w:pPr>
      <w:r w:rsidRPr="00CC478D">
        <w:rPr>
          <w:rFonts w:ascii="Times New Roman" w:hAnsi="Times New Roman" w:cs="Times New Roman"/>
          <w:i/>
          <w:sz w:val="24"/>
          <w:szCs w:val="24"/>
        </w:rPr>
        <w:t>Standardele de control intern ale Comisiei Europene, ediţia 2007;</w:t>
      </w:r>
    </w:p>
    <w:p w:rsidR="00996E2E" w:rsidRDefault="00996E2E" w:rsidP="00C7604C">
      <w:pPr>
        <w:pStyle w:val="ListParagraph"/>
        <w:numPr>
          <w:ilvl w:val="0"/>
          <w:numId w:val="14"/>
        </w:numPr>
        <w:spacing w:after="120" w:line="276" w:lineRule="auto"/>
        <w:contextualSpacing w:val="0"/>
        <w:jc w:val="both"/>
        <w:rPr>
          <w:rFonts w:ascii="Times New Roman" w:hAnsi="Times New Roman" w:cs="Times New Roman"/>
          <w:i/>
          <w:sz w:val="24"/>
          <w:szCs w:val="24"/>
        </w:rPr>
      </w:pPr>
      <w:r w:rsidRPr="00CC478D">
        <w:rPr>
          <w:rFonts w:ascii="Times New Roman" w:hAnsi="Times New Roman" w:cs="Times New Roman"/>
          <w:i/>
          <w:sz w:val="24"/>
          <w:szCs w:val="24"/>
        </w:rPr>
        <w:t>Ordonanţa Guvernului nr. 119/1999 privind controlul intern/managerial şi controlul financiar preventiv, republicată, cu modificările şi completările ulterioare;</w:t>
      </w:r>
    </w:p>
    <w:p w:rsidR="00996E2E" w:rsidRPr="00CC478D" w:rsidRDefault="00996E2E" w:rsidP="00C7604C">
      <w:pPr>
        <w:pStyle w:val="ListParagraph"/>
        <w:numPr>
          <w:ilvl w:val="0"/>
          <w:numId w:val="14"/>
        </w:numPr>
        <w:spacing w:after="120" w:line="276" w:lineRule="auto"/>
        <w:contextualSpacing w:val="0"/>
        <w:jc w:val="both"/>
        <w:rPr>
          <w:rFonts w:ascii="Times New Roman" w:hAnsi="Times New Roman" w:cs="Times New Roman"/>
          <w:i/>
          <w:sz w:val="24"/>
          <w:szCs w:val="24"/>
        </w:rPr>
      </w:pPr>
      <w:r w:rsidRPr="00CC478D">
        <w:rPr>
          <w:rFonts w:ascii="Times New Roman" w:hAnsi="Times New Roman" w:cs="Times New Roman"/>
          <w:i/>
          <w:sz w:val="24"/>
          <w:szCs w:val="24"/>
        </w:rPr>
        <w:t>Legea nr. 174/2015 pentru aprobarea Ordonanței de Urgență nr. 86/2014 privind stabilirea unor măsuri de reorganizare la nivelul administrației publice centrale și pentru modificarea și completarea unor acte normative;</w:t>
      </w:r>
    </w:p>
    <w:p w:rsidR="00996E2E" w:rsidRDefault="00996E2E" w:rsidP="00C7604C">
      <w:pPr>
        <w:pStyle w:val="ListParagraph"/>
        <w:numPr>
          <w:ilvl w:val="0"/>
          <w:numId w:val="14"/>
        </w:numPr>
        <w:spacing w:after="120" w:line="276" w:lineRule="auto"/>
        <w:contextualSpacing w:val="0"/>
        <w:jc w:val="both"/>
        <w:rPr>
          <w:rFonts w:ascii="Times New Roman" w:hAnsi="Times New Roman" w:cs="Times New Roman"/>
          <w:i/>
          <w:sz w:val="24"/>
          <w:szCs w:val="24"/>
        </w:rPr>
      </w:pPr>
      <w:r w:rsidRPr="00CC478D">
        <w:rPr>
          <w:rFonts w:ascii="Times New Roman" w:hAnsi="Times New Roman" w:cs="Times New Roman"/>
          <w:i/>
          <w:sz w:val="24"/>
          <w:szCs w:val="24"/>
        </w:rPr>
        <w:t>Ordinul secretarului general al guvernului nr. 400/2015 pentru aprobarea Codului controlului intern managerial al entităților publice, cu modifică</w:t>
      </w:r>
      <w:r>
        <w:rPr>
          <w:rFonts w:ascii="Times New Roman" w:hAnsi="Times New Roman" w:cs="Times New Roman"/>
          <w:i/>
          <w:sz w:val="24"/>
          <w:szCs w:val="24"/>
        </w:rPr>
        <w:t>rile şi completările ulterioare;</w:t>
      </w:r>
    </w:p>
    <w:p w:rsidR="00996E2E" w:rsidRPr="00996E2E" w:rsidRDefault="00552D1C" w:rsidP="00C7604C">
      <w:pPr>
        <w:pStyle w:val="ListParagraph"/>
        <w:numPr>
          <w:ilvl w:val="0"/>
          <w:numId w:val="14"/>
        </w:numPr>
        <w:spacing w:after="120" w:line="276" w:lineRule="auto"/>
        <w:contextualSpacing w:val="0"/>
        <w:jc w:val="both"/>
        <w:rPr>
          <w:rFonts w:ascii="Times New Roman" w:hAnsi="Times New Roman" w:cs="Times New Roman"/>
          <w:i/>
          <w:sz w:val="24"/>
          <w:szCs w:val="24"/>
        </w:rPr>
      </w:pPr>
      <w:r w:rsidRPr="00552D1C">
        <w:rPr>
          <w:rFonts w:ascii="Times New Roman" w:hAnsi="Times New Roman" w:cs="Times New Roman"/>
          <w:i/>
          <w:sz w:val="24"/>
          <w:szCs w:val="24"/>
        </w:rPr>
        <w:t>Ordinul secretarului general al guvernului</w:t>
      </w:r>
      <w:r w:rsidR="00996E2E" w:rsidRPr="00996E2E">
        <w:rPr>
          <w:rFonts w:ascii="Times New Roman" w:hAnsi="Times New Roman" w:cs="Times New Roman"/>
          <w:i/>
          <w:sz w:val="24"/>
          <w:szCs w:val="24"/>
          <w:lang w:val="en-US"/>
        </w:rPr>
        <w:t xml:space="preserve"> nr. 201/2016</w:t>
      </w:r>
      <w:r w:rsidR="00996E2E" w:rsidRPr="00AB50FB">
        <w:rPr>
          <w:rFonts w:ascii="Times New Roman" w:hAnsi="Times New Roman" w:cs="Times New Roman"/>
          <w:i/>
          <w:sz w:val="24"/>
          <w:szCs w:val="24"/>
          <w:lang w:val="en-US"/>
        </w:rPr>
        <w:t xml:space="preserve"> pentru aprobarea Normelor metodologice privind coordonarea, îndrumarea metodologică și supravegherea stadiului implementării și dezvoltării sistemului de control intern managerial la entitățile publice</w:t>
      </w:r>
      <w:r w:rsidR="00704FF2">
        <w:rPr>
          <w:rFonts w:ascii="Times New Roman" w:hAnsi="Times New Roman" w:cs="Times New Roman"/>
          <w:i/>
          <w:sz w:val="24"/>
          <w:szCs w:val="24"/>
          <w:lang w:val="en-US"/>
        </w:rPr>
        <w:t>;</w:t>
      </w:r>
    </w:p>
    <w:p w:rsidR="00F404B7" w:rsidRDefault="00F404B7" w:rsidP="00C7604C">
      <w:pPr>
        <w:pStyle w:val="ListParagraph"/>
        <w:numPr>
          <w:ilvl w:val="0"/>
          <w:numId w:val="14"/>
        </w:numPr>
        <w:spacing w:after="120" w:line="276" w:lineRule="auto"/>
        <w:contextualSpacing w:val="0"/>
        <w:jc w:val="both"/>
        <w:rPr>
          <w:rFonts w:ascii="Times New Roman" w:hAnsi="Times New Roman" w:cs="Times New Roman"/>
          <w:i/>
          <w:sz w:val="24"/>
          <w:szCs w:val="24"/>
        </w:rPr>
      </w:pPr>
      <w:r w:rsidRPr="00CC478D">
        <w:rPr>
          <w:rFonts w:ascii="Times New Roman" w:hAnsi="Times New Roman" w:cs="Times New Roman"/>
          <w:i/>
          <w:sz w:val="24"/>
          <w:szCs w:val="24"/>
        </w:rPr>
        <w:t>Hotărârea de Guvern nr. 4</w:t>
      </w:r>
      <w:r w:rsidR="00E2647C">
        <w:rPr>
          <w:rFonts w:ascii="Times New Roman" w:hAnsi="Times New Roman" w:cs="Times New Roman"/>
          <w:i/>
          <w:sz w:val="24"/>
          <w:szCs w:val="24"/>
        </w:rPr>
        <w:t>63/2016</w:t>
      </w:r>
      <w:r w:rsidRPr="00CC478D">
        <w:rPr>
          <w:rFonts w:ascii="Times New Roman" w:hAnsi="Times New Roman" w:cs="Times New Roman"/>
          <w:i/>
          <w:sz w:val="24"/>
          <w:szCs w:val="24"/>
        </w:rPr>
        <w:t xml:space="preserve"> </w:t>
      </w:r>
      <w:r w:rsidR="00E2647C" w:rsidRPr="00E2647C">
        <w:rPr>
          <w:rFonts w:ascii="Times New Roman" w:hAnsi="Times New Roman" w:cs="Times New Roman"/>
          <w:i/>
          <w:sz w:val="24"/>
          <w:szCs w:val="24"/>
        </w:rPr>
        <w:t>privind organizarea, func</w:t>
      </w:r>
      <w:r w:rsidR="00E2647C">
        <w:rPr>
          <w:rFonts w:ascii="Times New Roman" w:hAnsi="Times New Roman" w:cs="Times New Roman"/>
          <w:i/>
          <w:sz w:val="24"/>
          <w:szCs w:val="24"/>
        </w:rPr>
        <w:t>ționarea și atribuț</w:t>
      </w:r>
      <w:r w:rsidR="00E2647C" w:rsidRPr="00E2647C">
        <w:rPr>
          <w:rFonts w:ascii="Times New Roman" w:hAnsi="Times New Roman" w:cs="Times New Roman"/>
          <w:i/>
          <w:sz w:val="24"/>
          <w:szCs w:val="24"/>
        </w:rPr>
        <w:t>iile Secretariatului General al Guvernulu</w:t>
      </w:r>
      <w:r w:rsidR="00E2647C">
        <w:rPr>
          <w:rFonts w:ascii="Times New Roman" w:hAnsi="Times New Roman" w:cs="Times New Roman"/>
          <w:i/>
          <w:sz w:val="24"/>
          <w:szCs w:val="24"/>
        </w:rPr>
        <w:t>i</w:t>
      </w:r>
      <w:r w:rsidR="00602BDC">
        <w:rPr>
          <w:rFonts w:ascii="Times New Roman" w:hAnsi="Times New Roman" w:cs="Times New Roman"/>
          <w:i/>
          <w:sz w:val="24"/>
          <w:szCs w:val="24"/>
        </w:rPr>
        <w:t>.</w:t>
      </w:r>
    </w:p>
    <w:p w:rsidR="004B2905" w:rsidRDefault="004B2905">
      <w:pPr>
        <w:rPr>
          <w:rFonts w:ascii="Times New Roman" w:hAnsi="Times New Roman" w:cs="Times New Roman"/>
          <w:i/>
          <w:sz w:val="24"/>
          <w:szCs w:val="24"/>
        </w:rPr>
      </w:pPr>
      <w:r>
        <w:rPr>
          <w:rFonts w:ascii="Times New Roman" w:hAnsi="Times New Roman" w:cs="Times New Roman"/>
          <w:i/>
          <w:sz w:val="24"/>
          <w:szCs w:val="24"/>
        </w:rPr>
        <w:br w:type="page"/>
      </w:r>
    </w:p>
    <w:p w:rsidR="007E795C" w:rsidRPr="00CF64CA" w:rsidRDefault="007E795C" w:rsidP="00C7604C">
      <w:pPr>
        <w:pStyle w:val="Raport"/>
        <w:numPr>
          <w:ilvl w:val="1"/>
          <w:numId w:val="12"/>
        </w:numPr>
        <w:jc w:val="both"/>
        <w:rPr>
          <w:sz w:val="24"/>
          <w:szCs w:val="24"/>
        </w:rPr>
      </w:pPr>
      <w:bookmarkStart w:id="6" w:name="_Toc485907432"/>
      <w:bookmarkStart w:id="7" w:name="_Toc485992670"/>
      <w:r w:rsidRPr="00CF64CA">
        <w:rPr>
          <w:sz w:val="24"/>
          <w:szCs w:val="24"/>
        </w:rPr>
        <w:t xml:space="preserve">Obiectivele generale și specifice ale </w:t>
      </w:r>
      <w:r w:rsidR="00DC0B63" w:rsidRPr="00CF64CA">
        <w:rPr>
          <w:sz w:val="24"/>
          <w:szCs w:val="24"/>
        </w:rPr>
        <w:t>DCIMRI</w:t>
      </w:r>
      <w:bookmarkEnd w:id="6"/>
      <w:bookmarkEnd w:id="7"/>
    </w:p>
    <w:p w:rsidR="009226D6" w:rsidRPr="004A3DD1" w:rsidRDefault="009226D6" w:rsidP="00602BDC">
      <w:pPr>
        <w:pStyle w:val="ListParagraph"/>
        <w:spacing w:line="276" w:lineRule="auto"/>
        <w:ind w:left="795"/>
        <w:jc w:val="both"/>
        <w:rPr>
          <w:rFonts w:ascii="Times New Roman" w:hAnsi="Times New Roman" w:cs="Times New Roman"/>
          <w:b/>
          <w:sz w:val="28"/>
          <w:szCs w:val="28"/>
        </w:rPr>
      </w:pPr>
    </w:p>
    <w:p w:rsidR="00F52593" w:rsidRPr="00DC0B63" w:rsidRDefault="00F52593" w:rsidP="00DC0B63">
      <w:pPr>
        <w:tabs>
          <w:tab w:val="left" w:pos="810"/>
          <w:tab w:val="left" w:pos="900"/>
        </w:tabs>
        <w:spacing w:after="120" w:line="276" w:lineRule="auto"/>
        <w:jc w:val="both"/>
        <w:rPr>
          <w:rFonts w:ascii="Times New Roman" w:hAnsi="Times New Roman" w:cs="Times New Roman"/>
          <w:sz w:val="24"/>
          <w:szCs w:val="24"/>
        </w:rPr>
      </w:pPr>
      <w:r w:rsidRPr="00DC0B63">
        <w:rPr>
          <w:rFonts w:ascii="Times New Roman" w:hAnsi="Times New Roman" w:cs="Times New Roman"/>
          <w:b/>
          <w:sz w:val="24"/>
          <w:szCs w:val="24"/>
        </w:rPr>
        <w:t>Obiective</w:t>
      </w:r>
      <w:r w:rsidR="007E795C" w:rsidRPr="00DC0B63">
        <w:rPr>
          <w:rFonts w:ascii="Times New Roman" w:hAnsi="Times New Roman" w:cs="Times New Roman"/>
          <w:b/>
          <w:sz w:val="24"/>
          <w:szCs w:val="24"/>
        </w:rPr>
        <w:t>l</w:t>
      </w:r>
      <w:r w:rsidRPr="00DC0B63">
        <w:rPr>
          <w:rFonts w:ascii="Times New Roman" w:hAnsi="Times New Roman" w:cs="Times New Roman"/>
          <w:b/>
          <w:sz w:val="24"/>
          <w:szCs w:val="24"/>
        </w:rPr>
        <w:t>e</w:t>
      </w:r>
      <w:r w:rsidR="007E795C" w:rsidRPr="00DC0B63">
        <w:rPr>
          <w:rFonts w:ascii="Times New Roman" w:hAnsi="Times New Roman" w:cs="Times New Roman"/>
          <w:b/>
          <w:sz w:val="24"/>
          <w:szCs w:val="24"/>
        </w:rPr>
        <w:t xml:space="preserve"> general</w:t>
      </w:r>
      <w:r w:rsidRPr="00DC0B63">
        <w:rPr>
          <w:rFonts w:ascii="Times New Roman" w:hAnsi="Times New Roman" w:cs="Times New Roman"/>
          <w:b/>
          <w:sz w:val="24"/>
          <w:szCs w:val="24"/>
        </w:rPr>
        <w:t>e</w:t>
      </w:r>
      <w:r w:rsidR="007E795C" w:rsidRPr="00DC0B63">
        <w:rPr>
          <w:rFonts w:ascii="Times New Roman" w:hAnsi="Times New Roman" w:cs="Times New Roman"/>
          <w:sz w:val="24"/>
          <w:szCs w:val="24"/>
        </w:rPr>
        <w:t xml:space="preserve"> al</w:t>
      </w:r>
      <w:r w:rsidRPr="00DC0B63">
        <w:rPr>
          <w:rFonts w:ascii="Times New Roman" w:hAnsi="Times New Roman" w:cs="Times New Roman"/>
          <w:sz w:val="24"/>
          <w:szCs w:val="24"/>
        </w:rPr>
        <w:t>e</w:t>
      </w:r>
      <w:r w:rsidR="007E795C" w:rsidRPr="00DC0B63">
        <w:rPr>
          <w:rFonts w:ascii="Times New Roman" w:hAnsi="Times New Roman" w:cs="Times New Roman"/>
          <w:sz w:val="24"/>
          <w:szCs w:val="24"/>
        </w:rPr>
        <w:t xml:space="preserve"> </w:t>
      </w:r>
      <w:r w:rsidR="005B1BEC" w:rsidRPr="005B1BEC">
        <w:rPr>
          <w:rFonts w:ascii="Times New Roman" w:hAnsi="Times New Roman" w:cs="Times New Roman"/>
          <w:sz w:val="24"/>
          <w:szCs w:val="24"/>
        </w:rPr>
        <w:t>Direcției Control Intern Managerial și Relații Interinstituționale (</w:t>
      </w:r>
      <w:r w:rsidR="007E795C" w:rsidRPr="00DC0B63">
        <w:rPr>
          <w:rFonts w:ascii="Times New Roman" w:hAnsi="Times New Roman" w:cs="Times New Roman"/>
          <w:sz w:val="24"/>
          <w:szCs w:val="24"/>
        </w:rPr>
        <w:t>DCIMRI</w:t>
      </w:r>
      <w:r w:rsidR="005B1BEC">
        <w:rPr>
          <w:rFonts w:ascii="Times New Roman" w:hAnsi="Times New Roman" w:cs="Times New Roman"/>
          <w:sz w:val="24"/>
          <w:szCs w:val="24"/>
        </w:rPr>
        <w:t>)</w:t>
      </w:r>
      <w:r w:rsidR="007E795C" w:rsidRPr="00DC0B63">
        <w:rPr>
          <w:rFonts w:ascii="Times New Roman" w:hAnsi="Times New Roman" w:cs="Times New Roman"/>
          <w:sz w:val="24"/>
          <w:szCs w:val="24"/>
        </w:rPr>
        <w:t xml:space="preserve"> </w:t>
      </w:r>
      <w:r w:rsidRPr="00DC0B63">
        <w:rPr>
          <w:rFonts w:ascii="Times New Roman" w:hAnsi="Times New Roman" w:cs="Times New Roman"/>
          <w:sz w:val="24"/>
          <w:szCs w:val="24"/>
        </w:rPr>
        <w:t>sunt:</w:t>
      </w:r>
    </w:p>
    <w:p w:rsidR="004A0D71" w:rsidRPr="00DC0B63" w:rsidRDefault="008503EF" w:rsidP="00C7604C">
      <w:pPr>
        <w:pStyle w:val="ListParagraph"/>
        <w:numPr>
          <w:ilvl w:val="0"/>
          <w:numId w:val="15"/>
        </w:numPr>
        <w:tabs>
          <w:tab w:val="left" w:pos="810"/>
          <w:tab w:val="left" w:pos="900"/>
        </w:tabs>
        <w:spacing w:after="120" w:line="276" w:lineRule="auto"/>
        <w:contextualSpacing w:val="0"/>
        <w:jc w:val="both"/>
        <w:rPr>
          <w:rFonts w:ascii="Times New Roman" w:hAnsi="Times New Roman" w:cs="Times New Roman"/>
          <w:sz w:val="24"/>
          <w:szCs w:val="24"/>
        </w:rPr>
      </w:pPr>
      <w:r w:rsidRPr="00DC0B63">
        <w:rPr>
          <w:rFonts w:ascii="Times New Roman" w:hAnsi="Times New Roman" w:cs="Times New Roman"/>
          <w:sz w:val="24"/>
          <w:szCs w:val="24"/>
        </w:rPr>
        <w:t>E</w:t>
      </w:r>
      <w:r w:rsidR="00502294" w:rsidRPr="00DC0B63">
        <w:rPr>
          <w:rFonts w:ascii="Times New Roman" w:hAnsi="Times New Roman" w:cs="Times New Roman"/>
          <w:sz w:val="24"/>
          <w:szCs w:val="24"/>
        </w:rPr>
        <w:t xml:space="preserve">laborarea </w:t>
      </w:r>
      <w:r w:rsidR="007E795C" w:rsidRPr="00DC0B63">
        <w:rPr>
          <w:rFonts w:ascii="Times New Roman" w:hAnsi="Times New Roman" w:cs="Times New Roman"/>
          <w:sz w:val="24"/>
          <w:szCs w:val="24"/>
        </w:rPr>
        <w:t xml:space="preserve"> politicii în domeniu</w:t>
      </w:r>
      <w:r w:rsidR="00F52593" w:rsidRPr="00DC0B63">
        <w:rPr>
          <w:rFonts w:ascii="Times New Roman" w:hAnsi="Times New Roman" w:cs="Times New Roman"/>
          <w:sz w:val="24"/>
          <w:szCs w:val="24"/>
        </w:rPr>
        <w:t>l controlului intern managerial;</w:t>
      </w:r>
    </w:p>
    <w:p w:rsidR="004A0D71" w:rsidRPr="00DC0B63" w:rsidRDefault="008503EF" w:rsidP="00C7604C">
      <w:pPr>
        <w:pStyle w:val="ListParagraph"/>
        <w:numPr>
          <w:ilvl w:val="0"/>
          <w:numId w:val="15"/>
        </w:numPr>
        <w:tabs>
          <w:tab w:val="left" w:pos="810"/>
          <w:tab w:val="left" w:pos="900"/>
        </w:tabs>
        <w:spacing w:after="120" w:line="276" w:lineRule="auto"/>
        <w:contextualSpacing w:val="0"/>
        <w:jc w:val="both"/>
        <w:rPr>
          <w:rFonts w:ascii="Times New Roman" w:hAnsi="Times New Roman" w:cs="Times New Roman"/>
          <w:sz w:val="24"/>
          <w:szCs w:val="24"/>
        </w:rPr>
      </w:pPr>
      <w:r w:rsidRPr="00DC0B63">
        <w:rPr>
          <w:rFonts w:ascii="Times New Roman" w:hAnsi="Times New Roman" w:cs="Times New Roman"/>
          <w:sz w:val="24"/>
          <w:szCs w:val="24"/>
        </w:rPr>
        <w:t>Î</w:t>
      </w:r>
      <w:r w:rsidR="00F52593" w:rsidRPr="00DC0B63">
        <w:rPr>
          <w:rFonts w:ascii="Times New Roman" w:hAnsi="Times New Roman" w:cs="Times New Roman"/>
          <w:sz w:val="24"/>
          <w:szCs w:val="24"/>
        </w:rPr>
        <w:t>ndrumare metodologică</w:t>
      </w:r>
      <w:r w:rsidR="007E795C" w:rsidRPr="00DC0B63">
        <w:rPr>
          <w:rFonts w:ascii="Times New Roman" w:hAnsi="Times New Roman" w:cs="Times New Roman"/>
          <w:sz w:val="24"/>
          <w:szCs w:val="24"/>
        </w:rPr>
        <w:t xml:space="preserve"> </w:t>
      </w:r>
      <w:r w:rsidR="00F52593" w:rsidRPr="00DC0B63">
        <w:rPr>
          <w:rFonts w:ascii="Times New Roman" w:hAnsi="Times New Roman" w:cs="Times New Roman"/>
          <w:sz w:val="24"/>
          <w:szCs w:val="24"/>
        </w:rPr>
        <w:t xml:space="preserve">şi </w:t>
      </w:r>
      <w:r w:rsidR="007E795C" w:rsidRPr="00DC0B63">
        <w:rPr>
          <w:rFonts w:ascii="Times New Roman" w:hAnsi="Times New Roman" w:cs="Times New Roman"/>
          <w:sz w:val="24"/>
          <w:szCs w:val="24"/>
        </w:rPr>
        <w:t>coordonare</w:t>
      </w:r>
      <w:r w:rsidR="00F52593" w:rsidRPr="00DC0B63">
        <w:rPr>
          <w:rFonts w:ascii="Times New Roman" w:hAnsi="Times New Roman" w:cs="Times New Roman"/>
          <w:sz w:val="24"/>
          <w:szCs w:val="24"/>
        </w:rPr>
        <w:t xml:space="preserve">a </w:t>
      </w:r>
      <w:r w:rsidRPr="00DC0B63">
        <w:rPr>
          <w:rFonts w:ascii="Times New Roman" w:hAnsi="Times New Roman" w:cs="Times New Roman"/>
          <w:sz w:val="24"/>
          <w:szCs w:val="24"/>
        </w:rPr>
        <w:t>activității de control intern managerial;</w:t>
      </w:r>
      <w:r w:rsidR="007E795C" w:rsidRPr="00DC0B63">
        <w:rPr>
          <w:rFonts w:ascii="Times New Roman" w:hAnsi="Times New Roman" w:cs="Times New Roman"/>
          <w:sz w:val="24"/>
          <w:szCs w:val="24"/>
        </w:rPr>
        <w:t xml:space="preserve"> </w:t>
      </w:r>
    </w:p>
    <w:p w:rsidR="007E795C" w:rsidRPr="00DC0B63" w:rsidRDefault="008503EF" w:rsidP="00C7604C">
      <w:pPr>
        <w:pStyle w:val="ListParagraph"/>
        <w:numPr>
          <w:ilvl w:val="0"/>
          <w:numId w:val="15"/>
        </w:numPr>
        <w:tabs>
          <w:tab w:val="left" w:pos="810"/>
          <w:tab w:val="left" w:pos="900"/>
        </w:tabs>
        <w:spacing w:after="120" w:line="276" w:lineRule="auto"/>
        <w:contextualSpacing w:val="0"/>
        <w:jc w:val="both"/>
        <w:rPr>
          <w:rFonts w:ascii="Times New Roman" w:hAnsi="Times New Roman" w:cs="Times New Roman"/>
          <w:sz w:val="24"/>
          <w:szCs w:val="24"/>
        </w:rPr>
      </w:pPr>
      <w:r w:rsidRPr="00DC0B63">
        <w:rPr>
          <w:rFonts w:ascii="Times New Roman" w:hAnsi="Times New Roman" w:cs="Times New Roman"/>
          <w:sz w:val="24"/>
          <w:szCs w:val="24"/>
        </w:rPr>
        <w:t>S</w:t>
      </w:r>
      <w:r w:rsidR="007E795C" w:rsidRPr="00DC0B63">
        <w:rPr>
          <w:rFonts w:ascii="Times New Roman" w:hAnsi="Times New Roman" w:cs="Times New Roman"/>
          <w:sz w:val="24"/>
          <w:szCs w:val="24"/>
        </w:rPr>
        <w:t>upravegherea implementarării sistemelor de control intern managerial</w:t>
      </w:r>
      <w:r w:rsidR="0007613A" w:rsidRPr="00DC0B63">
        <w:rPr>
          <w:rFonts w:ascii="Times New Roman" w:hAnsi="Times New Roman" w:cs="Times New Roman"/>
          <w:sz w:val="24"/>
          <w:szCs w:val="24"/>
        </w:rPr>
        <w:t>, în conformitate cu cadrul de reglementare.</w:t>
      </w:r>
    </w:p>
    <w:p w:rsidR="004A0D71" w:rsidRDefault="004A0D71" w:rsidP="00DC0B63">
      <w:pPr>
        <w:pStyle w:val="ListParagraph"/>
        <w:tabs>
          <w:tab w:val="left" w:pos="900"/>
        </w:tabs>
        <w:spacing w:line="276" w:lineRule="auto"/>
        <w:ind w:left="0"/>
        <w:jc w:val="both"/>
        <w:rPr>
          <w:rFonts w:ascii="Times New Roman" w:hAnsi="Times New Roman" w:cs="Times New Roman"/>
          <w:i/>
          <w:sz w:val="24"/>
          <w:szCs w:val="24"/>
        </w:rPr>
      </w:pPr>
    </w:p>
    <w:p w:rsidR="00B93D6D" w:rsidRPr="00DC0B63" w:rsidRDefault="0007613A" w:rsidP="00DC0B63">
      <w:pPr>
        <w:pStyle w:val="ListParagraph"/>
        <w:tabs>
          <w:tab w:val="left" w:pos="900"/>
        </w:tabs>
        <w:spacing w:after="120" w:line="276" w:lineRule="auto"/>
        <w:ind w:left="0"/>
        <w:contextualSpacing w:val="0"/>
        <w:jc w:val="both"/>
        <w:rPr>
          <w:rFonts w:ascii="Times New Roman" w:hAnsi="Times New Roman" w:cs="Times New Roman"/>
          <w:sz w:val="24"/>
          <w:szCs w:val="24"/>
        </w:rPr>
      </w:pPr>
      <w:r w:rsidRPr="00DC0B63">
        <w:rPr>
          <w:rFonts w:ascii="Times New Roman" w:hAnsi="Times New Roman" w:cs="Times New Roman"/>
          <w:b/>
          <w:sz w:val="24"/>
          <w:szCs w:val="24"/>
        </w:rPr>
        <w:t>O</w:t>
      </w:r>
      <w:r w:rsidR="007E795C" w:rsidRPr="00DC0B63">
        <w:rPr>
          <w:rFonts w:ascii="Times New Roman" w:hAnsi="Times New Roman" w:cs="Times New Roman"/>
          <w:b/>
          <w:sz w:val="24"/>
          <w:szCs w:val="24"/>
        </w:rPr>
        <w:t>biective</w:t>
      </w:r>
      <w:r w:rsidRPr="00DC0B63">
        <w:rPr>
          <w:rFonts w:ascii="Times New Roman" w:hAnsi="Times New Roman" w:cs="Times New Roman"/>
          <w:b/>
          <w:sz w:val="24"/>
          <w:szCs w:val="24"/>
        </w:rPr>
        <w:t>le</w:t>
      </w:r>
      <w:r w:rsidR="007E795C" w:rsidRPr="00DC0B63">
        <w:rPr>
          <w:rFonts w:ascii="Times New Roman" w:hAnsi="Times New Roman" w:cs="Times New Roman"/>
          <w:b/>
          <w:sz w:val="24"/>
          <w:szCs w:val="24"/>
        </w:rPr>
        <w:t xml:space="preserve"> specifice</w:t>
      </w:r>
      <w:r w:rsidR="007E795C" w:rsidRPr="00DC0B63">
        <w:rPr>
          <w:rFonts w:ascii="Times New Roman" w:hAnsi="Times New Roman" w:cs="Times New Roman"/>
          <w:sz w:val="24"/>
          <w:szCs w:val="24"/>
        </w:rPr>
        <w:t xml:space="preserve"> ale </w:t>
      </w:r>
      <w:r w:rsidR="00E77656">
        <w:rPr>
          <w:rFonts w:ascii="Times New Roman" w:hAnsi="Times New Roman" w:cs="Times New Roman"/>
          <w:sz w:val="24"/>
          <w:szCs w:val="24"/>
        </w:rPr>
        <w:t>DCIMRI</w:t>
      </w:r>
      <w:r w:rsidRPr="00DC0B63">
        <w:rPr>
          <w:rFonts w:ascii="Times New Roman" w:hAnsi="Times New Roman" w:cs="Times New Roman"/>
          <w:sz w:val="24"/>
          <w:szCs w:val="24"/>
        </w:rPr>
        <w:t>, aprobate în ședința Comisiei de monitorizare, constituită la nivelul S</w:t>
      </w:r>
      <w:r w:rsidR="00B93D6D" w:rsidRPr="00DC0B63">
        <w:rPr>
          <w:rFonts w:ascii="Times New Roman" w:hAnsi="Times New Roman" w:cs="Times New Roman"/>
          <w:sz w:val="24"/>
          <w:szCs w:val="24"/>
        </w:rPr>
        <w:t xml:space="preserve">ecretariatului </w:t>
      </w:r>
      <w:r w:rsidRPr="00DC0B63">
        <w:rPr>
          <w:rFonts w:ascii="Times New Roman" w:hAnsi="Times New Roman" w:cs="Times New Roman"/>
          <w:sz w:val="24"/>
          <w:szCs w:val="24"/>
        </w:rPr>
        <w:t>G</w:t>
      </w:r>
      <w:r w:rsidR="00B93D6D" w:rsidRPr="00DC0B63">
        <w:rPr>
          <w:rFonts w:ascii="Times New Roman" w:hAnsi="Times New Roman" w:cs="Times New Roman"/>
          <w:sz w:val="24"/>
          <w:szCs w:val="24"/>
        </w:rPr>
        <w:t xml:space="preserve">eneral al </w:t>
      </w:r>
      <w:r w:rsidRPr="00DC0B63">
        <w:rPr>
          <w:rFonts w:ascii="Times New Roman" w:hAnsi="Times New Roman" w:cs="Times New Roman"/>
          <w:sz w:val="24"/>
          <w:szCs w:val="24"/>
        </w:rPr>
        <w:t>G</w:t>
      </w:r>
      <w:r w:rsidR="00B93D6D" w:rsidRPr="00DC0B63">
        <w:rPr>
          <w:rFonts w:ascii="Times New Roman" w:hAnsi="Times New Roman" w:cs="Times New Roman"/>
          <w:sz w:val="24"/>
          <w:szCs w:val="24"/>
        </w:rPr>
        <w:t>uvernului</w:t>
      </w:r>
      <w:r w:rsidRPr="00DC0B63">
        <w:rPr>
          <w:rFonts w:ascii="Times New Roman" w:hAnsi="Times New Roman" w:cs="Times New Roman"/>
          <w:sz w:val="24"/>
          <w:szCs w:val="24"/>
        </w:rPr>
        <w:t xml:space="preserve">, </w:t>
      </w:r>
      <w:r w:rsidR="007E795C" w:rsidRPr="00DC0B63">
        <w:rPr>
          <w:rFonts w:ascii="Times New Roman" w:hAnsi="Times New Roman" w:cs="Times New Roman"/>
          <w:sz w:val="24"/>
          <w:szCs w:val="24"/>
        </w:rPr>
        <w:t>sunt</w:t>
      </w:r>
      <w:r w:rsidRPr="00DC0B63">
        <w:rPr>
          <w:rFonts w:ascii="Times New Roman" w:hAnsi="Times New Roman" w:cs="Times New Roman"/>
          <w:sz w:val="24"/>
          <w:szCs w:val="24"/>
        </w:rPr>
        <w:t xml:space="preserve"> următoarele</w:t>
      </w:r>
      <w:r w:rsidR="007E795C" w:rsidRPr="00DC0B63">
        <w:rPr>
          <w:rFonts w:ascii="Times New Roman" w:hAnsi="Times New Roman" w:cs="Times New Roman"/>
          <w:sz w:val="24"/>
          <w:szCs w:val="24"/>
        </w:rPr>
        <w:t>:</w:t>
      </w:r>
    </w:p>
    <w:p w:rsidR="00B93D6D" w:rsidRPr="00DC0B63" w:rsidRDefault="00502294" w:rsidP="00C7604C">
      <w:pPr>
        <w:pStyle w:val="ListParagraph"/>
        <w:numPr>
          <w:ilvl w:val="0"/>
          <w:numId w:val="16"/>
        </w:numPr>
        <w:tabs>
          <w:tab w:val="left" w:pos="900"/>
        </w:tabs>
        <w:spacing w:after="120" w:line="276" w:lineRule="auto"/>
        <w:contextualSpacing w:val="0"/>
        <w:jc w:val="both"/>
        <w:rPr>
          <w:rFonts w:ascii="Times New Roman" w:hAnsi="Times New Roman" w:cs="Times New Roman"/>
          <w:sz w:val="24"/>
          <w:szCs w:val="24"/>
        </w:rPr>
      </w:pPr>
      <w:r w:rsidRPr="00DC0B63">
        <w:rPr>
          <w:rFonts w:ascii="Times New Roman" w:hAnsi="Times New Roman" w:cs="Times New Roman"/>
          <w:sz w:val="24"/>
          <w:szCs w:val="24"/>
        </w:rPr>
        <w:t>I</w:t>
      </w:r>
      <w:r w:rsidR="007E795C" w:rsidRPr="00DC0B63">
        <w:rPr>
          <w:rFonts w:ascii="Times New Roman" w:hAnsi="Times New Roman" w:cs="Times New Roman"/>
          <w:sz w:val="24"/>
          <w:szCs w:val="24"/>
        </w:rPr>
        <w:t>mplementarea politicii în domeniu</w:t>
      </w:r>
      <w:r w:rsidR="005746BF" w:rsidRPr="00DC0B63">
        <w:rPr>
          <w:rFonts w:ascii="Times New Roman" w:hAnsi="Times New Roman" w:cs="Times New Roman"/>
          <w:sz w:val="24"/>
          <w:szCs w:val="24"/>
        </w:rPr>
        <w:t>l</w:t>
      </w:r>
      <w:r w:rsidR="00CD3CD5" w:rsidRPr="00DC0B63">
        <w:rPr>
          <w:rFonts w:ascii="Times New Roman" w:hAnsi="Times New Roman" w:cs="Times New Roman"/>
          <w:sz w:val="24"/>
          <w:szCs w:val="24"/>
        </w:rPr>
        <w:t xml:space="preserve"> </w:t>
      </w:r>
      <w:r w:rsidR="007E795C" w:rsidRPr="00DC0B63">
        <w:rPr>
          <w:rFonts w:ascii="Times New Roman" w:hAnsi="Times New Roman" w:cs="Times New Roman"/>
          <w:sz w:val="24"/>
          <w:szCs w:val="24"/>
        </w:rPr>
        <w:t xml:space="preserve"> controlului intern managerial</w:t>
      </w:r>
      <w:r w:rsidR="0007613A" w:rsidRPr="00DC0B63">
        <w:rPr>
          <w:rFonts w:ascii="Times New Roman" w:hAnsi="Times New Roman" w:cs="Times New Roman"/>
          <w:sz w:val="24"/>
          <w:szCs w:val="24"/>
        </w:rPr>
        <w:t>;</w:t>
      </w:r>
    </w:p>
    <w:p w:rsidR="00B93D6D" w:rsidRPr="00DC0B63" w:rsidRDefault="007E795C" w:rsidP="00C7604C">
      <w:pPr>
        <w:pStyle w:val="ListParagraph"/>
        <w:numPr>
          <w:ilvl w:val="0"/>
          <w:numId w:val="16"/>
        </w:numPr>
        <w:tabs>
          <w:tab w:val="left" w:pos="900"/>
        </w:tabs>
        <w:spacing w:after="120" w:line="276" w:lineRule="auto"/>
        <w:contextualSpacing w:val="0"/>
        <w:jc w:val="both"/>
        <w:rPr>
          <w:rFonts w:ascii="Times New Roman" w:hAnsi="Times New Roman" w:cs="Times New Roman"/>
          <w:sz w:val="24"/>
          <w:szCs w:val="24"/>
        </w:rPr>
      </w:pPr>
      <w:r w:rsidRPr="00DC0B63">
        <w:rPr>
          <w:rFonts w:ascii="Times New Roman" w:hAnsi="Times New Roman" w:cs="Times New Roman"/>
          <w:sz w:val="24"/>
          <w:szCs w:val="24"/>
        </w:rPr>
        <w:t>Desfășurarea misiunilor de verificare și îndrumare metodologică</w:t>
      </w:r>
      <w:r w:rsidR="0007613A" w:rsidRPr="00DC0B63">
        <w:rPr>
          <w:rFonts w:ascii="Times New Roman" w:hAnsi="Times New Roman" w:cs="Times New Roman"/>
          <w:sz w:val="24"/>
          <w:szCs w:val="24"/>
        </w:rPr>
        <w:t>;</w:t>
      </w:r>
    </w:p>
    <w:p w:rsidR="00B93D6D" w:rsidRPr="00DC0B63" w:rsidRDefault="007E795C" w:rsidP="00C7604C">
      <w:pPr>
        <w:pStyle w:val="ListParagraph"/>
        <w:numPr>
          <w:ilvl w:val="0"/>
          <w:numId w:val="16"/>
        </w:numPr>
        <w:tabs>
          <w:tab w:val="left" w:pos="900"/>
        </w:tabs>
        <w:spacing w:after="120" w:line="276" w:lineRule="auto"/>
        <w:contextualSpacing w:val="0"/>
        <w:jc w:val="both"/>
        <w:rPr>
          <w:rFonts w:ascii="Times New Roman" w:hAnsi="Times New Roman" w:cs="Times New Roman"/>
          <w:sz w:val="24"/>
          <w:szCs w:val="24"/>
        </w:rPr>
      </w:pPr>
      <w:r w:rsidRPr="00DC0B63">
        <w:rPr>
          <w:rFonts w:ascii="Times New Roman" w:hAnsi="Times New Roman" w:cs="Times New Roman"/>
          <w:sz w:val="24"/>
          <w:szCs w:val="24"/>
        </w:rPr>
        <w:t>Raportarea privind stadiul de implementare și dezvoltare</w:t>
      </w:r>
      <w:r w:rsidR="00EA1A86" w:rsidRPr="00DC0B63">
        <w:rPr>
          <w:rFonts w:ascii="Times New Roman" w:hAnsi="Times New Roman" w:cs="Times New Roman"/>
          <w:sz w:val="24"/>
          <w:szCs w:val="24"/>
        </w:rPr>
        <w:t xml:space="preserve"> a sistemului de control intern </w:t>
      </w:r>
      <w:r w:rsidRPr="00DC0B63">
        <w:rPr>
          <w:rFonts w:ascii="Times New Roman" w:hAnsi="Times New Roman" w:cs="Times New Roman"/>
          <w:sz w:val="24"/>
          <w:szCs w:val="24"/>
        </w:rPr>
        <w:t>managerial la nivelul SGG</w:t>
      </w:r>
      <w:r w:rsidR="0007613A" w:rsidRPr="00DC0B63">
        <w:rPr>
          <w:rFonts w:ascii="Times New Roman" w:hAnsi="Times New Roman" w:cs="Times New Roman"/>
          <w:sz w:val="24"/>
          <w:szCs w:val="24"/>
        </w:rPr>
        <w:t>;</w:t>
      </w:r>
    </w:p>
    <w:p w:rsidR="007E795C" w:rsidRPr="00DC0B63" w:rsidRDefault="007E795C" w:rsidP="00C7604C">
      <w:pPr>
        <w:pStyle w:val="ListParagraph"/>
        <w:numPr>
          <w:ilvl w:val="0"/>
          <w:numId w:val="16"/>
        </w:numPr>
        <w:tabs>
          <w:tab w:val="left" w:pos="900"/>
        </w:tabs>
        <w:spacing w:after="120" w:line="276" w:lineRule="auto"/>
        <w:contextualSpacing w:val="0"/>
        <w:jc w:val="both"/>
        <w:rPr>
          <w:rFonts w:ascii="Times New Roman" w:hAnsi="Times New Roman" w:cs="Times New Roman"/>
          <w:sz w:val="24"/>
          <w:szCs w:val="24"/>
        </w:rPr>
      </w:pPr>
      <w:r w:rsidRPr="00DC0B63">
        <w:rPr>
          <w:rFonts w:ascii="Times New Roman" w:hAnsi="Times New Roman" w:cs="Times New Roman"/>
          <w:sz w:val="24"/>
          <w:szCs w:val="24"/>
        </w:rPr>
        <w:t xml:space="preserve">Elaborarea Raportului privind stadiul implementării sistemului de control intern managerial la nivelul </w:t>
      </w:r>
      <w:r w:rsidR="00602BDC" w:rsidRPr="00DC0B63">
        <w:rPr>
          <w:rFonts w:ascii="Times New Roman" w:hAnsi="Times New Roman" w:cs="Times New Roman"/>
          <w:sz w:val="24"/>
          <w:szCs w:val="24"/>
        </w:rPr>
        <w:t xml:space="preserve">entităților </w:t>
      </w:r>
      <w:r w:rsidRPr="00DC0B63">
        <w:rPr>
          <w:rFonts w:ascii="Times New Roman" w:hAnsi="Times New Roman" w:cs="Times New Roman"/>
          <w:sz w:val="24"/>
          <w:szCs w:val="24"/>
        </w:rPr>
        <w:t>publice</w:t>
      </w:r>
      <w:r w:rsidR="0007613A" w:rsidRPr="00DC0B63">
        <w:rPr>
          <w:rFonts w:ascii="Times New Roman" w:hAnsi="Times New Roman" w:cs="Times New Roman"/>
          <w:sz w:val="24"/>
          <w:szCs w:val="24"/>
        </w:rPr>
        <w:t>.</w:t>
      </w:r>
    </w:p>
    <w:p w:rsidR="00DC0B63" w:rsidRDefault="00DC0B63">
      <w:pPr>
        <w:rPr>
          <w:rFonts w:ascii="Times New Roman" w:hAnsi="Times New Roman" w:cs="Times New Roman"/>
          <w:i/>
          <w:sz w:val="24"/>
          <w:szCs w:val="24"/>
        </w:rPr>
      </w:pPr>
      <w:r>
        <w:rPr>
          <w:rFonts w:ascii="Times New Roman" w:hAnsi="Times New Roman" w:cs="Times New Roman"/>
          <w:i/>
          <w:sz w:val="24"/>
          <w:szCs w:val="24"/>
        </w:rPr>
        <w:br w:type="page"/>
      </w:r>
    </w:p>
    <w:p w:rsidR="00B93D6D" w:rsidRPr="00CF64CA" w:rsidRDefault="00DC0B63" w:rsidP="00DC0B63">
      <w:pPr>
        <w:pStyle w:val="Raport"/>
        <w:spacing w:before="0" w:line="276" w:lineRule="auto"/>
        <w:jc w:val="both"/>
        <w:rPr>
          <w:sz w:val="24"/>
          <w:szCs w:val="24"/>
        </w:rPr>
      </w:pPr>
      <w:bookmarkStart w:id="8" w:name="_Toc485907433"/>
      <w:bookmarkStart w:id="9" w:name="_Toc485992671"/>
      <w:r w:rsidRPr="00CF64CA">
        <w:rPr>
          <w:sz w:val="24"/>
          <w:szCs w:val="24"/>
        </w:rPr>
        <w:t xml:space="preserve">Cap.2 </w:t>
      </w:r>
      <w:r w:rsidR="007E7FC1">
        <w:rPr>
          <w:sz w:val="24"/>
          <w:szCs w:val="24"/>
        </w:rPr>
        <w:t xml:space="preserve"> </w:t>
      </w:r>
      <w:r w:rsidRPr="00CF64CA">
        <w:rPr>
          <w:sz w:val="24"/>
          <w:szCs w:val="24"/>
        </w:rPr>
        <w:t xml:space="preserve">STADIUL IMPLEMENTĂRII ŞI DEZVOLTĂRII  SISTEMULUI DE CONTROL INTERN MANAGERIAL </w:t>
      </w:r>
      <w:r w:rsidRPr="00CF64CA">
        <w:rPr>
          <w:rFonts w:cs="Times New Roman"/>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ENTITĂŢILE PUBLICE</w:t>
      </w:r>
      <w:bookmarkEnd w:id="8"/>
      <w:bookmarkEnd w:id="9"/>
    </w:p>
    <w:p w:rsidR="00DC0B63" w:rsidRPr="00DC0B63" w:rsidRDefault="00DC0B63" w:rsidP="00DC0B63">
      <w:pPr>
        <w:pStyle w:val="Raport"/>
        <w:spacing w:before="0" w:line="276" w:lineRule="auto"/>
        <w:jc w:val="both"/>
      </w:pPr>
    </w:p>
    <w:p w:rsidR="007E795C" w:rsidRPr="00CF64CA" w:rsidRDefault="007E795C" w:rsidP="00A61397">
      <w:pPr>
        <w:pStyle w:val="Raport"/>
        <w:spacing w:before="0" w:after="240" w:line="276" w:lineRule="auto"/>
        <w:jc w:val="both"/>
        <w:rPr>
          <w:sz w:val="24"/>
          <w:szCs w:val="24"/>
        </w:rPr>
      </w:pPr>
      <w:bookmarkStart w:id="10" w:name="_Toc485907434"/>
      <w:bookmarkStart w:id="11" w:name="_Toc485992672"/>
      <w:r w:rsidRPr="00CF64CA">
        <w:rPr>
          <w:sz w:val="24"/>
          <w:szCs w:val="24"/>
        </w:rPr>
        <w:t xml:space="preserve">2.1. Analiza stadiului implementării </w:t>
      </w:r>
      <w:r w:rsidR="00A20B4A" w:rsidRPr="00CF64CA">
        <w:rPr>
          <w:sz w:val="24"/>
          <w:szCs w:val="24"/>
        </w:rPr>
        <w:t>sistemului</w:t>
      </w:r>
      <w:r w:rsidRPr="00CF64CA">
        <w:rPr>
          <w:sz w:val="24"/>
          <w:szCs w:val="24"/>
        </w:rPr>
        <w:t xml:space="preserve"> de control intern managerial de la nivelul entităţilor publice centrale</w:t>
      </w:r>
      <w:bookmarkEnd w:id="10"/>
      <w:bookmarkEnd w:id="11"/>
    </w:p>
    <w:p w:rsidR="007D4991" w:rsidRPr="00A938B3" w:rsidRDefault="00E2647C" w:rsidP="00A938B3">
      <w:pPr>
        <w:tabs>
          <w:tab w:val="left" w:pos="810"/>
          <w:tab w:val="left" w:pos="900"/>
        </w:tabs>
        <w:spacing w:line="276" w:lineRule="auto"/>
        <w:jc w:val="both"/>
        <w:rPr>
          <w:rFonts w:ascii="Times New Roman" w:hAnsi="Times New Roman" w:cs="Times New Roman"/>
          <w:sz w:val="24"/>
          <w:szCs w:val="24"/>
        </w:rPr>
      </w:pPr>
      <w:r w:rsidRPr="00A938B3">
        <w:rPr>
          <w:rFonts w:ascii="Times New Roman" w:hAnsi="Times New Roman" w:cs="Times New Roman"/>
          <w:sz w:val="24"/>
          <w:szCs w:val="24"/>
        </w:rPr>
        <w:t>Entitățile</w:t>
      </w:r>
      <w:r w:rsidR="007D4991" w:rsidRPr="00A938B3">
        <w:rPr>
          <w:rFonts w:ascii="Times New Roman" w:hAnsi="Times New Roman" w:cs="Times New Roman"/>
          <w:sz w:val="24"/>
          <w:szCs w:val="24"/>
        </w:rPr>
        <w:t xml:space="preserve"> publice care </w:t>
      </w:r>
      <w:r w:rsidR="00E67342" w:rsidRPr="00A938B3">
        <w:rPr>
          <w:rFonts w:ascii="Times New Roman" w:hAnsi="Times New Roman" w:cs="Times New Roman"/>
          <w:sz w:val="24"/>
          <w:szCs w:val="24"/>
        </w:rPr>
        <w:t>au calitatea</w:t>
      </w:r>
      <w:r w:rsidR="007D4991" w:rsidRPr="00A938B3">
        <w:rPr>
          <w:rFonts w:ascii="Times New Roman" w:hAnsi="Times New Roman" w:cs="Times New Roman"/>
          <w:sz w:val="24"/>
          <w:szCs w:val="24"/>
        </w:rPr>
        <w:t xml:space="preserve"> de ordonator principal de credite al bugetului de stat, al bugetului asigurărilor sociale de stat sau al bugetului oricărui fond special transmit la DCIMRI, situaţiile centralizatoare semestriale până la data de 25 a lunii următoare fiecărui semestru încheiat, iar situaţiile centralizatoare anuale până la 20 februarie a anului următor, pentru anul precedent, în conformitate cu art. 8 din OSGG nr. 400/2015, cu modificările și completările ulterioare.</w:t>
      </w:r>
    </w:p>
    <w:p w:rsidR="00B23DD0" w:rsidRPr="009226D6" w:rsidRDefault="00B23DD0" w:rsidP="00A938B3">
      <w:pPr>
        <w:pStyle w:val="ListParagraph"/>
        <w:tabs>
          <w:tab w:val="left" w:pos="810"/>
        </w:tabs>
        <w:spacing w:line="276" w:lineRule="auto"/>
        <w:ind w:left="0"/>
        <w:jc w:val="both"/>
        <w:rPr>
          <w:rFonts w:ascii="Times New Roman" w:hAnsi="Times New Roman" w:cs="Times New Roman"/>
          <w:sz w:val="24"/>
          <w:szCs w:val="24"/>
        </w:rPr>
      </w:pPr>
      <w:r w:rsidRPr="009226D6">
        <w:rPr>
          <w:rFonts w:ascii="Times New Roman" w:hAnsi="Times New Roman" w:cs="Times New Roman"/>
          <w:sz w:val="24"/>
          <w:szCs w:val="24"/>
        </w:rPr>
        <w:t>Evaluarea stadiului implementării şi dezvoltării sistemelor de control intern managerial se realizează, de către DCIMRI, la nivelul structurilor organizatorice ale entităţilor publice, inclusiv a celor subordonate sau aflate în coordonarea acestora.</w:t>
      </w:r>
    </w:p>
    <w:p w:rsidR="00A20B4A" w:rsidRPr="00A938B3" w:rsidRDefault="000F5585" w:rsidP="00A938B3">
      <w:pPr>
        <w:tabs>
          <w:tab w:val="left" w:pos="810"/>
          <w:tab w:val="left" w:pos="900"/>
        </w:tabs>
        <w:spacing w:line="276" w:lineRule="auto"/>
        <w:jc w:val="both"/>
        <w:rPr>
          <w:rFonts w:ascii="Times New Roman" w:hAnsi="Times New Roman" w:cs="Times New Roman"/>
          <w:sz w:val="24"/>
          <w:szCs w:val="24"/>
        </w:rPr>
      </w:pPr>
      <w:r w:rsidRPr="00A938B3">
        <w:rPr>
          <w:rFonts w:ascii="Times New Roman" w:hAnsi="Times New Roman" w:cs="Times New Roman"/>
          <w:sz w:val="24"/>
          <w:szCs w:val="24"/>
        </w:rPr>
        <w:t>Pe baza informațiilor</w:t>
      </w:r>
      <w:r w:rsidR="00230399" w:rsidRPr="00A938B3">
        <w:rPr>
          <w:rFonts w:ascii="Times New Roman" w:hAnsi="Times New Roman" w:cs="Times New Roman"/>
          <w:sz w:val="24"/>
          <w:szCs w:val="24"/>
        </w:rPr>
        <w:t xml:space="preserve"> transmise de </w:t>
      </w:r>
      <w:r w:rsidRPr="00A938B3">
        <w:rPr>
          <w:rFonts w:ascii="Times New Roman" w:hAnsi="Times New Roman" w:cs="Times New Roman"/>
          <w:sz w:val="24"/>
          <w:szCs w:val="24"/>
        </w:rPr>
        <w:t xml:space="preserve">către </w:t>
      </w:r>
      <w:r w:rsidR="00230399" w:rsidRPr="00A938B3">
        <w:rPr>
          <w:rFonts w:ascii="Times New Roman" w:hAnsi="Times New Roman" w:cs="Times New Roman"/>
          <w:sz w:val="24"/>
          <w:szCs w:val="24"/>
        </w:rPr>
        <w:t>entitățile publice centrale</w:t>
      </w:r>
      <w:r w:rsidR="00A85A9F" w:rsidRPr="00A938B3">
        <w:rPr>
          <w:rFonts w:ascii="Times New Roman" w:hAnsi="Times New Roman" w:cs="Times New Roman"/>
          <w:sz w:val="24"/>
          <w:szCs w:val="24"/>
        </w:rPr>
        <w:t>,</w:t>
      </w:r>
      <w:r w:rsidR="008438AB" w:rsidRPr="00A938B3">
        <w:rPr>
          <w:rFonts w:ascii="Times New Roman" w:hAnsi="Times New Roman" w:cs="Times New Roman"/>
          <w:sz w:val="24"/>
          <w:szCs w:val="24"/>
        </w:rPr>
        <w:t xml:space="preserve"> DCIMRI a elaborat </w:t>
      </w:r>
      <w:r w:rsidR="00602BDC" w:rsidRPr="00A938B3">
        <w:rPr>
          <w:rFonts w:ascii="Times New Roman" w:hAnsi="Times New Roman" w:cs="Times New Roman"/>
          <w:i/>
          <w:sz w:val="24"/>
          <w:szCs w:val="24"/>
        </w:rPr>
        <w:t>Centralizarea</w:t>
      </w:r>
      <w:r w:rsidR="008438AB" w:rsidRPr="00A938B3">
        <w:rPr>
          <w:rFonts w:ascii="Times New Roman" w:hAnsi="Times New Roman" w:cs="Times New Roman"/>
          <w:i/>
          <w:sz w:val="24"/>
          <w:szCs w:val="24"/>
        </w:rPr>
        <w:t xml:space="preserve"> </w:t>
      </w:r>
      <w:r w:rsidR="00602BDC" w:rsidRPr="00A938B3">
        <w:rPr>
          <w:rFonts w:ascii="Times New Roman" w:hAnsi="Times New Roman" w:cs="Times New Roman"/>
          <w:i/>
          <w:sz w:val="24"/>
          <w:szCs w:val="24"/>
        </w:rPr>
        <w:t>privind stadiul implementării și dezvoltăr</w:t>
      </w:r>
      <w:r w:rsidRPr="00A938B3">
        <w:rPr>
          <w:rFonts w:ascii="Times New Roman" w:hAnsi="Times New Roman" w:cs="Times New Roman"/>
          <w:i/>
          <w:sz w:val="24"/>
          <w:szCs w:val="24"/>
        </w:rPr>
        <w:t>ii SCIM la data de 31 decembrie</w:t>
      </w:r>
      <w:r w:rsidR="00D1733F" w:rsidRPr="00A938B3">
        <w:rPr>
          <w:rFonts w:ascii="Times New Roman" w:hAnsi="Times New Roman" w:cs="Times New Roman"/>
          <w:i/>
          <w:sz w:val="24"/>
          <w:szCs w:val="24"/>
        </w:rPr>
        <w:t xml:space="preserve"> </w:t>
      </w:r>
      <w:r w:rsidR="00602BDC" w:rsidRPr="00A938B3">
        <w:rPr>
          <w:rFonts w:ascii="Times New Roman" w:hAnsi="Times New Roman" w:cs="Times New Roman"/>
          <w:i/>
          <w:sz w:val="24"/>
          <w:szCs w:val="24"/>
        </w:rPr>
        <w:t>201</w:t>
      </w:r>
      <w:r w:rsidR="00D1733F" w:rsidRPr="00A938B3">
        <w:rPr>
          <w:rFonts w:ascii="Times New Roman" w:hAnsi="Times New Roman" w:cs="Times New Roman"/>
          <w:i/>
          <w:sz w:val="24"/>
          <w:szCs w:val="24"/>
        </w:rPr>
        <w:t>6</w:t>
      </w:r>
      <w:r w:rsidR="00DD547F" w:rsidRPr="00A938B3">
        <w:rPr>
          <w:rFonts w:ascii="Times New Roman" w:hAnsi="Times New Roman" w:cs="Times New Roman"/>
          <w:i/>
          <w:color w:val="FF0000"/>
          <w:sz w:val="24"/>
          <w:szCs w:val="24"/>
        </w:rPr>
        <w:t>,</w:t>
      </w:r>
      <w:r w:rsidR="008F2352" w:rsidRPr="00A938B3">
        <w:rPr>
          <w:rFonts w:ascii="Times New Roman" w:hAnsi="Times New Roman" w:cs="Times New Roman"/>
          <w:i/>
          <w:color w:val="FF0000"/>
          <w:sz w:val="24"/>
          <w:szCs w:val="24"/>
        </w:rPr>
        <w:t xml:space="preserve"> </w:t>
      </w:r>
      <w:r w:rsidR="00A85A9F" w:rsidRPr="00A938B3">
        <w:rPr>
          <w:rFonts w:ascii="Times New Roman" w:hAnsi="Times New Roman" w:cs="Times New Roman"/>
          <w:sz w:val="24"/>
          <w:szCs w:val="24"/>
        </w:rPr>
        <w:t xml:space="preserve">prezentată în  </w:t>
      </w:r>
      <w:r w:rsidR="00A85A9F" w:rsidRPr="00A938B3">
        <w:rPr>
          <w:rFonts w:ascii="Times New Roman" w:hAnsi="Times New Roman" w:cs="Times New Roman"/>
          <w:i/>
          <w:sz w:val="24"/>
          <w:szCs w:val="24"/>
        </w:rPr>
        <w:t>Anexa nr. 1 la</w:t>
      </w:r>
      <w:r w:rsidR="00A85A9F" w:rsidRPr="00A938B3">
        <w:rPr>
          <w:rFonts w:ascii="Times New Roman" w:hAnsi="Times New Roman" w:cs="Times New Roman"/>
          <w:sz w:val="24"/>
          <w:szCs w:val="24"/>
        </w:rPr>
        <w:t xml:space="preserve"> </w:t>
      </w:r>
      <w:r w:rsidR="00A85A9F" w:rsidRPr="00A938B3">
        <w:rPr>
          <w:rFonts w:ascii="Times New Roman" w:hAnsi="Times New Roman" w:cs="Times New Roman"/>
          <w:i/>
          <w:sz w:val="24"/>
          <w:szCs w:val="24"/>
        </w:rPr>
        <w:t>Raport</w:t>
      </w:r>
      <w:r w:rsidR="00A85A9F" w:rsidRPr="00A938B3">
        <w:rPr>
          <w:rFonts w:ascii="Times New Roman" w:hAnsi="Times New Roman" w:cs="Times New Roman"/>
          <w:sz w:val="24"/>
          <w:szCs w:val="24"/>
        </w:rPr>
        <w:t xml:space="preserve">, din analiza căreia </w:t>
      </w:r>
      <w:r w:rsidR="008F2352" w:rsidRPr="00A938B3">
        <w:rPr>
          <w:rFonts w:ascii="Times New Roman" w:hAnsi="Times New Roman" w:cs="Times New Roman"/>
          <w:sz w:val="24"/>
          <w:szCs w:val="24"/>
        </w:rPr>
        <w:t>au rezultat următoarele observații:</w:t>
      </w:r>
    </w:p>
    <w:p w:rsidR="00557187" w:rsidRPr="001B2B79" w:rsidRDefault="006E7162" w:rsidP="00C7604C">
      <w:pPr>
        <w:pStyle w:val="ListParagraph"/>
        <w:numPr>
          <w:ilvl w:val="0"/>
          <w:numId w:val="5"/>
        </w:numPr>
        <w:spacing w:after="120" w:line="276" w:lineRule="auto"/>
        <w:ind w:left="425" w:hanging="425"/>
        <w:contextualSpacing w:val="0"/>
        <w:jc w:val="both"/>
        <w:rPr>
          <w:rFonts w:ascii="Times New Roman" w:hAnsi="Times New Roman" w:cs="Times New Roman"/>
          <w:sz w:val="24"/>
          <w:szCs w:val="24"/>
        </w:rPr>
      </w:pPr>
      <w:r>
        <w:rPr>
          <w:rFonts w:ascii="Times New Roman" w:hAnsi="Times New Roman" w:cs="Times New Roman"/>
          <w:sz w:val="24"/>
          <w:szCs w:val="24"/>
        </w:rPr>
        <w:t xml:space="preserve">Numărul total </w:t>
      </w:r>
      <w:r w:rsidRPr="006E7162">
        <w:rPr>
          <w:rFonts w:ascii="Times New Roman" w:hAnsi="Times New Roman" w:cs="Times New Roman"/>
          <w:sz w:val="24"/>
          <w:szCs w:val="24"/>
        </w:rPr>
        <w:t>de entități publice centrale</w:t>
      </w:r>
      <w:r>
        <w:rPr>
          <w:rFonts w:ascii="Times New Roman" w:hAnsi="Times New Roman" w:cs="Times New Roman"/>
          <w:sz w:val="24"/>
          <w:szCs w:val="24"/>
        </w:rPr>
        <w:t xml:space="preserve"> la care se implementează SCIM este</w:t>
      </w:r>
      <w:r w:rsidR="00800549">
        <w:rPr>
          <w:rFonts w:ascii="Times New Roman" w:hAnsi="Times New Roman" w:cs="Times New Roman"/>
          <w:sz w:val="24"/>
          <w:szCs w:val="24"/>
        </w:rPr>
        <w:t xml:space="preserve"> </w:t>
      </w:r>
      <w:r>
        <w:rPr>
          <w:rFonts w:ascii="Times New Roman" w:hAnsi="Times New Roman" w:cs="Times New Roman"/>
          <w:sz w:val="24"/>
          <w:szCs w:val="24"/>
        </w:rPr>
        <w:t xml:space="preserve">de </w:t>
      </w:r>
      <w:r w:rsidR="00D1733F" w:rsidRPr="001B2B79">
        <w:rPr>
          <w:rFonts w:ascii="Times New Roman" w:hAnsi="Times New Roman" w:cs="Times New Roman"/>
          <w:i/>
          <w:sz w:val="24"/>
          <w:szCs w:val="24"/>
        </w:rPr>
        <w:t>54</w:t>
      </w:r>
      <w:r w:rsidR="00230399">
        <w:rPr>
          <w:rFonts w:ascii="Times New Roman" w:hAnsi="Times New Roman" w:cs="Times New Roman"/>
          <w:sz w:val="24"/>
          <w:szCs w:val="24"/>
        </w:rPr>
        <w:t xml:space="preserve">, </w:t>
      </w:r>
      <w:r>
        <w:rPr>
          <w:rFonts w:ascii="Times New Roman" w:hAnsi="Times New Roman" w:cs="Times New Roman"/>
          <w:sz w:val="24"/>
          <w:szCs w:val="24"/>
        </w:rPr>
        <w:t xml:space="preserve">raportările fiind efectuate de către un număr de </w:t>
      </w:r>
      <w:r w:rsidRPr="001B2B79">
        <w:rPr>
          <w:rFonts w:ascii="Times New Roman" w:hAnsi="Times New Roman" w:cs="Times New Roman"/>
          <w:sz w:val="24"/>
          <w:szCs w:val="24"/>
        </w:rPr>
        <w:t>5</w:t>
      </w:r>
      <w:r w:rsidR="00D1733F" w:rsidRPr="001B2B79">
        <w:rPr>
          <w:rFonts w:ascii="Times New Roman" w:hAnsi="Times New Roman" w:cs="Times New Roman"/>
          <w:sz w:val="24"/>
          <w:szCs w:val="24"/>
        </w:rPr>
        <w:t>0</w:t>
      </w:r>
      <w:r w:rsidRPr="0035493E">
        <w:rPr>
          <w:rFonts w:ascii="Times New Roman" w:hAnsi="Times New Roman" w:cs="Times New Roman"/>
          <w:color w:val="FF0000"/>
          <w:sz w:val="24"/>
          <w:szCs w:val="24"/>
        </w:rPr>
        <w:t xml:space="preserve"> </w:t>
      </w:r>
      <w:r>
        <w:rPr>
          <w:rFonts w:ascii="Times New Roman" w:hAnsi="Times New Roman" w:cs="Times New Roman"/>
          <w:sz w:val="24"/>
          <w:szCs w:val="24"/>
        </w:rPr>
        <w:t>entități publice centrale</w:t>
      </w:r>
      <w:r w:rsidR="00503D24">
        <w:rPr>
          <w:rFonts w:ascii="Times New Roman" w:hAnsi="Times New Roman" w:cs="Times New Roman"/>
          <w:sz w:val="24"/>
          <w:szCs w:val="24"/>
        </w:rPr>
        <w:t xml:space="preserve">, </w:t>
      </w:r>
      <w:r>
        <w:rPr>
          <w:rFonts w:ascii="Times New Roman" w:hAnsi="Times New Roman" w:cs="Times New Roman"/>
          <w:sz w:val="24"/>
          <w:szCs w:val="24"/>
        </w:rPr>
        <w:t xml:space="preserve">mai puțin </w:t>
      </w:r>
      <w:r w:rsidR="0035493E" w:rsidRPr="001B2B79">
        <w:rPr>
          <w:rFonts w:ascii="Times New Roman" w:hAnsi="Times New Roman" w:cs="Times New Roman"/>
          <w:sz w:val="24"/>
          <w:szCs w:val="24"/>
        </w:rPr>
        <w:t>2 entități publice centrale care nu au raportat</w:t>
      </w:r>
      <w:r w:rsidR="0035493E">
        <w:rPr>
          <w:rFonts w:ascii="Times New Roman" w:hAnsi="Times New Roman" w:cs="Times New Roman"/>
          <w:sz w:val="24"/>
          <w:szCs w:val="24"/>
        </w:rPr>
        <w:t xml:space="preserve">: </w:t>
      </w:r>
      <w:r w:rsidR="00800549">
        <w:rPr>
          <w:rFonts w:ascii="Times New Roman" w:hAnsi="Times New Roman" w:cs="Times New Roman"/>
          <w:sz w:val="24"/>
          <w:szCs w:val="24"/>
        </w:rPr>
        <w:t xml:space="preserve">Ministerul Economiei, Comerțului și </w:t>
      </w:r>
      <w:r w:rsidR="000D58F1">
        <w:rPr>
          <w:rFonts w:ascii="Times New Roman" w:hAnsi="Times New Roman" w:cs="Times New Roman"/>
          <w:sz w:val="24"/>
          <w:szCs w:val="24"/>
        </w:rPr>
        <w:t>Relațiilor cu Mediul de Afaceri</w:t>
      </w:r>
      <w:r w:rsidR="0035493E">
        <w:rPr>
          <w:rFonts w:ascii="Times New Roman" w:hAnsi="Times New Roman" w:cs="Times New Roman"/>
          <w:sz w:val="24"/>
          <w:szCs w:val="24"/>
        </w:rPr>
        <w:t>,</w:t>
      </w:r>
      <w:r w:rsidR="00D1733F">
        <w:rPr>
          <w:rFonts w:ascii="Times New Roman" w:hAnsi="Times New Roman" w:cs="Times New Roman"/>
          <w:sz w:val="24"/>
          <w:szCs w:val="24"/>
        </w:rPr>
        <w:t xml:space="preserve"> </w:t>
      </w:r>
      <w:r w:rsidR="00D1733F" w:rsidRPr="001B2B79">
        <w:rPr>
          <w:rFonts w:ascii="Times New Roman" w:hAnsi="Times New Roman" w:cs="Times New Roman"/>
          <w:sz w:val="24"/>
          <w:szCs w:val="24"/>
        </w:rPr>
        <w:t>Ministerul</w:t>
      </w:r>
      <w:r w:rsidR="000D58F1" w:rsidRPr="001B2B79">
        <w:rPr>
          <w:rFonts w:ascii="Times New Roman" w:hAnsi="Times New Roman" w:cs="Times New Roman"/>
          <w:sz w:val="24"/>
          <w:szCs w:val="24"/>
        </w:rPr>
        <w:t xml:space="preserve"> pentru Consultare </w:t>
      </w:r>
      <w:r w:rsidR="0035493E" w:rsidRPr="001B2B79">
        <w:rPr>
          <w:rFonts w:ascii="Times New Roman" w:hAnsi="Times New Roman" w:cs="Times New Roman"/>
          <w:sz w:val="24"/>
          <w:szCs w:val="24"/>
        </w:rPr>
        <w:t xml:space="preserve">Publică </w:t>
      </w:r>
      <w:r w:rsidR="000D58F1" w:rsidRPr="001B2B79">
        <w:rPr>
          <w:rFonts w:ascii="Times New Roman" w:hAnsi="Times New Roman" w:cs="Times New Roman"/>
          <w:sz w:val="24"/>
          <w:szCs w:val="24"/>
        </w:rPr>
        <w:t>și Dialog</w:t>
      </w:r>
      <w:r w:rsidR="00D1733F" w:rsidRPr="001B2B79">
        <w:rPr>
          <w:rFonts w:ascii="Times New Roman" w:hAnsi="Times New Roman" w:cs="Times New Roman"/>
          <w:sz w:val="24"/>
          <w:szCs w:val="24"/>
        </w:rPr>
        <w:t xml:space="preserve"> </w:t>
      </w:r>
      <w:r w:rsidR="0035493E" w:rsidRPr="001B2B79">
        <w:rPr>
          <w:rFonts w:ascii="Times New Roman" w:hAnsi="Times New Roman" w:cs="Times New Roman"/>
          <w:sz w:val="24"/>
          <w:szCs w:val="24"/>
        </w:rPr>
        <w:t xml:space="preserve">Civic </w:t>
      </w:r>
      <w:r w:rsidR="00D1733F" w:rsidRPr="001B2B79">
        <w:rPr>
          <w:rFonts w:ascii="Times New Roman" w:hAnsi="Times New Roman" w:cs="Times New Roman"/>
          <w:sz w:val="24"/>
          <w:szCs w:val="24"/>
        </w:rPr>
        <w:t>și</w:t>
      </w:r>
      <w:r w:rsidR="0035493E" w:rsidRPr="001B2B79">
        <w:rPr>
          <w:rFonts w:ascii="Times New Roman" w:hAnsi="Times New Roman" w:cs="Times New Roman"/>
          <w:sz w:val="24"/>
          <w:szCs w:val="24"/>
        </w:rPr>
        <w:t xml:space="preserve"> 2 entități publice care sunt excep</w:t>
      </w:r>
      <w:r w:rsidR="00B72F66" w:rsidRPr="001B2B79">
        <w:rPr>
          <w:rFonts w:ascii="Times New Roman" w:hAnsi="Times New Roman" w:cs="Times New Roman"/>
          <w:sz w:val="24"/>
          <w:szCs w:val="24"/>
        </w:rPr>
        <w:t>tate de la raportare</w:t>
      </w:r>
      <w:r w:rsidR="0035493E" w:rsidRPr="001B2B79">
        <w:rPr>
          <w:rFonts w:ascii="Times New Roman" w:hAnsi="Times New Roman" w:cs="Times New Roman"/>
          <w:sz w:val="24"/>
          <w:szCs w:val="24"/>
        </w:rPr>
        <w:t xml:space="preserve">  </w:t>
      </w:r>
      <w:r w:rsidR="00B72F66" w:rsidRPr="001B2B79">
        <w:rPr>
          <w:rFonts w:ascii="Times New Roman" w:hAnsi="Times New Roman" w:cs="Times New Roman"/>
          <w:sz w:val="24"/>
          <w:szCs w:val="24"/>
        </w:rPr>
        <w:t>(</w:t>
      </w:r>
      <w:r w:rsidR="0035493E" w:rsidRPr="001B2B79">
        <w:rPr>
          <w:rFonts w:ascii="Times New Roman" w:hAnsi="Times New Roman" w:cs="Times New Roman"/>
          <w:sz w:val="24"/>
          <w:szCs w:val="24"/>
        </w:rPr>
        <w:t>conform art.</w:t>
      </w:r>
      <w:r w:rsidR="00B72F66" w:rsidRPr="001B2B79">
        <w:rPr>
          <w:rFonts w:ascii="Times New Roman" w:hAnsi="Times New Roman" w:cs="Times New Roman"/>
          <w:sz w:val="24"/>
          <w:szCs w:val="24"/>
        </w:rPr>
        <w:t>8</w:t>
      </w:r>
      <w:r w:rsidR="00B72F66" w:rsidRPr="001B2B79">
        <w:rPr>
          <w:rFonts w:ascii="Times New Roman" w:hAnsi="Times New Roman" w:cs="Times New Roman"/>
          <w:sz w:val="28"/>
          <w:szCs w:val="24"/>
          <w:vertAlign w:val="superscript"/>
        </w:rPr>
        <w:t>1</w:t>
      </w:r>
      <w:r w:rsidR="00B72F66" w:rsidRPr="001B2B79">
        <w:rPr>
          <w:rFonts w:ascii="Times New Roman" w:hAnsi="Times New Roman" w:cs="Times New Roman"/>
          <w:sz w:val="28"/>
          <w:szCs w:val="24"/>
        </w:rPr>
        <w:t xml:space="preserve">, </w:t>
      </w:r>
      <w:r w:rsidR="00B72F66" w:rsidRPr="001B2B79">
        <w:rPr>
          <w:rFonts w:ascii="Times New Roman" w:hAnsi="Times New Roman" w:cs="Times New Roman"/>
          <w:sz w:val="24"/>
          <w:szCs w:val="24"/>
        </w:rPr>
        <w:t>alin. 3 din OSGG nr. 400/2015 cu modificările și completările ulterioare):</w:t>
      </w:r>
      <w:r w:rsidR="0035493E" w:rsidRPr="001B2B79">
        <w:rPr>
          <w:rFonts w:ascii="Times New Roman" w:hAnsi="Times New Roman" w:cs="Times New Roman"/>
          <w:sz w:val="24"/>
          <w:szCs w:val="24"/>
        </w:rPr>
        <w:t xml:space="preserve"> Serviciul de Protecție și Pază</w:t>
      </w:r>
      <w:r w:rsidR="00D1733F" w:rsidRPr="001B2B79">
        <w:rPr>
          <w:rFonts w:ascii="Times New Roman" w:hAnsi="Times New Roman" w:cs="Times New Roman"/>
          <w:sz w:val="24"/>
          <w:szCs w:val="24"/>
        </w:rPr>
        <w:t xml:space="preserve"> </w:t>
      </w:r>
      <w:r w:rsidR="00B72F66" w:rsidRPr="001B2B79">
        <w:rPr>
          <w:rFonts w:ascii="Times New Roman" w:hAnsi="Times New Roman" w:cs="Times New Roman"/>
          <w:sz w:val="24"/>
          <w:szCs w:val="24"/>
        </w:rPr>
        <w:t>și Serviciul de Telecomunicații Speciale</w:t>
      </w:r>
      <w:r w:rsidR="00800549" w:rsidRPr="001B2B79">
        <w:rPr>
          <w:rFonts w:ascii="Times New Roman" w:hAnsi="Times New Roman" w:cs="Times New Roman"/>
          <w:sz w:val="24"/>
          <w:szCs w:val="24"/>
        </w:rPr>
        <w:t>;</w:t>
      </w:r>
    </w:p>
    <w:p w:rsidR="008F2352" w:rsidRDefault="00460BD5" w:rsidP="00C7604C">
      <w:pPr>
        <w:pStyle w:val="ListParagraph"/>
        <w:numPr>
          <w:ilvl w:val="0"/>
          <w:numId w:val="5"/>
        </w:numPr>
        <w:spacing w:after="120" w:line="276" w:lineRule="auto"/>
        <w:ind w:left="425" w:hanging="425"/>
        <w:contextualSpacing w:val="0"/>
        <w:jc w:val="both"/>
        <w:rPr>
          <w:rFonts w:ascii="Times New Roman" w:hAnsi="Times New Roman" w:cs="Times New Roman"/>
          <w:sz w:val="24"/>
          <w:szCs w:val="24"/>
        </w:rPr>
      </w:pPr>
      <w:r>
        <w:rPr>
          <w:rFonts w:ascii="Times New Roman" w:hAnsi="Times New Roman" w:cs="Times New Roman"/>
          <w:sz w:val="24"/>
          <w:szCs w:val="24"/>
        </w:rPr>
        <w:t xml:space="preserve">Cele </w:t>
      </w:r>
      <w:r w:rsidR="0035493E" w:rsidRPr="001B2B79">
        <w:rPr>
          <w:rFonts w:ascii="Times New Roman" w:hAnsi="Times New Roman" w:cs="Times New Roman"/>
          <w:sz w:val="24"/>
          <w:szCs w:val="24"/>
        </w:rPr>
        <w:t>50</w:t>
      </w:r>
      <w:r w:rsidRPr="0035493E">
        <w:rPr>
          <w:rFonts w:ascii="Times New Roman" w:hAnsi="Times New Roman" w:cs="Times New Roman"/>
          <w:color w:val="FF0000"/>
          <w:sz w:val="24"/>
          <w:szCs w:val="24"/>
        </w:rPr>
        <w:t xml:space="preserve"> </w:t>
      </w:r>
      <w:r>
        <w:rPr>
          <w:rFonts w:ascii="Times New Roman" w:hAnsi="Times New Roman" w:cs="Times New Roman"/>
          <w:sz w:val="24"/>
          <w:szCs w:val="24"/>
        </w:rPr>
        <w:t xml:space="preserve">de </w:t>
      </w:r>
      <w:r w:rsidRPr="00460BD5">
        <w:rPr>
          <w:rFonts w:ascii="Times New Roman" w:hAnsi="Times New Roman" w:cs="Times New Roman"/>
          <w:sz w:val="24"/>
          <w:szCs w:val="24"/>
        </w:rPr>
        <w:t>entități</w:t>
      </w:r>
      <w:r w:rsidR="008F2352" w:rsidRPr="00460BD5">
        <w:rPr>
          <w:rFonts w:ascii="Times New Roman" w:hAnsi="Times New Roman" w:cs="Times New Roman"/>
          <w:sz w:val="24"/>
          <w:szCs w:val="24"/>
        </w:rPr>
        <w:t xml:space="preserve"> publice centrale</w:t>
      </w:r>
      <w:r w:rsidR="00557187">
        <w:rPr>
          <w:rFonts w:ascii="Times New Roman" w:hAnsi="Times New Roman" w:cs="Times New Roman"/>
          <w:sz w:val="24"/>
          <w:szCs w:val="24"/>
        </w:rPr>
        <w:t>,</w:t>
      </w:r>
      <w:r w:rsidR="00131CDD">
        <w:rPr>
          <w:rFonts w:ascii="Times New Roman" w:hAnsi="Times New Roman" w:cs="Times New Roman"/>
          <w:sz w:val="24"/>
          <w:szCs w:val="24"/>
        </w:rPr>
        <w:t xml:space="preserve"> care au efectuat raportările</w:t>
      </w:r>
      <w:r w:rsidR="00C27B81">
        <w:rPr>
          <w:rFonts w:ascii="Times New Roman" w:hAnsi="Times New Roman" w:cs="Times New Roman"/>
          <w:sz w:val="24"/>
          <w:szCs w:val="24"/>
        </w:rPr>
        <w:t>,</w:t>
      </w:r>
      <w:r w:rsidR="00131CDD">
        <w:rPr>
          <w:rFonts w:ascii="Times New Roman" w:hAnsi="Times New Roman" w:cs="Times New Roman"/>
          <w:sz w:val="24"/>
          <w:szCs w:val="24"/>
        </w:rPr>
        <w:t xml:space="preserve"> </w:t>
      </w:r>
      <w:r w:rsidR="008F2352">
        <w:rPr>
          <w:rFonts w:ascii="Times New Roman" w:hAnsi="Times New Roman" w:cs="Times New Roman"/>
          <w:sz w:val="24"/>
          <w:szCs w:val="24"/>
        </w:rPr>
        <w:t>au</w:t>
      </w:r>
      <w:r w:rsidR="00DD547F">
        <w:rPr>
          <w:rFonts w:ascii="Times New Roman" w:hAnsi="Times New Roman" w:cs="Times New Roman"/>
          <w:sz w:val="24"/>
          <w:szCs w:val="24"/>
        </w:rPr>
        <w:t xml:space="preserve"> </w:t>
      </w:r>
      <w:r w:rsidR="008F2352">
        <w:rPr>
          <w:rFonts w:ascii="Times New Roman" w:hAnsi="Times New Roman" w:cs="Times New Roman"/>
          <w:sz w:val="24"/>
          <w:szCs w:val="24"/>
        </w:rPr>
        <w:t xml:space="preserve"> în subordonare </w:t>
      </w:r>
      <w:r w:rsidR="00DD547F">
        <w:rPr>
          <w:rFonts w:ascii="Times New Roman" w:hAnsi="Times New Roman" w:cs="Times New Roman"/>
          <w:sz w:val="24"/>
          <w:szCs w:val="24"/>
        </w:rPr>
        <w:t>sau</w:t>
      </w:r>
      <w:r w:rsidR="008F2352">
        <w:rPr>
          <w:rFonts w:ascii="Times New Roman" w:hAnsi="Times New Roman" w:cs="Times New Roman"/>
          <w:sz w:val="24"/>
          <w:szCs w:val="24"/>
        </w:rPr>
        <w:t xml:space="preserve"> în coordonare un număr </w:t>
      </w:r>
      <w:r w:rsidR="008F2352" w:rsidRPr="00DD547F">
        <w:rPr>
          <w:rFonts w:ascii="Times New Roman" w:hAnsi="Times New Roman" w:cs="Times New Roman"/>
          <w:sz w:val="24"/>
          <w:szCs w:val="24"/>
        </w:rPr>
        <w:t>de</w:t>
      </w:r>
      <w:r w:rsidR="00DD547F" w:rsidRPr="00DD547F">
        <w:rPr>
          <w:rFonts w:ascii="Times New Roman" w:hAnsi="Times New Roman" w:cs="Times New Roman"/>
          <w:sz w:val="24"/>
          <w:szCs w:val="24"/>
        </w:rPr>
        <w:t xml:space="preserve"> </w:t>
      </w:r>
      <w:r w:rsidR="0035493E" w:rsidRPr="001B2B79">
        <w:rPr>
          <w:rFonts w:ascii="Times New Roman" w:hAnsi="Times New Roman" w:cs="Times New Roman"/>
          <w:sz w:val="24"/>
          <w:szCs w:val="24"/>
        </w:rPr>
        <w:t>2</w:t>
      </w:r>
      <w:r w:rsidR="00B72F66" w:rsidRPr="001B2B79">
        <w:rPr>
          <w:rFonts w:ascii="Times New Roman" w:hAnsi="Times New Roman" w:cs="Times New Roman"/>
          <w:sz w:val="24"/>
          <w:szCs w:val="24"/>
        </w:rPr>
        <w:t>.</w:t>
      </w:r>
      <w:r w:rsidR="0035493E" w:rsidRPr="001B2B79">
        <w:rPr>
          <w:rFonts w:ascii="Times New Roman" w:hAnsi="Times New Roman" w:cs="Times New Roman"/>
          <w:sz w:val="24"/>
          <w:szCs w:val="24"/>
        </w:rPr>
        <w:t>040</w:t>
      </w:r>
      <w:r w:rsidR="00DD547F" w:rsidRPr="001B2B79">
        <w:rPr>
          <w:rFonts w:ascii="Times New Roman" w:hAnsi="Times New Roman" w:cs="Times New Roman"/>
          <w:sz w:val="24"/>
          <w:szCs w:val="24"/>
        </w:rPr>
        <w:t xml:space="preserve"> </w:t>
      </w:r>
      <w:r w:rsidR="00DD547F">
        <w:rPr>
          <w:rFonts w:ascii="Times New Roman" w:hAnsi="Times New Roman" w:cs="Times New Roman"/>
          <w:sz w:val="24"/>
          <w:szCs w:val="24"/>
        </w:rPr>
        <w:t>de entități publice</w:t>
      </w:r>
      <w:r w:rsidR="00AB057E">
        <w:rPr>
          <w:rFonts w:ascii="Times New Roman" w:hAnsi="Times New Roman" w:cs="Times New Roman"/>
          <w:sz w:val="24"/>
          <w:szCs w:val="24"/>
        </w:rPr>
        <w:t>;</w:t>
      </w:r>
    </w:p>
    <w:p w:rsidR="00AD0E95" w:rsidRDefault="009A797F" w:rsidP="00C7604C">
      <w:pPr>
        <w:pStyle w:val="ListParagraph"/>
        <w:numPr>
          <w:ilvl w:val="0"/>
          <w:numId w:val="5"/>
        </w:numPr>
        <w:spacing w:after="120" w:line="276" w:lineRule="auto"/>
        <w:ind w:left="425" w:hanging="425"/>
        <w:contextualSpacing w:val="0"/>
        <w:jc w:val="both"/>
        <w:rPr>
          <w:rFonts w:ascii="Times New Roman" w:hAnsi="Times New Roman" w:cs="Times New Roman"/>
          <w:sz w:val="24"/>
          <w:szCs w:val="24"/>
        </w:rPr>
      </w:pPr>
      <w:r w:rsidRPr="009A797F">
        <w:rPr>
          <w:rFonts w:ascii="Times New Roman" w:hAnsi="Times New Roman" w:cs="Times New Roman"/>
          <w:i/>
          <w:sz w:val="24"/>
          <w:szCs w:val="24"/>
        </w:rPr>
        <w:t>Comisia  de monitorizare</w:t>
      </w:r>
      <w:r w:rsidR="004818A0">
        <w:rPr>
          <w:rFonts w:ascii="Times New Roman" w:hAnsi="Times New Roman" w:cs="Times New Roman"/>
          <w:i/>
          <w:sz w:val="24"/>
          <w:szCs w:val="24"/>
        </w:rPr>
        <w:t xml:space="preserve"> </w:t>
      </w:r>
      <w:r w:rsidR="008438AB">
        <w:rPr>
          <w:rFonts w:ascii="Times New Roman" w:hAnsi="Times New Roman" w:cs="Times New Roman"/>
          <w:i/>
          <w:sz w:val="24"/>
          <w:szCs w:val="24"/>
        </w:rPr>
        <w:t xml:space="preserve"> </w:t>
      </w:r>
      <w:r w:rsidR="00DB7B23">
        <w:rPr>
          <w:rFonts w:ascii="Times New Roman" w:hAnsi="Times New Roman" w:cs="Times New Roman"/>
          <w:sz w:val="24"/>
          <w:szCs w:val="24"/>
        </w:rPr>
        <w:t>a</w:t>
      </w:r>
      <w:r w:rsidR="00DB7B23" w:rsidRPr="00AD0E95">
        <w:rPr>
          <w:rFonts w:ascii="Times New Roman" w:hAnsi="Times New Roman" w:cs="Times New Roman"/>
          <w:sz w:val="24"/>
          <w:szCs w:val="24"/>
        </w:rPr>
        <w:t xml:space="preserve"> </w:t>
      </w:r>
      <w:r w:rsidR="00DB7B23">
        <w:rPr>
          <w:rFonts w:ascii="Times New Roman" w:hAnsi="Times New Roman" w:cs="Times New Roman"/>
          <w:sz w:val="24"/>
          <w:szCs w:val="24"/>
        </w:rPr>
        <w:t xml:space="preserve">fost </w:t>
      </w:r>
      <w:r w:rsidR="00DB7B23" w:rsidRPr="00AD0E95">
        <w:rPr>
          <w:rFonts w:ascii="Times New Roman" w:hAnsi="Times New Roman" w:cs="Times New Roman"/>
          <w:sz w:val="24"/>
          <w:szCs w:val="24"/>
        </w:rPr>
        <w:t>constituit</w:t>
      </w:r>
      <w:r w:rsidR="00DB7B23">
        <w:rPr>
          <w:rFonts w:ascii="Times New Roman" w:hAnsi="Times New Roman" w:cs="Times New Roman"/>
          <w:sz w:val="24"/>
          <w:szCs w:val="24"/>
        </w:rPr>
        <w:t>ă</w:t>
      </w:r>
      <w:r w:rsidR="00DB7B23" w:rsidRPr="00AD0E95">
        <w:rPr>
          <w:rFonts w:ascii="Times New Roman" w:hAnsi="Times New Roman" w:cs="Times New Roman"/>
          <w:sz w:val="24"/>
          <w:szCs w:val="24"/>
        </w:rPr>
        <w:t xml:space="preserve"> </w:t>
      </w:r>
      <w:r w:rsidR="008438AB">
        <w:rPr>
          <w:rFonts w:ascii="Times New Roman" w:hAnsi="Times New Roman" w:cs="Times New Roman"/>
          <w:sz w:val="24"/>
          <w:szCs w:val="24"/>
        </w:rPr>
        <w:t>la</w:t>
      </w:r>
      <w:r w:rsidR="00DB7B23">
        <w:rPr>
          <w:rFonts w:ascii="Times New Roman" w:hAnsi="Times New Roman" w:cs="Times New Roman"/>
          <w:sz w:val="24"/>
          <w:szCs w:val="24"/>
        </w:rPr>
        <w:t xml:space="preserve"> </w:t>
      </w:r>
      <w:r w:rsidR="00A85A9F">
        <w:rPr>
          <w:rFonts w:ascii="Times New Roman" w:hAnsi="Times New Roman" w:cs="Times New Roman"/>
          <w:sz w:val="24"/>
          <w:szCs w:val="24"/>
        </w:rPr>
        <w:t xml:space="preserve">toate </w:t>
      </w:r>
      <w:r w:rsidR="00DF0F99">
        <w:rPr>
          <w:rFonts w:ascii="Times New Roman" w:hAnsi="Times New Roman" w:cs="Times New Roman"/>
          <w:sz w:val="24"/>
          <w:szCs w:val="24"/>
        </w:rPr>
        <w:t xml:space="preserve">cele </w:t>
      </w:r>
      <w:r w:rsidR="00DF0F99" w:rsidRPr="001B2B79">
        <w:rPr>
          <w:rFonts w:ascii="Times New Roman" w:hAnsi="Times New Roman" w:cs="Times New Roman"/>
          <w:sz w:val="24"/>
          <w:szCs w:val="24"/>
        </w:rPr>
        <w:t>5</w:t>
      </w:r>
      <w:r w:rsidR="0035493E" w:rsidRPr="001B2B79">
        <w:rPr>
          <w:rFonts w:ascii="Times New Roman" w:hAnsi="Times New Roman" w:cs="Times New Roman"/>
          <w:sz w:val="24"/>
          <w:szCs w:val="24"/>
        </w:rPr>
        <w:t>0</w:t>
      </w:r>
      <w:r w:rsidR="00DF0F99">
        <w:rPr>
          <w:rFonts w:ascii="Times New Roman" w:hAnsi="Times New Roman" w:cs="Times New Roman"/>
          <w:sz w:val="24"/>
          <w:szCs w:val="24"/>
        </w:rPr>
        <w:t xml:space="preserve"> de </w:t>
      </w:r>
      <w:r w:rsidR="00AD0E95">
        <w:rPr>
          <w:rFonts w:ascii="Times New Roman" w:hAnsi="Times New Roman" w:cs="Times New Roman"/>
          <w:sz w:val="24"/>
          <w:szCs w:val="24"/>
        </w:rPr>
        <w:t>e</w:t>
      </w:r>
      <w:r w:rsidR="00AD0E95" w:rsidRPr="00AD0E95">
        <w:rPr>
          <w:rFonts w:ascii="Times New Roman" w:hAnsi="Times New Roman" w:cs="Times New Roman"/>
          <w:sz w:val="24"/>
          <w:szCs w:val="24"/>
        </w:rPr>
        <w:t xml:space="preserve">ntități publice </w:t>
      </w:r>
      <w:r w:rsidR="00DB7B23">
        <w:rPr>
          <w:rFonts w:ascii="Times New Roman" w:hAnsi="Times New Roman" w:cs="Times New Roman"/>
          <w:sz w:val="24"/>
          <w:szCs w:val="24"/>
        </w:rPr>
        <w:t>centrale</w:t>
      </w:r>
      <w:r w:rsidR="00323EF9">
        <w:rPr>
          <w:rFonts w:ascii="Times New Roman" w:hAnsi="Times New Roman" w:cs="Times New Roman"/>
          <w:sz w:val="24"/>
          <w:szCs w:val="24"/>
        </w:rPr>
        <w:t xml:space="preserve"> </w:t>
      </w:r>
      <w:r w:rsidR="00DF0F99">
        <w:rPr>
          <w:rFonts w:ascii="Times New Roman" w:hAnsi="Times New Roman" w:cs="Times New Roman"/>
          <w:sz w:val="24"/>
          <w:szCs w:val="24"/>
        </w:rPr>
        <w:t>și</w:t>
      </w:r>
      <w:r w:rsidR="00AB057E">
        <w:rPr>
          <w:rFonts w:ascii="Times New Roman" w:hAnsi="Times New Roman" w:cs="Times New Roman"/>
          <w:sz w:val="24"/>
          <w:szCs w:val="24"/>
        </w:rPr>
        <w:t xml:space="preserve"> la </w:t>
      </w:r>
      <w:r w:rsidR="00B72F66" w:rsidRPr="001B2B79">
        <w:rPr>
          <w:rFonts w:ascii="Times New Roman" w:hAnsi="Times New Roman" w:cs="Times New Roman"/>
          <w:sz w:val="24"/>
          <w:szCs w:val="24"/>
        </w:rPr>
        <w:t>1.</w:t>
      </w:r>
      <w:r w:rsidR="0035493E" w:rsidRPr="001B2B79">
        <w:rPr>
          <w:rFonts w:ascii="Times New Roman" w:hAnsi="Times New Roman" w:cs="Times New Roman"/>
          <w:sz w:val="24"/>
          <w:szCs w:val="24"/>
        </w:rPr>
        <w:t>954</w:t>
      </w:r>
      <w:r w:rsidR="00DF0F99" w:rsidRPr="001B2B79">
        <w:rPr>
          <w:rFonts w:ascii="Times New Roman" w:hAnsi="Times New Roman" w:cs="Times New Roman"/>
          <w:sz w:val="24"/>
          <w:szCs w:val="24"/>
        </w:rPr>
        <w:t xml:space="preserve"> </w:t>
      </w:r>
      <w:r w:rsidR="00DF0F99">
        <w:rPr>
          <w:rFonts w:ascii="Times New Roman" w:hAnsi="Times New Roman" w:cs="Times New Roman"/>
          <w:sz w:val="24"/>
          <w:szCs w:val="24"/>
        </w:rPr>
        <w:t xml:space="preserve">de </w:t>
      </w:r>
      <w:r w:rsidR="00DB7B23">
        <w:rPr>
          <w:rFonts w:ascii="Times New Roman" w:hAnsi="Times New Roman" w:cs="Times New Roman"/>
          <w:sz w:val="24"/>
          <w:szCs w:val="24"/>
        </w:rPr>
        <w:t>entități publice aflate în subordonare sau în coordonare</w:t>
      </w:r>
      <w:r w:rsidR="00DF0F99">
        <w:rPr>
          <w:rFonts w:ascii="Times New Roman" w:hAnsi="Times New Roman" w:cs="Times New Roman"/>
          <w:sz w:val="24"/>
          <w:szCs w:val="24"/>
        </w:rPr>
        <w:t>, care reprez</w:t>
      </w:r>
      <w:r w:rsidR="00C27B81">
        <w:rPr>
          <w:rFonts w:ascii="Times New Roman" w:hAnsi="Times New Roman" w:cs="Times New Roman"/>
          <w:sz w:val="24"/>
          <w:szCs w:val="24"/>
        </w:rPr>
        <w:t>i</w:t>
      </w:r>
      <w:r w:rsidR="00DF0F99">
        <w:rPr>
          <w:rFonts w:ascii="Times New Roman" w:hAnsi="Times New Roman" w:cs="Times New Roman"/>
          <w:sz w:val="24"/>
          <w:szCs w:val="24"/>
        </w:rPr>
        <w:t xml:space="preserve">ntă </w:t>
      </w:r>
      <w:r w:rsidR="00D67C0D">
        <w:rPr>
          <w:rFonts w:ascii="Times New Roman" w:hAnsi="Times New Roman" w:cs="Times New Roman"/>
          <w:sz w:val="24"/>
          <w:szCs w:val="24"/>
        </w:rPr>
        <w:t xml:space="preserve">un procent de </w:t>
      </w:r>
      <w:r w:rsidR="00710FFC" w:rsidRPr="001B2B79">
        <w:rPr>
          <w:rFonts w:ascii="Times New Roman" w:hAnsi="Times New Roman" w:cs="Times New Roman"/>
          <w:sz w:val="24"/>
          <w:szCs w:val="24"/>
        </w:rPr>
        <w:t>95,</w:t>
      </w:r>
      <w:r w:rsidR="00B72F66" w:rsidRPr="001B2B79">
        <w:rPr>
          <w:rFonts w:ascii="Times New Roman" w:hAnsi="Times New Roman" w:cs="Times New Roman"/>
          <w:sz w:val="24"/>
          <w:szCs w:val="24"/>
        </w:rPr>
        <w:t>78</w:t>
      </w:r>
      <w:r w:rsidR="00710FFC" w:rsidRPr="001B2B79">
        <w:rPr>
          <w:rFonts w:ascii="Times New Roman" w:hAnsi="Times New Roman" w:cs="Times New Roman"/>
          <w:sz w:val="24"/>
          <w:szCs w:val="24"/>
        </w:rPr>
        <w:t>%</w:t>
      </w:r>
      <w:r w:rsidR="00AB057E" w:rsidRPr="001B2B79">
        <w:rPr>
          <w:rFonts w:ascii="Times New Roman" w:hAnsi="Times New Roman" w:cs="Times New Roman"/>
          <w:sz w:val="24"/>
          <w:szCs w:val="24"/>
        </w:rPr>
        <w:t>;</w:t>
      </w:r>
    </w:p>
    <w:p w:rsidR="00DB7B23" w:rsidRDefault="00710FFC" w:rsidP="00C7604C">
      <w:pPr>
        <w:pStyle w:val="ListParagraph"/>
        <w:numPr>
          <w:ilvl w:val="0"/>
          <w:numId w:val="5"/>
        </w:numPr>
        <w:tabs>
          <w:tab w:val="left" w:pos="851"/>
        </w:tabs>
        <w:spacing w:after="120" w:line="276" w:lineRule="auto"/>
        <w:ind w:left="425" w:hanging="425"/>
        <w:contextualSpacing w:val="0"/>
        <w:jc w:val="both"/>
        <w:rPr>
          <w:rFonts w:ascii="Times New Roman" w:hAnsi="Times New Roman" w:cs="Times New Roman"/>
          <w:sz w:val="24"/>
          <w:szCs w:val="24"/>
        </w:rPr>
      </w:pPr>
      <w:r>
        <w:rPr>
          <w:rFonts w:ascii="Times New Roman" w:hAnsi="Times New Roman" w:cs="Times New Roman"/>
          <w:i/>
          <w:sz w:val="24"/>
          <w:szCs w:val="24"/>
        </w:rPr>
        <w:t>P</w:t>
      </w:r>
      <w:r w:rsidR="00DB7B23" w:rsidRPr="008438AB">
        <w:rPr>
          <w:rFonts w:ascii="Times New Roman" w:hAnsi="Times New Roman" w:cs="Times New Roman"/>
          <w:i/>
          <w:sz w:val="24"/>
          <w:szCs w:val="24"/>
        </w:rPr>
        <w:t>rogramul de dezvoltare a sistemului de control intern managerial</w:t>
      </w:r>
      <w:r w:rsidR="00DB7B23" w:rsidRPr="00AD0E95">
        <w:rPr>
          <w:rFonts w:ascii="Times New Roman" w:hAnsi="Times New Roman" w:cs="Times New Roman"/>
          <w:sz w:val="24"/>
          <w:szCs w:val="24"/>
        </w:rPr>
        <w:t xml:space="preserve"> </w:t>
      </w:r>
      <w:r w:rsidR="00DB7B23">
        <w:rPr>
          <w:rFonts w:ascii="Times New Roman" w:hAnsi="Times New Roman" w:cs="Times New Roman"/>
          <w:sz w:val="24"/>
          <w:szCs w:val="24"/>
        </w:rPr>
        <w:t>a</w:t>
      </w:r>
      <w:r w:rsidR="00DB7B23" w:rsidRPr="00AD0E95">
        <w:rPr>
          <w:rFonts w:ascii="Times New Roman" w:hAnsi="Times New Roman" w:cs="Times New Roman"/>
          <w:sz w:val="24"/>
          <w:szCs w:val="24"/>
        </w:rPr>
        <w:t xml:space="preserve"> </w:t>
      </w:r>
      <w:r w:rsidR="00DB7B23">
        <w:rPr>
          <w:rFonts w:ascii="Times New Roman" w:hAnsi="Times New Roman" w:cs="Times New Roman"/>
          <w:sz w:val="24"/>
          <w:szCs w:val="24"/>
        </w:rPr>
        <w:t xml:space="preserve">fost </w:t>
      </w:r>
      <w:r w:rsidR="00DB7B23" w:rsidRPr="00DB7B23">
        <w:rPr>
          <w:rFonts w:ascii="Times New Roman" w:hAnsi="Times New Roman" w:cs="Times New Roman"/>
          <w:sz w:val="24"/>
          <w:szCs w:val="24"/>
        </w:rPr>
        <w:t xml:space="preserve">elaborat și aprobat </w:t>
      </w:r>
      <w:r w:rsidR="00D306E5" w:rsidRPr="001B2B79">
        <w:rPr>
          <w:rFonts w:ascii="Times New Roman" w:hAnsi="Times New Roman" w:cs="Times New Roman"/>
          <w:sz w:val="24"/>
          <w:szCs w:val="24"/>
        </w:rPr>
        <w:t>de către</w:t>
      </w:r>
      <w:r w:rsidRPr="001B2B79">
        <w:rPr>
          <w:rFonts w:ascii="Times New Roman" w:hAnsi="Times New Roman" w:cs="Times New Roman"/>
          <w:sz w:val="24"/>
          <w:szCs w:val="24"/>
        </w:rPr>
        <w:t xml:space="preserve"> toate </w:t>
      </w:r>
      <w:r w:rsidR="00D306E5" w:rsidRPr="001B2B79">
        <w:rPr>
          <w:rFonts w:ascii="Times New Roman" w:hAnsi="Times New Roman" w:cs="Times New Roman"/>
          <w:sz w:val="24"/>
          <w:szCs w:val="24"/>
        </w:rPr>
        <w:t xml:space="preserve">cele 50 de </w:t>
      </w:r>
      <w:r w:rsidR="00DB7B23" w:rsidRPr="001B2B79">
        <w:rPr>
          <w:rFonts w:ascii="Times New Roman" w:hAnsi="Times New Roman" w:cs="Times New Roman"/>
          <w:sz w:val="24"/>
          <w:szCs w:val="24"/>
        </w:rPr>
        <w:t xml:space="preserve">entități </w:t>
      </w:r>
      <w:r w:rsidR="00DB7B23" w:rsidRPr="00AD0E95">
        <w:rPr>
          <w:rFonts w:ascii="Times New Roman" w:hAnsi="Times New Roman" w:cs="Times New Roman"/>
          <w:sz w:val="24"/>
          <w:szCs w:val="24"/>
        </w:rPr>
        <w:t xml:space="preserve">publice </w:t>
      </w:r>
      <w:r w:rsidR="00DB7B23">
        <w:rPr>
          <w:rFonts w:ascii="Times New Roman" w:hAnsi="Times New Roman" w:cs="Times New Roman"/>
          <w:sz w:val="24"/>
          <w:szCs w:val="24"/>
        </w:rPr>
        <w:t>centrale</w:t>
      </w:r>
      <w:r w:rsidR="00C27B81">
        <w:rPr>
          <w:rFonts w:ascii="Times New Roman" w:hAnsi="Times New Roman" w:cs="Times New Roman"/>
          <w:sz w:val="24"/>
          <w:szCs w:val="24"/>
        </w:rPr>
        <w:t xml:space="preserve"> și</w:t>
      </w:r>
      <w:r>
        <w:rPr>
          <w:rFonts w:ascii="Times New Roman" w:hAnsi="Times New Roman" w:cs="Times New Roman"/>
          <w:sz w:val="24"/>
          <w:szCs w:val="24"/>
        </w:rPr>
        <w:t xml:space="preserve"> la </w:t>
      </w:r>
      <w:r w:rsidR="00B72F66" w:rsidRPr="001B2B79">
        <w:rPr>
          <w:rFonts w:ascii="Times New Roman" w:hAnsi="Times New Roman" w:cs="Times New Roman"/>
          <w:sz w:val="24"/>
          <w:szCs w:val="24"/>
        </w:rPr>
        <w:t>1.950</w:t>
      </w:r>
      <w:r w:rsidR="00C27B81" w:rsidRPr="00B72F66">
        <w:rPr>
          <w:rFonts w:ascii="Times New Roman" w:hAnsi="Times New Roman" w:cs="Times New Roman"/>
          <w:color w:val="FF0000"/>
          <w:sz w:val="24"/>
          <w:szCs w:val="24"/>
        </w:rPr>
        <w:t xml:space="preserve"> </w:t>
      </w:r>
      <w:r w:rsidR="008C0A48">
        <w:rPr>
          <w:rFonts w:ascii="Times New Roman" w:hAnsi="Times New Roman" w:cs="Times New Roman"/>
          <w:sz w:val="24"/>
          <w:szCs w:val="24"/>
        </w:rPr>
        <w:t xml:space="preserve">de </w:t>
      </w:r>
      <w:r w:rsidR="00DB7B23">
        <w:rPr>
          <w:rFonts w:ascii="Times New Roman" w:hAnsi="Times New Roman" w:cs="Times New Roman"/>
          <w:sz w:val="24"/>
          <w:szCs w:val="24"/>
        </w:rPr>
        <w:t>entități publice aflate în subordonare sau în coordonare</w:t>
      </w:r>
      <w:r w:rsidR="00C27B81">
        <w:rPr>
          <w:rFonts w:ascii="Times New Roman" w:hAnsi="Times New Roman" w:cs="Times New Roman"/>
          <w:sz w:val="24"/>
          <w:szCs w:val="24"/>
        </w:rPr>
        <w:t>, care reprezintă</w:t>
      </w:r>
      <w:r>
        <w:rPr>
          <w:rFonts w:ascii="Times New Roman" w:hAnsi="Times New Roman" w:cs="Times New Roman"/>
          <w:sz w:val="24"/>
          <w:szCs w:val="24"/>
        </w:rPr>
        <w:t xml:space="preserve"> </w:t>
      </w:r>
      <w:r w:rsidRPr="001B2B79">
        <w:rPr>
          <w:rFonts w:ascii="Times New Roman" w:hAnsi="Times New Roman" w:cs="Times New Roman"/>
          <w:sz w:val="24"/>
          <w:szCs w:val="24"/>
        </w:rPr>
        <w:t>95,</w:t>
      </w:r>
      <w:r w:rsidR="00B72F66" w:rsidRPr="001B2B79">
        <w:rPr>
          <w:rFonts w:ascii="Times New Roman" w:hAnsi="Times New Roman" w:cs="Times New Roman"/>
          <w:sz w:val="24"/>
          <w:szCs w:val="24"/>
        </w:rPr>
        <w:t>59</w:t>
      </w:r>
      <w:r w:rsidRPr="001B2B79">
        <w:rPr>
          <w:rFonts w:ascii="Times New Roman" w:hAnsi="Times New Roman" w:cs="Times New Roman"/>
          <w:sz w:val="24"/>
          <w:szCs w:val="24"/>
        </w:rPr>
        <w:t>%</w:t>
      </w:r>
      <w:r w:rsidR="00DB7B23" w:rsidRPr="001B2B79">
        <w:rPr>
          <w:rFonts w:ascii="Times New Roman" w:hAnsi="Times New Roman" w:cs="Times New Roman"/>
          <w:sz w:val="24"/>
          <w:szCs w:val="24"/>
        </w:rPr>
        <w:t>;</w:t>
      </w:r>
      <w:r w:rsidRPr="001B2B79">
        <w:rPr>
          <w:rFonts w:ascii="Times New Roman" w:hAnsi="Times New Roman" w:cs="Times New Roman"/>
          <w:sz w:val="24"/>
          <w:szCs w:val="24"/>
        </w:rPr>
        <w:t xml:space="preserve"> </w:t>
      </w:r>
    </w:p>
    <w:p w:rsidR="00A938B3" w:rsidRDefault="0027213F" w:rsidP="00C7604C">
      <w:pPr>
        <w:pStyle w:val="ListParagraph"/>
        <w:numPr>
          <w:ilvl w:val="0"/>
          <w:numId w:val="5"/>
        </w:numPr>
        <w:spacing w:after="120" w:line="276" w:lineRule="auto"/>
        <w:ind w:left="425" w:hanging="425"/>
        <w:contextualSpacing w:val="0"/>
        <w:jc w:val="both"/>
        <w:rPr>
          <w:rFonts w:ascii="Times New Roman" w:hAnsi="Times New Roman" w:cs="Times New Roman"/>
          <w:sz w:val="24"/>
          <w:szCs w:val="24"/>
        </w:rPr>
      </w:pPr>
      <w:r>
        <w:rPr>
          <w:rFonts w:ascii="Times New Roman" w:hAnsi="Times New Roman" w:cs="Times New Roman"/>
          <w:i/>
          <w:sz w:val="24"/>
          <w:szCs w:val="24"/>
        </w:rPr>
        <w:t>O</w:t>
      </w:r>
      <w:r w:rsidR="00DF2515" w:rsidRPr="00DF2515">
        <w:rPr>
          <w:rFonts w:ascii="Times New Roman" w:hAnsi="Times New Roman" w:cs="Times New Roman"/>
          <w:i/>
          <w:sz w:val="24"/>
          <w:szCs w:val="24"/>
        </w:rPr>
        <w:t>biectivele generale</w:t>
      </w:r>
      <w:r w:rsidR="00DF2515">
        <w:rPr>
          <w:rFonts w:ascii="Times New Roman" w:hAnsi="Times New Roman" w:cs="Times New Roman"/>
          <w:sz w:val="24"/>
          <w:szCs w:val="24"/>
        </w:rPr>
        <w:t xml:space="preserve"> </w:t>
      </w:r>
      <w:r w:rsidR="00323EF9">
        <w:rPr>
          <w:rFonts w:ascii="Times New Roman" w:hAnsi="Times New Roman" w:cs="Times New Roman"/>
          <w:sz w:val="24"/>
          <w:szCs w:val="24"/>
        </w:rPr>
        <w:t xml:space="preserve">au fost stabilite pentru </w:t>
      </w:r>
      <w:r w:rsidR="00B72F66" w:rsidRPr="001B2B79">
        <w:rPr>
          <w:rFonts w:ascii="Times New Roman" w:hAnsi="Times New Roman" w:cs="Times New Roman"/>
          <w:sz w:val="24"/>
          <w:szCs w:val="24"/>
        </w:rPr>
        <w:t>49</w:t>
      </w:r>
      <w:r w:rsidR="00323EF9">
        <w:rPr>
          <w:rFonts w:ascii="Times New Roman" w:hAnsi="Times New Roman" w:cs="Times New Roman"/>
          <w:sz w:val="24"/>
          <w:szCs w:val="24"/>
        </w:rPr>
        <w:t xml:space="preserve"> </w:t>
      </w:r>
      <w:r w:rsidR="00503D24">
        <w:rPr>
          <w:rFonts w:ascii="Times New Roman" w:hAnsi="Times New Roman" w:cs="Times New Roman"/>
          <w:sz w:val="24"/>
          <w:szCs w:val="24"/>
        </w:rPr>
        <w:t xml:space="preserve">de </w:t>
      </w:r>
      <w:r w:rsidR="00323EF9">
        <w:rPr>
          <w:rFonts w:ascii="Times New Roman" w:hAnsi="Times New Roman" w:cs="Times New Roman"/>
          <w:sz w:val="24"/>
          <w:szCs w:val="24"/>
        </w:rPr>
        <w:t>entități publice centrale</w:t>
      </w:r>
      <w:r w:rsidR="00B72F66" w:rsidRPr="001B2B79">
        <w:rPr>
          <w:rFonts w:ascii="Times New Roman" w:hAnsi="Times New Roman" w:cs="Times New Roman"/>
          <w:sz w:val="24"/>
          <w:szCs w:val="24"/>
        </w:rPr>
        <w:t>, mai puțin Ministerul Fondurilor Europene</w:t>
      </w:r>
      <w:r w:rsidR="00090E0C" w:rsidRPr="001B2B79">
        <w:rPr>
          <w:rFonts w:ascii="Times New Roman" w:hAnsi="Times New Roman" w:cs="Times New Roman"/>
          <w:sz w:val="24"/>
          <w:szCs w:val="24"/>
        </w:rPr>
        <w:t xml:space="preserve"> și </w:t>
      </w:r>
      <w:r w:rsidR="00446FFE" w:rsidRPr="001B2B79">
        <w:rPr>
          <w:rFonts w:ascii="Times New Roman" w:hAnsi="Times New Roman" w:cs="Times New Roman"/>
          <w:sz w:val="24"/>
          <w:szCs w:val="24"/>
        </w:rPr>
        <w:t>pentru 2.0</w:t>
      </w:r>
      <w:r w:rsidR="00B72F66" w:rsidRPr="001B2B79">
        <w:rPr>
          <w:rFonts w:ascii="Times New Roman" w:hAnsi="Times New Roman" w:cs="Times New Roman"/>
          <w:sz w:val="24"/>
          <w:szCs w:val="24"/>
        </w:rPr>
        <w:t>00</w:t>
      </w:r>
      <w:r w:rsidR="008C0A48" w:rsidRPr="001B2B79">
        <w:rPr>
          <w:rFonts w:ascii="Times New Roman" w:hAnsi="Times New Roman" w:cs="Times New Roman"/>
          <w:sz w:val="24"/>
          <w:szCs w:val="24"/>
        </w:rPr>
        <w:t xml:space="preserve"> </w:t>
      </w:r>
      <w:r w:rsidR="0061532D" w:rsidRPr="001B2B79">
        <w:rPr>
          <w:rFonts w:ascii="Times New Roman" w:hAnsi="Times New Roman" w:cs="Times New Roman"/>
          <w:sz w:val="24"/>
          <w:szCs w:val="24"/>
        </w:rPr>
        <w:t xml:space="preserve">de </w:t>
      </w:r>
      <w:r w:rsidR="0042312A" w:rsidRPr="001B2B79">
        <w:rPr>
          <w:rFonts w:ascii="Times New Roman" w:hAnsi="Times New Roman" w:cs="Times New Roman"/>
          <w:sz w:val="24"/>
          <w:szCs w:val="24"/>
        </w:rPr>
        <w:t>entități publice aflate î</w:t>
      </w:r>
      <w:r w:rsidR="0061532D" w:rsidRPr="001B2B79">
        <w:rPr>
          <w:rFonts w:ascii="Times New Roman" w:hAnsi="Times New Roman" w:cs="Times New Roman"/>
          <w:sz w:val="24"/>
          <w:szCs w:val="24"/>
        </w:rPr>
        <w:t>n subordonare sau în coordonare</w:t>
      </w:r>
      <w:r w:rsidR="00E60DB3" w:rsidRPr="001B2B79">
        <w:rPr>
          <w:rFonts w:ascii="Times New Roman" w:hAnsi="Times New Roman" w:cs="Times New Roman"/>
          <w:sz w:val="24"/>
          <w:szCs w:val="24"/>
        </w:rPr>
        <w:t>,</w:t>
      </w:r>
      <w:r w:rsidR="00446FFE" w:rsidRPr="001B2B79">
        <w:rPr>
          <w:rFonts w:ascii="Times New Roman" w:hAnsi="Times New Roman" w:cs="Times New Roman"/>
          <w:sz w:val="24"/>
          <w:szCs w:val="24"/>
        </w:rPr>
        <w:t xml:space="preserve"> </w:t>
      </w:r>
      <w:r w:rsidR="0061532D" w:rsidRPr="001B2B79">
        <w:rPr>
          <w:rFonts w:ascii="Times New Roman" w:hAnsi="Times New Roman" w:cs="Times New Roman"/>
          <w:sz w:val="24"/>
          <w:szCs w:val="24"/>
        </w:rPr>
        <w:t xml:space="preserve">în procent </w:t>
      </w:r>
      <w:r w:rsidR="00446FFE" w:rsidRPr="001B2B79">
        <w:rPr>
          <w:rFonts w:ascii="Times New Roman" w:hAnsi="Times New Roman" w:cs="Times New Roman"/>
          <w:sz w:val="24"/>
          <w:szCs w:val="24"/>
        </w:rPr>
        <w:t xml:space="preserve"> </w:t>
      </w:r>
      <w:r w:rsidR="0061532D" w:rsidRPr="001B2B79">
        <w:rPr>
          <w:rFonts w:ascii="Times New Roman" w:hAnsi="Times New Roman" w:cs="Times New Roman"/>
          <w:sz w:val="24"/>
          <w:szCs w:val="24"/>
        </w:rPr>
        <w:t xml:space="preserve">de </w:t>
      </w:r>
      <w:r w:rsidR="00503D24" w:rsidRPr="001B2B79">
        <w:rPr>
          <w:rFonts w:ascii="Times New Roman" w:hAnsi="Times New Roman" w:cs="Times New Roman"/>
          <w:sz w:val="24"/>
          <w:szCs w:val="24"/>
        </w:rPr>
        <w:t>98,04</w:t>
      </w:r>
      <w:r w:rsidR="0042312A" w:rsidRPr="001B2B79">
        <w:rPr>
          <w:rFonts w:ascii="Times New Roman" w:hAnsi="Times New Roman" w:cs="Times New Roman"/>
          <w:sz w:val="24"/>
          <w:szCs w:val="24"/>
        </w:rPr>
        <w:t>%;</w:t>
      </w:r>
    </w:p>
    <w:p w:rsidR="00254C76" w:rsidRPr="00A938B3" w:rsidRDefault="00342540" w:rsidP="00C7604C">
      <w:pPr>
        <w:pStyle w:val="ListParagraph"/>
        <w:numPr>
          <w:ilvl w:val="0"/>
          <w:numId w:val="5"/>
        </w:numPr>
        <w:spacing w:after="120" w:line="276" w:lineRule="auto"/>
        <w:ind w:left="425" w:hanging="425"/>
        <w:contextualSpacing w:val="0"/>
        <w:jc w:val="both"/>
        <w:rPr>
          <w:rFonts w:ascii="Times New Roman" w:hAnsi="Times New Roman" w:cs="Times New Roman"/>
          <w:sz w:val="24"/>
          <w:szCs w:val="24"/>
        </w:rPr>
      </w:pPr>
      <w:r w:rsidRPr="00A938B3">
        <w:rPr>
          <w:rFonts w:ascii="Times New Roman" w:hAnsi="Times New Roman" w:cs="Times New Roman"/>
          <w:i/>
          <w:sz w:val="24"/>
          <w:szCs w:val="24"/>
        </w:rPr>
        <w:t>A</w:t>
      </w:r>
      <w:r w:rsidR="00323EF9" w:rsidRPr="00A938B3">
        <w:rPr>
          <w:rFonts w:ascii="Times New Roman" w:hAnsi="Times New Roman" w:cs="Times New Roman"/>
          <w:i/>
          <w:sz w:val="24"/>
          <w:szCs w:val="24"/>
        </w:rPr>
        <w:t xml:space="preserve">ctivitățile procedurabile </w:t>
      </w:r>
      <w:r w:rsidRPr="00A938B3">
        <w:rPr>
          <w:rFonts w:ascii="Times New Roman" w:hAnsi="Times New Roman" w:cs="Times New Roman"/>
          <w:sz w:val="24"/>
          <w:szCs w:val="24"/>
        </w:rPr>
        <w:t xml:space="preserve">au fost </w:t>
      </w:r>
      <w:r w:rsidR="00323EF9" w:rsidRPr="00A938B3">
        <w:rPr>
          <w:rFonts w:ascii="Times New Roman" w:hAnsi="Times New Roman" w:cs="Times New Roman"/>
          <w:sz w:val="24"/>
          <w:szCs w:val="24"/>
        </w:rPr>
        <w:t xml:space="preserve">inventariate </w:t>
      </w:r>
      <w:r w:rsidR="00D306E5" w:rsidRPr="00A938B3">
        <w:rPr>
          <w:rFonts w:ascii="Times New Roman" w:hAnsi="Times New Roman" w:cs="Times New Roman"/>
          <w:sz w:val="24"/>
          <w:szCs w:val="24"/>
        </w:rPr>
        <w:t xml:space="preserve">de către toate cele 50 de entități </w:t>
      </w:r>
      <w:r w:rsidR="00E60DB3" w:rsidRPr="00A938B3">
        <w:rPr>
          <w:rFonts w:ascii="Times New Roman" w:hAnsi="Times New Roman" w:cs="Times New Roman"/>
          <w:sz w:val="24"/>
          <w:szCs w:val="24"/>
        </w:rPr>
        <w:t xml:space="preserve">publice centrale și </w:t>
      </w:r>
      <w:r w:rsidR="001B525B" w:rsidRPr="00A938B3">
        <w:rPr>
          <w:rFonts w:ascii="Times New Roman" w:hAnsi="Times New Roman" w:cs="Times New Roman"/>
          <w:sz w:val="24"/>
          <w:szCs w:val="24"/>
        </w:rPr>
        <w:t xml:space="preserve">pentru </w:t>
      </w:r>
      <w:r w:rsidR="00503D24" w:rsidRPr="00A938B3">
        <w:rPr>
          <w:rFonts w:ascii="Times New Roman" w:hAnsi="Times New Roman" w:cs="Times New Roman"/>
          <w:sz w:val="24"/>
          <w:szCs w:val="24"/>
        </w:rPr>
        <w:t>2.010</w:t>
      </w:r>
      <w:r w:rsidR="00CC23F0" w:rsidRPr="00A938B3">
        <w:rPr>
          <w:rFonts w:ascii="Times New Roman" w:hAnsi="Times New Roman" w:cs="Times New Roman"/>
          <w:sz w:val="24"/>
          <w:szCs w:val="24"/>
        </w:rPr>
        <w:t xml:space="preserve"> </w:t>
      </w:r>
      <w:r w:rsidR="0061532D" w:rsidRPr="00A938B3">
        <w:rPr>
          <w:rFonts w:ascii="Times New Roman" w:hAnsi="Times New Roman" w:cs="Times New Roman"/>
          <w:sz w:val="24"/>
          <w:szCs w:val="24"/>
        </w:rPr>
        <w:t xml:space="preserve">de </w:t>
      </w:r>
      <w:r w:rsidR="001B525B" w:rsidRPr="00A938B3">
        <w:rPr>
          <w:rFonts w:ascii="Times New Roman" w:hAnsi="Times New Roman" w:cs="Times New Roman"/>
          <w:sz w:val="24"/>
          <w:szCs w:val="24"/>
        </w:rPr>
        <w:t>entități</w:t>
      </w:r>
      <w:r w:rsidRPr="00A938B3">
        <w:rPr>
          <w:rFonts w:ascii="Times New Roman" w:hAnsi="Times New Roman" w:cs="Times New Roman"/>
          <w:sz w:val="24"/>
          <w:szCs w:val="24"/>
        </w:rPr>
        <w:t xml:space="preserve"> publice aflate în subordonare sau în coordonare</w:t>
      </w:r>
      <w:r w:rsidR="00E60DB3" w:rsidRPr="00A938B3">
        <w:rPr>
          <w:rFonts w:ascii="Times New Roman" w:hAnsi="Times New Roman" w:cs="Times New Roman"/>
          <w:sz w:val="24"/>
          <w:szCs w:val="24"/>
        </w:rPr>
        <w:t>,</w:t>
      </w:r>
      <w:r w:rsidR="0061532D" w:rsidRPr="00A938B3">
        <w:rPr>
          <w:rFonts w:ascii="Times New Roman" w:hAnsi="Times New Roman" w:cs="Times New Roman"/>
          <w:sz w:val="24"/>
          <w:szCs w:val="24"/>
        </w:rPr>
        <w:t xml:space="preserve"> în procent de </w:t>
      </w:r>
      <w:r w:rsidR="00323EF9" w:rsidRPr="00A938B3">
        <w:rPr>
          <w:rFonts w:ascii="Times New Roman" w:hAnsi="Times New Roman" w:cs="Times New Roman"/>
          <w:sz w:val="24"/>
          <w:szCs w:val="24"/>
        </w:rPr>
        <w:t xml:space="preserve"> </w:t>
      </w:r>
      <w:r w:rsidRPr="00A938B3">
        <w:rPr>
          <w:rFonts w:ascii="Times New Roman" w:hAnsi="Times New Roman" w:cs="Times New Roman"/>
          <w:sz w:val="24"/>
          <w:szCs w:val="24"/>
        </w:rPr>
        <w:t>98,</w:t>
      </w:r>
      <w:r w:rsidR="00503D24" w:rsidRPr="00A938B3">
        <w:rPr>
          <w:rFonts w:ascii="Times New Roman" w:hAnsi="Times New Roman" w:cs="Times New Roman"/>
          <w:sz w:val="24"/>
          <w:szCs w:val="24"/>
        </w:rPr>
        <w:t>53</w:t>
      </w:r>
      <w:r w:rsidRPr="00A938B3">
        <w:rPr>
          <w:rFonts w:ascii="Times New Roman" w:hAnsi="Times New Roman" w:cs="Times New Roman"/>
          <w:sz w:val="24"/>
          <w:szCs w:val="24"/>
        </w:rPr>
        <w:t>%</w:t>
      </w:r>
      <w:r w:rsidR="00254C76" w:rsidRPr="00A938B3">
        <w:rPr>
          <w:rFonts w:ascii="Times New Roman" w:hAnsi="Times New Roman" w:cs="Times New Roman"/>
          <w:sz w:val="24"/>
          <w:szCs w:val="24"/>
        </w:rPr>
        <w:t>;</w:t>
      </w:r>
    </w:p>
    <w:p w:rsidR="00DD547F" w:rsidRPr="001B2B79" w:rsidRDefault="00371007" w:rsidP="00C7604C">
      <w:pPr>
        <w:pStyle w:val="ListParagraph"/>
        <w:numPr>
          <w:ilvl w:val="0"/>
          <w:numId w:val="5"/>
        </w:numPr>
        <w:tabs>
          <w:tab w:val="left" w:pos="709"/>
        </w:tabs>
        <w:spacing w:after="120" w:line="276" w:lineRule="auto"/>
        <w:ind w:left="426" w:hanging="426"/>
        <w:contextualSpacing w:val="0"/>
        <w:jc w:val="both"/>
        <w:rPr>
          <w:rFonts w:ascii="Times New Roman" w:hAnsi="Times New Roman" w:cs="Times New Roman"/>
          <w:sz w:val="24"/>
          <w:szCs w:val="24"/>
        </w:rPr>
      </w:pPr>
      <w:r w:rsidRPr="001B2B79">
        <w:rPr>
          <w:rFonts w:ascii="Times New Roman" w:hAnsi="Times New Roman" w:cs="Times New Roman"/>
          <w:i/>
          <w:sz w:val="24"/>
          <w:szCs w:val="24"/>
        </w:rPr>
        <w:t>P</w:t>
      </w:r>
      <w:r w:rsidR="00323EF9" w:rsidRPr="001B2B79">
        <w:rPr>
          <w:rFonts w:ascii="Times New Roman" w:hAnsi="Times New Roman" w:cs="Times New Roman"/>
          <w:i/>
          <w:sz w:val="24"/>
          <w:szCs w:val="24"/>
        </w:rPr>
        <w:t xml:space="preserve">rocedurile </w:t>
      </w:r>
      <w:r w:rsidRPr="001B2B79">
        <w:rPr>
          <w:rFonts w:ascii="Times New Roman" w:hAnsi="Times New Roman" w:cs="Times New Roman"/>
          <w:i/>
          <w:sz w:val="24"/>
          <w:szCs w:val="24"/>
        </w:rPr>
        <w:t xml:space="preserve">au fost </w:t>
      </w:r>
      <w:r w:rsidR="00323EF9" w:rsidRPr="001B2B79">
        <w:rPr>
          <w:rFonts w:ascii="Times New Roman" w:hAnsi="Times New Roman" w:cs="Times New Roman"/>
          <w:i/>
          <w:sz w:val="24"/>
          <w:szCs w:val="24"/>
        </w:rPr>
        <w:t>elaborate și actualizate</w:t>
      </w:r>
      <w:r w:rsidR="00323EF9" w:rsidRPr="001B2B79">
        <w:rPr>
          <w:rFonts w:ascii="Times New Roman" w:hAnsi="Times New Roman" w:cs="Times New Roman"/>
          <w:sz w:val="24"/>
          <w:szCs w:val="24"/>
        </w:rPr>
        <w:t xml:space="preserve"> </w:t>
      </w:r>
      <w:r w:rsidRPr="001B2B79">
        <w:rPr>
          <w:rFonts w:ascii="Times New Roman" w:hAnsi="Times New Roman" w:cs="Times New Roman"/>
          <w:sz w:val="24"/>
          <w:szCs w:val="24"/>
        </w:rPr>
        <w:t>de către</w:t>
      </w:r>
      <w:r w:rsidR="00323EF9" w:rsidRPr="001B2B79">
        <w:rPr>
          <w:rFonts w:ascii="Times New Roman" w:hAnsi="Times New Roman" w:cs="Times New Roman"/>
          <w:sz w:val="24"/>
          <w:szCs w:val="24"/>
        </w:rPr>
        <w:t xml:space="preserve"> </w:t>
      </w:r>
      <w:r w:rsidRPr="001B2B79">
        <w:rPr>
          <w:rFonts w:ascii="Times New Roman" w:hAnsi="Times New Roman" w:cs="Times New Roman"/>
          <w:sz w:val="24"/>
          <w:szCs w:val="24"/>
        </w:rPr>
        <w:t>toate</w:t>
      </w:r>
      <w:r w:rsidR="00254C76" w:rsidRPr="001B2B79">
        <w:rPr>
          <w:rFonts w:ascii="Times New Roman" w:hAnsi="Times New Roman" w:cs="Times New Roman"/>
          <w:sz w:val="24"/>
          <w:szCs w:val="24"/>
        </w:rPr>
        <w:t xml:space="preserve"> </w:t>
      </w:r>
      <w:r w:rsidR="00D306E5" w:rsidRPr="001B2B79">
        <w:rPr>
          <w:rFonts w:ascii="Times New Roman" w:hAnsi="Times New Roman" w:cs="Times New Roman"/>
          <w:sz w:val="24"/>
          <w:szCs w:val="24"/>
        </w:rPr>
        <w:t xml:space="preserve">cele 50 de entități </w:t>
      </w:r>
      <w:r w:rsidR="00DD547F" w:rsidRPr="001B2B79">
        <w:rPr>
          <w:rFonts w:ascii="Times New Roman" w:hAnsi="Times New Roman" w:cs="Times New Roman"/>
          <w:sz w:val="24"/>
          <w:szCs w:val="24"/>
        </w:rPr>
        <w:t>publice centrale</w:t>
      </w:r>
      <w:r w:rsidR="00E60DB3" w:rsidRPr="001B2B79">
        <w:rPr>
          <w:rFonts w:ascii="Times New Roman" w:hAnsi="Times New Roman" w:cs="Times New Roman"/>
          <w:sz w:val="24"/>
          <w:szCs w:val="24"/>
        </w:rPr>
        <w:t xml:space="preserve"> și </w:t>
      </w:r>
      <w:r w:rsidR="0061532D" w:rsidRPr="001B2B79">
        <w:rPr>
          <w:rFonts w:ascii="Times New Roman" w:hAnsi="Times New Roman" w:cs="Times New Roman"/>
          <w:sz w:val="24"/>
          <w:szCs w:val="24"/>
        </w:rPr>
        <w:t>pentru 2.</w:t>
      </w:r>
      <w:r w:rsidR="00503D24" w:rsidRPr="001B2B79">
        <w:rPr>
          <w:rFonts w:ascii="Times New Roman" w:hAnsi="Times New Roman" w:cs="Times New Roman"/>
          <w:sz w:val="24"/>
          <w:szCs w:val="24"/>
        </w:rPr>
        <w:t>002</w:t>
      </w:r>
      <w:r w:rsidR="0061532D" w:rsidRPr="001B2B79">
        <w:rPr>
          <w:rFonts w:ascii="Times New Roman" w:hAnsi="Times New Roman" w:cs="Times New Roman"/>
          <w:sz w:val="24"/>
          <w:szCs w:val="24"/>
        </w:rPr>
        <w:t xml:space="preserve"> de </w:t>
      </w:r>
      <w:r w:rsidR="00323EF9" w:rsidRPr="001B2B79">
        <w:rPr>
          <w:rFonts w:ascii="Times New Roman" w:hAnsi="Times New Roman" w:cs="Times New Roman"/>
          <w:sz w:val="24"/>
          <w:szCs w:val="24"/>
        </w:rPr>
        <w:t>entități publice aflate în subordonare sau în coordonare</w:t>
      </w:r>
      <w:r w:rsidR="00E60DB3" w:rsidRPr="001B2B79">
        <w:rPr>
          <w:rFonts w:ascii="Times New Roman" w:hAnsi="Times New Roman" w:cs="Times New Roman"/>
          <w:sz w:val="24"/>
          <w:szCs w:val="24"/>
        </w:rPr>
        <w:t>,</w:t>
      </w:r>
      <w:r w:rsidRPr="001B2B79">
        <w:rPr>
          <w:rFonts w:ascii="Times New Roman" w:hAnsi="Times New Roman" w:cs="Times New Roman"/>
          <w:sz w:val="24"/>
          <w:szCs w:val="24"/>
        </w:rPr>
        <w:t xml:space="preserve"> în procent de 98,</w:t>
      </w:r>
      <w:r w:rsidR="00503D24" w:rsidRPr="001B2B79">
        <w:rPr>
          <w:rFonts w:ascii="Times New Roman" w:hAnsi="Times New Roman" w:cs="Times New Roman"/>
          <w:sz w:val="24"/>
          <w:szCs w:val="24"/>
        </w:rPr>
        <w:t>14</w:t>
      </w:r>
      <w:r w:rsidRPr="001B2B79">
        <w:rPr>
          <w:rFonts w:ascii="Times New Roman" w:hAnsi="Times New Roman" w:cs="Times New Roman"/>
          <w:sz w:val="24"/>
          <w:szCs w:val="24"/>
        </w:rPr>
        <w:t>%</w:t>
      </w:r>
      <w:r w:rsidR="00323EF9" w:rsidRPr="001B2B79">
        <w:rPr>
          <w:rFonts w:ascii="Times New Roman" w:hAnsi="Times New Roman" w:cs="Times New Roman"/>
          <w:sz w:val="24"/>
          <w:szCs w:val="24"/>
        </w:rPr>
        <w:t xml:space="preserve">; </w:t>
      </w:r>
    </w:p>
    <w:p w:rsidR="00DD547F" w:rsidRPr="001B2B79" w:rsidRDefault="00673FA1" w:rsidP="00C7604C">
      <w:pPr>
        <w:pStyle w:val="ListParagraph"/>
        <w:numPr>
          <w:ilvl w:val="0"/>
          <w:numId w:val="5"/>
        </w:numPr>
        <w:tabs>
          <w:tab w:val="left" w:pos="810"/>
        </w:tabs>
        <w:spacing w:after="120" w:line="276" w:lineRule="auto"/>
        <w:ind w:left="426" w:hanging="426"/>
        <w:contextualSpacing w:val="0"/>
        <w:jc w:val="both"/>
        <w:rPr>
          <w:rFonts w:ascii="Times New Roman" w:hAnsi="Times New Roman" w:cs="Times New Roman"/>
          <w:sz w:val="24"/>
          <w:szCs w:val="24"/>
        </w:rPr>
      </w:pPr>
      <w:r>
        <w:rPr>
          <w:rFonts w:ascii="Times New Roman" w:hAnsi="Times New Roman" w:cs="Times New Roman"/>
          <w:i/>
          <w:sz w:val="24"/>
          <w:szCs w:val="24"/>
        </w:rPr>
        <w:t>I</w:t>
      </w:r>
      <w:r w:rsidR="00323EF9" w:rsidRPr="00323EF9">
        <w:rPr>
          <w:rFonts w:ascii="Times New Roman" w:hAnsi="Times New Roman" w:cs="Times New Roman"/>
          <w:i/>
          <w:sz w:val="24"/>
          <w:szCs w:val="24"/>
        </w:rPr>
        <w:t>ndicatori</w:t>
      </w:r>
      <w:r>
        <w:rPr>
          <w:rFonts w:ascii="Times New Roman" w:hAnsi="Times New Roman" w:cs="Times New Roman"/>
          <w:i/>
          <w:sz w:val="24"/>
          <w:szCs w:val="24"/>
        </w:rPr>
        <w:t>i</w:t>
      </w:r>
      <w:r w:rsidR="00323EF9" w:rsidRPr="00323EF9">
        <w:rPr>
          <w:rFonts w:ascii="Times New Roman" w:hAnsi="Times New Roman" w:cs="Times New Roman"/>
          <w:i/>
          <w:sz w:val="24"/>
          <w:szCs w:val="24"/>
        </w:rPr>
        <w:t xml:space="preserve"> de performanță sau de rezultat</w:t>
      </w:r>
      <w:r w:rsidR="00323EF9">
        <w:rPr>
          <w:rFonts w:ascii="Times New Roman" w:hAnsi="Times New Roman" w:cs="Times New Roman"/>
          <w:i/>
          <w:sz w:val="24"/>
          <w:szCs w:val="24"/>
        </w:rPr>
        <w:t xml:space="preserve"> </w:t>
      </w:r>
      <w:r w:rsidR="00026B25">
        <w:rPr>
          <w:rFonts w:ascii="Times New Roman" w:hAnsi="Times New Roman" w:cs="Times New Roman"/>
          <w:sz w:val="24"/>
          <w:szCs w:val="24"/>
        </w:rPr>
        <w:t xml:space="preserve">asociați obiectivelor specifice au fost </w:t>
      </w:r>
      <w:r w:rsidR="004B3495">
        <w:rPr>
          <w:rFonts w:ascii="Times New Roman" w:hAnsi="Times New Roman" w:cs="Times New Roman"/>
          <w:sz w:val="24"/>
          <w:szCs w:val="24"/>
        </w:rPr>
        <w:t xml:space="preserve">stabiliți la </w:t>
      </w:r>
      <w:r w:rsidR="00503D24" w:rsidRPr="001B2B79">
        <w:rPr>
          <w:rFonts w:ascii="Times New Roman" w:hAnsi="Times New Roman" w:cs="Times New Roman"/>
          <w:sz w:val="24"/>
          <w:szCs w:val="24"/>
        </w:rPr>
        <w:t>49 de entități</w:t>
      </w:r>
      <w:r w:rsidR="004B3495" w:rsidRPr="001B2B79">
        <w:rPr>
          <w:rFonts w:ascii="Times New Roman" w:hAnsi="Times New Roman" w:cs="Times New Roman"/>
          <w:sz w:val="24"/>
          <w:szCs w:val="24"/>
        </w:rPr>
        <w:t xml:space="preserve"> publice centrale în procent de </w:t>
      </w:r>
      <w:r w:rsidR="00503D24" w:rsidRPr="001B2B79">
        <w:rPr>
          <w:rFonts w:ascii="Times New Roman" w:hAnsi="Times New Roman" w:cs="Times New Roman"/>
          <w:sz w:val="24"/>
          <w:szCs w:val="24"/>
        </w:rPr>
        <w:t>98,00</w:t>
      </w:r>
      <w:r w:rsidR="004B3495" w:rsidRPr="001B2B79">
        <w:rPr>
          <w:rFonts w:ascii="Times New Roman" w:hAnsi="Times New Roman" w:cs="Times New Roman"/>
          <w:sz w:val="24"/>
          <w:szCs w:val="24"/>
        </w:rPr>
        <w:t xml:space="preserve">% (mai puțin </w:t>
      </w:r>
      <w:r w:rsidR="00035A32" w:rsidRPr="001B2B79">
        <w:rPr>
          <w:rFonts w:ascii="Times New Roman" w:hAnsi="Times New Roman" w:cs="Times New Roman"/>
          <w:sz w:val="24"/>
          <w:szCs w:val="24"/>
        </w:rPr>
        <w:t>Societatea Română de Televiziune</w:t>
      </w:r>
      <w:r w:rsidR="004B3495" w:rsidRPr="001B2B79">
        <w:rPr>
          <w:rFonts w:ascii="Times New Roman" w:hAnsi="Times New Roman" w:cs="Times New Roman"/>
          <w:sz w:val="24"/>
          <w:szCs w:val="24"/>
        </w:rPr>
        <w:t>)</w:t>
      </w:r>
      <w:r w:rsidR="00E53D25" w:rsidRPr="001B2B79">
        <w:rPr>
          <w:rFonts w:ascii="Times New Roman" w:hAnsi="Times New Roman" w:cs="Times New Roman"/>
          <w:sz w:val="24"/>
          <w:szCs w:val="24"/>
        </w:rPr>
        <w:t xml:space="preserve">, iar la </w:t>
      </w:r>
      <w:r w:rsidR="00503D24" w:rsidRPr="001B2B79">
        <w:rPr>
          <w:rFonts w:ascii="Times New Roman" w:hAnsi="Times New Roman" w:cs="Times New Roman"/>
          <w:sz w:val="24"/>
          <w:szCs w:val="24"/>
        </w:rPr>
        <w:t>entități</w:t>
      </w:r>
      <w:r w:rsidR="004B3495" w:rsidRPr="001B2B79">
        <w:rPr>
          <w:rFonts w:ascii="Times New Roman" w:hAnsi="Times New Roman" w:cs="Times New Roman"/>
          <w:sz w:val="24"/>
          <w:szCs w:val="24"/>
        </w:rPr>
        <w:t xml:space="preserve"> publice aflate în subordonare sau în coordonare în procent de </w:t>
      </w:r>
      <w:r w:rsidR="00503D24" w:rsidRPr="001B2B79">
        <w:rPr>
          <w:rFonts w:ascii="Times New Roman" w:hAnsi="Times New Roman" w:cs="Times New Roman"/>
          <w:sz w:val="24"/>
          <w:szCs w:val="24"/>
        </w:rPr>
        <w:t>92,21</w:t>
      </w:r>
      <w:r w:rsidR="004B3495" w:rsidRPr="001B2B79">
        <w:rPr>
          <w:rFonts w:ascii="Times New Roman" w:hAnsi="Times New Roman" w:cs="Times New Roman"/>
          <w:sz w:val="24"/>
          <w:szCs w:val="24"/>
        </w:rPr>
        <w:t>%</w:t>
      </w:r>
      <w:r w:rsidR="00586A23" w:rsidRPr="001B2B79">
        <w:rPr>
          <w:rFonts w:ascii="Times New Roman" w:hAnsi="Times New Roman" w:cs="Times New Roman"/>
          <w:sz w:val="24"/>
          <w:szCs w:val="24"/>
        </w:rPr>
        <w:t>. Excepție face Serviciul de Informații Externe, care declară aceste informații ca fiind clasificate.</w:t>
      </w:r>
    </w:p>
    <w:p w:rsidR="009B7966" w:rsidRDefault="00100957" w:rsidP="00C7604C">
      <w:pPr>
        <w:pStyle w:val="ListParagraph"/>
        <w:numPr>
          <w:ilvl w:val="0"/>
          <w:numId w:val="5"/>
        </w:numPr>
        <w:tabs>
          <w:tab w:val="left" w:pos="710"/>
        </w:tabs>
        <w:spacing w:after="120" w:line="276" w:lineRule="auto"/>
        <w:ind w:left="426" w:hanging="426"/>
        <w:contextualSpacing w:val="0"/>
        <w:jc w:val="both"/>
        <w:rPr>
          <w:rFonts w:ascii="Times New Roman" w:hAnsi="Times New Roman" w:cs="Times New Roman"/>
          <w:sz w:val="24"/>
          <w:szCs w:val="24"/>
        </w:rPr>
      </w:pPr>
      <w:r w:rsidRPr="001B2B79">
        <w:rPr>
          <w:rFonts w:ascii="Times New Roman" w:hAnsi="Times New Roman" w:cs="Times New Roman"/>
          <w:i/>
          <w:sz w:val="24"/>
          <w:szCs w:val="24"/>
        </w:rPr>
        <w:t>R</w:t>
      </w:r>
      <w:r w:rsidR="00026B25" w:rsidRPr="001B2B79">
        <w:rPr>
          <w:rFonts w:ascii="Times New Roman" w:hAnsi="Times New Roman" w:cs="Times New Roman"/>
          <w:i/>
          <w:sz w:val="24"/>
          <w:szCs w:val="24"/>
        </w:rPr>
        <w:t xml:space="preserve">iscurile </w:t>
      </w:r>
      <w:r w:rsidRPr="001B2B79">
        <w:rPr>
          <w:rFonts w:ascii="Times New Roman" w:hAnsi="Times New Roman" w:cs="Times New Roman"/>
          <w:i/>
          <w:sz w:val="24"/>
          <w:szCs w:val="24"/>
        </w:rPr>
        <w:t xml:space="preserve">au fost </w:t>
      </w:r>
      <w:r w:rsidR="00026B25" w:rsidRPr="001B2B79">
        <w:rPr>
          <w:rFonts w:ascii="Times New Roman" w:hAnsi="Times New Roman" w:cs="Times New Roman"/>
          <w:i/>
          <w:sz w:val="24"/>
          <w:szCs w:val="24"/>
        </w:rPr>
        <w:t>identificate</w:t>
      </w:r>
      <w:r w:rsidR="00026B25" w:rsidRPr="001B2B79">
        <w:rPr>
          <w:rFonts w:ascii="Times New Roman" w:hAnsi="Times New Roman" w:cs="Times New Roman"/>
          <w:sz w:val="24"/>
          <w:szCs w:val="24"/>
        </w:rPr>
        <w:t xml:space="preserve"> </w:t>
      </w:r>
      <w:r w:rsidR="00467DCC" w:rsidRPr="001B2B79">
        <w:rPr>
          <w:rFonts w:ascii="Times New Roman" w:hAnsi="Times New Roman" w:cs="Times New Roman"/>
          <w:sz w:val="24"/>
          <w:szCs w:val="24"/>
        </w:rPr>
        <w:t>la entități</w:t>
      </w:r>
      <w:r w:rsidR="00503D24" w:rsidRPr="001B2B79">
        <w:rPr>
          <w:rFonts w:ascii="Times New Roman" w:hAnsi="Times New Roman" w:cs="Times New Roman"/>
          <w:sz w:val="24"/>
          <w:szCs w:val="24"/>
        </w:rPr>
        <w:t>le</w:t>
      </w:r>
      <w:r w:rsidR="00467DCC" w:rsidRPr="001B2B79">
        <w:rPr>
          <w:rFonts w:ascii="Times New Roman" w:hAnsi="Times New Roman" w:cs="Times New Roman"/>
          <w:sz w:val="24"/>
          <w:szCs w:val="24"/>
        </w:rPr>
        <w:t xml:space="preserve"> publice centrale </w:t>
      </w:r>
      <w:r w:rsidR="000052DD" w:rsidRPr="001B2B79">
        <w:rPr>
          <w:rFonts w:ascii="Times New Roman" w:hAnsi="Times New Roman" w:cs="Times New Roman"/>
          <w:sz w:val="24"/>
          <w:szCs w:val="24"/>
        </w:rPr>
        <w:t xml:space="preserve">în procent de </w:t>
      </w:r>
      <w:r w:rsidR="00503D24" w:rsidRPr="001B2B79">
        <w:rPr>
          <w:rFonts w:ascii="Times New Roman" w:hAnsi="Times New Roman" w:cs="Times New Roman"/>
          <w:sz w:val="24"/>
          <w:szCs w:val="24"/>
        </w:rPr>
        <w:t>94,00</w:t>
      </w:r>
      <w:r w:rsidR="000052DD" w:rsidRPr="001B2B79">
        <w:rPr>
          <w:rFonts w:ascii="Times New Roman" w:hAnsi="Times New Roman" w:cs="Times New Roman"/>
          <w:sz w:val="24"/>
          <w:szCs w:val="24"/>
        </w:rPr>
        <w:t xml:space="preserve">% (mai puțin </w:t>
      </w:r>
      <w:r w:rsidR="00CC23F0" w:rsidRPr="001B2B79">
        <w:rPr>
          <w:rFonts w:ascii="Times New Roman" w:hAnsi="Times New Roman" w:cs="Times New Roman"/>
          <w:sz w:val="24"/>
          <w:szCs w:val="24"/>
        </w:rPr>
        <w:t xml:space="preserve">Senatul României; </w:t>
      </w:r>
      <w:r w:rsidR="001F4311" w:rsidRPr="001B2B79">
        <w:rPr>
          <w:rFonts w:ascii="Times New Roman" w:hAnsi="Times New Roman" w:cs="Times New Roman"/>
          <w:sz w:val="24"/>
          <w:szCs w:val="24"/>
        </w:rPr>
        <w:t>Socie</w:t>
      </w:r>
      <w:r w:rsidR="00CC23F0" w:rsidRPr="001B2B79">
        <w:rPr>
          <w:rFonts w:ascii="Times New Roman" w:hAnsi="Times New Roman" w:cs="Times New Roman"/>
          <w:sz w:val="24"/>
          <w:szCs w:val="24"/>
        </w:rPr>
        <w:t xml:space="preserve">tatea Română de Radiodifuziune; </w:t>
      </w:r>
      <w:r w:rsidR="001F4311" w:rsidRPr="001B2B79">
        <w:rPr>
          <w:rFonts w:ascii="Times New Roman" w:hAnsi="Times New Roman" w:cs="Times New Roman"/>
          <w:sz w:val="24"/>
          <w:szCs w:val="24"/>
        </w:rPr>
        <w:t>Societatea Română de Televiziune</w:t>
      </w:r>
      <w:r w:rsidR="000052DD" w:rsidRPr="001B2B79">
        <w:rPr>
          <w:rFonts w:ascii="Times New Roman" w:hAnsi="Times New Roman" w:cs="Times New Roman"/>
          <w:sz w:val="24"/>
          <w:szCs w:val="24"/>
        </w:rPr>
        <w:t xml:space="preserve">), iar la </w:t>
      </w:r>
      <w:r w:rsidR="004B3BD1" w:rsidRPr="001B2B79">
        <w:rPr>
          <w:rFonts w:ascii="Times New Roman" w:hAnsi="Times New Roman" w:cs="Times New Roman"/>
          <w:sz w:val="24"/>
          <w:szCs w:val="24"/>
        </w:rPr>
        <w:t>entități publice aflate în subordonare sau în coordonare în procent de 93,</w:t>
      </w:r>
      <w:r w:rsidR="00503D24" w:rsidRPr="001B2B79">
        <w:rPr>
          <w:rFonts w:ascii="Times New Roman" w:hAnsi="Times New Roman" w:cs="Times New Roman"/>
          <w:sz w:val="24"/>
          <w:szCs w:val="24"/>
        </w:rPr>
        <w:t>53</w:t>
      </w:r>
      <w:r w:rsidR="004B3BD1" w:rsidRPr="001B2B79">
        <w:rPr>
          <w:rFonts w:ascii="Times New Roman" w:hAnsi="Times New Roman" w:cs="Times New Roman"/>
          <w:sz w:val="24"/>
          <w:szCs w:val="24"/>
        </w:rPr>
        <w:t>%.</w:t>
      </w:r>
      <w:r w:rsidR="000F5585" w:rsidRPr="001B2B79">
        <w:rPr>
          <w:rFonts w:ascii="Times New Roman" w:hAnsi="Times New Roman" w:cs="Times New Roman"/>
          <w:sz w:val="24"/>
          <w:szCs w:val="24"/>
        </w:rPr>
        <w:t xml:space="preserve"> </w:t>
      </w:r>
      <w:r w:rsidR="00586A23" w:rsidRPr="001B2B79">
        <w:rPr>
          <w:rFonts w:ascii="Times New Roman" w:hAnsi="Times New Roman" w:cs="Times New Roman"/>
          <w:sz w:val="24"/>
          <w:szCs w:val="24"/>
        </w:rPr>
        <w:t>Excepție face Serviciul de Informații Externe, care declară aceste informații ca fiind clasificat</w:t>
      </w:r>
      <w:r w:rsidR="00586A23" w:rsidRPr="00586A23">
        <w:rPr>
          <w:rFonts w:ascii="Times New Roman" w:hAnsi="Times New Roman" w:cs="Times New Roman"/>
          <w:sz w:val="24"/>
          <w:szCs w:val="24"/>
        </w:rPr>
        <w:t>e.</w:t>
      </w:r>
    </w:p>
    <w:p w:rsidR="00026B25" w:rsidRPr="00A938B3" w:rsidRDefault="002A7C11" w:rsidP="005315BE">
      <w:pPr>
        <w:tabs>
          <w:tab w:val="left" w:pos="810"/>
          <w:tab w:val="left" w:pos="900"/>
        </w:tabs>
        <w:spacing w:after="120" w:line="276" w:lineRule="auto"/>
        <w:jc w:val="both"/>
        <w:rPr>
          <w:rFonts w:ascii="Times New Roman" w:hAnsi="Times New Roman" w:cs="Times New Roman"/>
          <w:sz w:val="24"/>
          <w:szCs w:val="24"/>
        </w:rPr>
      </w:pPr>
      <w:r w:rsidRPr="00A938B3">
        <w:rPr>
          <w:rFonts w:ascii="Times New Roman" w:hAnsi="Times New Roman" w:cs="Times New Roman"/>
          <w:sz w:val="24"/>
          <w:szCs w:val="24"/>
        </w:rPr>
        <w:t>L</w:t>
      </w:r>
      <w:r w:rsidR="00026B25" w:rsidRPr="00A938B3">
        <w:rPr>
          <w:rFonts w:ascii="Times New Roman" w:hAnsi="Times New Roman" w:cs="Times New Roman"/>
          <w:sz w:val="24"/>
          <w:szCs w:val="24"/>
        </w:rPr>
        <w:t xml:space="preserve">a </w:t>
      </w:r>
      <w:r w:rsidRPr="00A938B3">
        <w:rPr>
          <w:rFonts w:ascii="Times New Roman" w:hAnsi="Times New Roman" w:cs="Times New Roman"/>
          <w:sz w:val="24"/>
          <w:szCs w:val="24"/>
        </w:rPr>
        <w:t>finele</w:t>
      </w:r>
      <w:r w:rsidR="00026B25" w:rsidRPr="00A938B3">
        <w:rPr>
          <w:rFonts w:ascii="Times New Roman" w:hAnsi="Times New Roman" w:cs="Times New Roman"/>
          <w:sz w:val="24"/>
          <w:szCs w:val="24"/>
        </w:rPr>
        <w:t xml:space="preserve"> anului, DCIMRI a elaborat </w:t>
      </w:r>
      <w:r w:rsidR="000F5585" w:rsidRPr="00A938B3">
        <w:rPr>
          <w:rFonts w:ascii="Times New Roman" w:hAnsi="Times New Roman" w:cs="Times New Roman"/>
          <w:sz w:val="24"/>
          <w:szCs w:val="24"/>
        </w:rPr>
        <w:t>pe baza informațiilor</w:t>
      </w:r>
      <w:r w:rsidR="00026B25" w:rsidRPr="00A938B3">
        <w:rPr>
          <w:rFonts w:ascii="Times New Roman" w:hAnsi="Times New Roman" w:cs="Times New Roman"/>
          <w:sz w:val="24"/>
          <w:szCs w:val="24"/>
        </w:rPr>
        <w:t xml:space="preserve"> transmise de </w:t>
      </w:r>
      <w:r w:rsidR="000F5585" w:rsidRPr="00A938B3">
        <w:rPr>
          <w:rFonts w:ascii="Times New Roman" w:hAnsi="Times New Roman" w:cs="Times New Roman"/>
          <w:sz w:val="24"/>
          <w:szCs w:val="24"/>
        </w:rPr>
        <w:t xml:space="preserve">către </w:t>
      </w:r>
      <w:r w:rsidR="00026B25" w:rsidRPr="00A938B3">
        <w:rPr>
          <w:rFonts w:ascii="Times New Roman" w:hAnsi="Times New Roman" w:cs="Times New Roman"/>
          <w:sz w:val="24"/>
          <w:szCs w:val="24"/>
        </w:rPr>
        <w:t xml:space="preserve">entitățile publice centrale </w:t>
      </w:r>
      <w:r w:rsidR="000F5585" w:rsidRPr="00A938B3">
        <w:rPr>
          <w:rFonts w:ascii="Times New Roman" w:hAnsi="Times New Roman" w:cs="Times New Roman"/>
          <w:sz w:val="24"/>
          <w:szCs w:val="24"/>
        </w:rPr>
        <w:t>C</w:t>
      </w:r>
      <w:r w:rsidR="000F5585" w:rsidRPr="00A938B3">
        <w:rPr>
          <w:rFonts w:ascii="Times New Roman" w:hAnsi="Times New Roman" w:cs="Times New Roman"/>
          <w:i/>
          <w:sz w:val="24"/>
          <w:szCs w:val="24"/>
        </w:rPr>
        <w:t>entralizarea privind</w:t>
      </w:r>
      <w:r w:rsidR="00CE4738" w:rsidRPr="00A938B3">
        <w:rPr>
          <w:rFonts w:ascii="Times New Roman" w:hAnsi="Times New Roman" w:cs="Times New Roman"/>
          <w:i/>
          <w:sz w:val="24"/>
          <w:szCs w:val="24"/>
        </w:rPr>
        <w:t xml:space="preserve"> </w:t>
      </w:r>
      <w:r w:rsidR="000F5585" w:rsidRPr="00A938B3">
        <w:rPr>
          <w:rFonts w:ascii="Times New Roman" w:hAnsi="Times New Roman" w:cs="Times New Roman"/>
          <w:i/>
          <w:sz w:val="24"/>
          <w:szCs w:val="24"/>
        </w:rPr>
        <w:t>s</w:t>
      </w:r>
      <w:r w:rsidR="00800549" w:rsidRPr="00A938B3">
        <w:rPr>
          <w:rFonts w:ascii="Times New Roman" w:hAnsi="Times New Roman" w:cs="Times New Roman"/>
          <w:i/>
          <w:sz w:val="24"/>
          <w:szCs w:val="24"/>
        </w:rPr>
        <w:t>tadiul implementării standardelor de control intern managerial</w:t>
      </w:r>
      <w:r w:rsidR="000F5585" w:rsidRPr="00A938B3">
        <w:rPr>
          <w:rFonts w:ascii="Times New Roman" w:hAnsi="Times New Roman" w:cs="Times New Roman"/>
          <w:i/>
          <w:sz w:val="24"/>
          <w:szCs w:val="24"/>
        </w:rPr>
        <w:t xml:space="preserve"> la data de 31 decembrie 201</w:t>
      </w:r>
      <w:r w:rsidR="004B2B08" w:rsidRPr="00A938B3">
        <w:rPr>
          <w:rFonts w:ascii="Times New Roman" w:hAnsi="Times New Roman" w:cs="Times New Roman"/>
          <w:i/>
          <w:sz w:val="24"/>
          <w:szCs w:val="24"/>
        </w:rPr>
        <w:t>6</w:t>
      </w:r>
      <w:r w:rsidR="00800549" w:rsidRPr="00A938B3">
        <w:rPr>
          <w:rFonts w:ascii="Times New Roman" w:hAnsi="Times New Roman" w:cs="Times New Roman"/>
          <w:i/>
          <w:sz w:val="24"/>
          <w:szCs w:val="24"/>
        </w:rPr>
        <w:t xml:space="preserve">, </w:t>
      </w:r>
      <w:r w:rsidR="0081672A" w:rsidRPr="00A938B3">
        <w:rPr>
          <w:rFonts w:ascii="Times New Roman" w:hAnsi="Times New Roman" w:cs="Times New Roman"/>
          <w:sz w:val="24"/>
          <w:szCs w:val="24"/>
        </w:rPr>
        <w:t>prezentată în</w:t>
      </w:r>
      <w:r w:rsidR="00D92C56" w:rsidRPr="00A938B3">
        <w:rPr>
          <w:rFonts w:ascii="Times New Roman" w:hAnsi="Times New Roman" w:cs="Times New Roman"/>
          <w:sz w:val="24"/>
          <w:szCs w:val="24"/>
        </w:rPr>
        <w:t xml:space="preserve"> </w:t>
      </w:r>
      <w:r w:rsidR="0081672A" w:rsidRPr="00A938B3">
        <w:rPr>
          <w:rFonts w:ascii="Times New Roman" w:hAnsi="Times New Roman" w:cs="Times New Roman"/>
          <w:i/>
          <w:sz w:val="24"/>
          <w:szCs w:val="24"/>
        </w:rPr>
        <w:t>Anexa nr. 2</w:t>
      </w:r>
      <w:r w:rsidR="0081672A" w:rsidRPr="00A938B3">
        <w:rPr>
          <w:rFonts w:ascii="Times New Roman" w:hAnsi="Times New Roman" w:cs="Times New Roman"/>
          <w:sz w:val="24"/>
          <w:szCs w:val="24"/>
        </w:rPr>
        <w:t xml:space="preserve"> </w:t>
      </w:r>
      <w:r w:rsidR="0081672A" w:rsidRPr="00A938B3">
        <w:rPr>
          <w:rFonts w:ascii="Times New Roman" w:hAnsi="Times New Roman" w:cs="Times New Roman"/>
          <w:i/>
          <w:sz w:val="24"/>
          <w:szCs w:val="24"/>
        </w:rPr>
        <w:t xml:space="preserve">la </w:t>
      </w:r>
      <w:r w:rsidR="00026B25" w:rsidRPr="00A938B3">
        <w:rPr>
          <w:rFonts w:ascii="Times New Roman" w:hAnsi="Times New Roman" w:cs="Times New Roman"/>
          <w:i/>
          <w:sz w:val="24"/>
          <w:szCs w:val="24"/>
        </w:rPr>
        <w:t>Raport.</w:t>
      </w:r>
      <w:r w:rsidR="00D92C56" w:rsidRPr="00A938B3">
        <w:rPr>
          <w:rFonts w:ascii="Times New Roman" w:hAnsi="Times New Roman" w:cs="Times New Roman"/>
          <w:i/>
          <w:sz w:val="24"/>
          <w:szCs w:val="24"/>
        </w:rPr>
        <w:t xml:space="preserve"> </w:t>
      </w:r>
    </w:p>
    <w:p w:rsidR="000F5585" w:rsidRPr="00A938B3" w:rsidRDefault="00237E13" w:rsidP="005315BE">
      <w:pPr>
        <w:tabs>
          <w:tab w:val="left" w:pos="720"/>
          <w:tab w:val="left" w:pos="810"/>
          <w:tab w:val="left" w:pos="900"/>
          <w:tab w:val="left" w:pos="990"/>
        </w:tabs>
        <w:spacing w:after="120" w:line="276" w:lineRule="auto"/>
        <w:jc w:val="both"/>
        <w:rPr>
          <w:rFonts w:ascii="Times New Roman" w:hAnsi="Times New Roman" w:cs="Times New Roman"/>
          <w:sz w:val="24"/>
          <w:szCs w:val="24"/>
        </w:rPr>
      </w:pPr>
      <w:r w:rsidRPr="00A938B3">
        <w:rPr>
          <w:rFonts w:ascii="Times New Roman" w:hAnsi="Times New Roman" w:cs="Times New Roman"/>
          <w:sz w:val="24"/>
          <w:szCs w:val="24"/>
        </w:rPr>
        <w:t xml:space="preserve">În </w:t>
      </w:r>
      <w:r w:rsidR="00271453" w:rsidRPr="00A938B3">
        <w:rPr>
          <w:rFonts w:ascii="Times New Roman" w:hAnsi="Times New Roman" w:cs="Times New Roman"/>
          <w:sz w:val="24"/>
          <w:szCs w:val="24"/>
        </w:rPr>
        <w:t>cadrul entităților publice, anual, se realizează</w:t>
      </w:r>
      <w:r w:rsidR="00C5408A" w:rsidRPr="00A938B3">
        <w:rPr>
          <w:rFonts w:ascii="Times New Roman" w:hAnsi="Times New Roman" w:cs="Times New Roman"/>
          <w:sz w:val="24"/>
          <w:szCs w:val="24"/>
        </w:rPr>
        <w:t xml:space="preserve"> autoevaluarea sistemului de control intern managerial, în </w:t>
      </w:r>
      <w:r w:rsidR="00271453" w:rsidRPr="00A938B3">
        <w:rPr>
          <w:rFonts w:ascii="Times New Roman" w:hAnsi="Times New Roman" w:cs="Times New Roman"/>
          <w:sz w:val="24"/>
          <w:szCs w:val="24"/>
        </w:rPr>
        <w:t>conform</w:t>
      </w:r>
      <w:r w:rsidR="00C5408A" w:rsidRPr="00A938B3">
        <w:rPr>
          <w:rFonts w:ascii="Times New Roman" w:hAnsi="Times New Roman" w:cs="Times New Roman"/>
          <w:sz w:val="24"/>
          <w:szCs w:val="24"/>
        </w:rPr>
        <w:t>itate cu</w:t>
      </w:r>
      <w:r w:rsidR="00271453" w:rsidRPr="00A938B3">
        <w:rPr>
          <w:rFonts w:ascii="Times New Roman" w:hAnsi="Times New Roman" w:cs="Times New Roman"/>
          <w:sz w:val="24"/>
          <w:szCs w:val="24"/>
        </w:rPr>
        <w:t xml:space="preserve"> </w:t>
      </w:r>
      <w:r w:rsidR="00271453" w:rsidRPr="00A938B3">
        <w:rPr>
          <w:rFonts w:ascii="Times New Roman" w:hAnsi="Times New Roman" w:cs="Times New Roman"/>
          <w:i/>
          <w:sz w:val="24"/>
          <w:szCs w:val="24"/>
        </w:rPr>
        <w:t xml:space="preserve">pct. 1.4 din Anexa 4  - Instrucţiuni privind întocmirea, aprobarea şi prezentarea Raportului asupra sistemului de control intern managerial </w:t>
      </w:r>
      <w:r w:rsidR="00271453" w:rsidRPr="00A938B3">
        <w:rPr>
          <w:rFonts w:ascii="Times New Roman" w:hAnsi="Times New Roman" w:cs="Times New Roman"/>
          <w:sz w:val="24"/>
          <w:szCs w:val="24"/>
        </w:rPr>
        <w:t xml:space="preserve">din </w:t>
      </w:r>
      <w:r w:rsidR="00271453" w:rsidRPr="00A938B3">
        <w:rPr>
          <w:rFonts w:ascii="Times New Roman" w:hAnsi="Times New Roman" w:cs="Times New Roman"/>
          <w:i/>
          <w:sz w:val="24"/>
          <w:szCs w:val="24"/>
        </w:rPr>
        <w:t xml:space="preserve">OSGG nr. 400/2015, </w:t>
      </w:r>
      <w:r w:rsidR="00C5408A" w:rsidRPr="00A938B3">
        <w:rPr>
          <w:rFonts w:ascii="Times New Roman" w:hAnsi="Times New Roman" w:cs="Times New Roman"/>
          <w:i/>
          <w:sz w:val="24"/>
          <w:szCs w:val="24"/>
        </w:rPr>
        <w:t>cu modificările și completările</w:t>
      </w:r>
      <w:r w:rsidR="00B01049" w:rsidRPr="00A938B3">
        <w:rPr>
          <w:rFonts w:ascii="Times New Roman" w:hAnsi="Times New Roman" w:cs="Times New Roman"/>
          <w:i/>
          <w:sz w:val="24"/>
          <w:szCs w:val="24"/>
        </w:rPr>
        <w:t xml:space="preserve"> ulterioare</w:t>
      </w:r>
      <w:r w:rsidR="00C5408A" w:rsidRPr="00A938B3">
        <w:rPr>
          <w:rFonts w:ascii="Times New Roman" w:hAnsi="Times New Roman" w:cs="Times New Roman"/>
          <w:i/>
          <w:sz w:val="24"/>
          <w:szCs w:val="24"/>
        </w:rPr>
        <w:t>.</w:t>
      </w:r>
    </w:p>
    <w:p w:rsidR="00C5408A" w:rsidRPr="000F5585" w:rsidRDefault="00C5408A" w:rsidP="005315BE">
      <w:pPr>
        <w:pStyle w:val="ListParagraph"/>
        <w:tabs>
          <w:tab w:val="left" w:pos="851"/>
          <w:tab w:val="left" w:pos="900"/>
          <w:tab w:val="left" w:pos="993"/>
        </w:tabs>
        <w:spacing w:after="120" w:line="276" w:lineRule="auto"/>
        <w:ind w:left="0"/>
        <w:contextualSpacing w:val="0"/>
        <w:jc w:val="both"/>
        <w:rPr>
          <w:rFonts w:ascii="Times New Roman" w:hAnsi="Times New Roman" w:cs="Times New Roman"/>
          <w:sz w:val="24"/>
          <w:szCs w:val="24"/>
        </w:rPr>
      </w:pPr>
      <w:r w:rsidRPr="000F5585">
        <w:rPr>
          <w:rFonts w:ascii="Times New Roman" w:hAnsi="Times New Roman" w:cs="Times New Roman"/>
          <w:sz w:val="24"/>
          <w:szCs w:val="24"/>
        </w:rPr>
        <w:t>Autoevaluarea anuală a sistemului de control intern managerial</w:t>
      </w:r>
      <w:r w:rsidR="00B23DD0" w:rsidRPr="000F5585">
        <w:rPr>
          <w:rFonts w:ascii="Times New Roman" w:hAnsi="Times New Roman" w:cs="Times New Roman"/>
          <w:sz w:val="24"/>
          <w:szCs w:val="24"/>
        </w:rPr>
        <w:t xml:space="preserve"> la entitățile publice </w:t>
      </w:r>
      <w:r w:rsidRPr="000F5585">
        <w:rPr>
          <w:rFonts w:ascii="Times New Roman" w:hAnsi="Times New Roman" w:cs="Times New Roman"/>
          <w:sz w:val="24"/>
          <w:szCs w:val="24"/>
        </w:rPr>
        <w:t xml:space="preserve"> </w:t>
      </w:r>
      <w:r w:rsidR="007E795C" w:rsidRPr="000F5585">
        <w:rPr>
          <w:rFonts w:ascii="Times New Roman" w:hAnsi="Times New Roman" w:cs="Times New Roman"/>
          <w:sz w:val="24"/>
          <w:szCs w:val="24"/>
        </w:rPr>
        <w:t>presupune evaluarea modului de implementare a standard</w:t>
      </w:r>
      <w:r w:rsidRPr="000F5585">
        <w:rPr>
          <w:rFonts w:ascii="Times New Roman" w:hAnsi="Times New Roman" w:cs="Times New Roman"/>
          <w:sz w:val="24"/>
          <w:szCs w:val="24"/>
        </w:rPr>
        <w:t>elor</w:t>
      </w:r>
      <w:r w:rsidR="007E795C" w:rsidRPr="000F5585">
        <w:rPr>
          <w:rFonts w:ascii="Times New Roman" w:hAnsi="Times New Roman" w:cs="Times New Roman"/>
          <w:sz w:val="24"/>
          <w:szCs w:val="24"/>
        </w:rPr>
        <w:t xml:space="preserve"> </w:t>
      </w:r>
      <w:r w:rsidRPr="000F5585">
        <w:rPr>
          <w:rFonts w:ascii="Times New Roman" w:hAnsi="Times New Roman" w:cs="Times New Roman"/>
          <w:sz w:val="24"/>
          <w:szCs w:val="24"/>
        </w:rPr>
        <w:t>de control intern</w:t>
      </w:r>
      <w:r w:rsidR="007E795C" w:rsidRPr="000F5585">
        <w:rPr>
          <w:rFonts w:ascii="Times New Roman" w:hAnsi="Times New Roman" w:cs="Times New Roman"/>
          <w:sz w:val="24"/>
          <w:szCs w:val="24"/>
        </w:rPr>
        <w:t xml:space="preserve">, de </w:t>
      </w:r>
      <w:r w:rsidR="005006A4" w:rsidRPr="000F5585">
        <w:rPr>
          <w:rFonts w:ascii="Times New Roman" w:hAnsi="Times New Roman" w:cs="Times New Roman"/>
          <w:sz w:val="24"/>
          <w:szCs w:val="24"/>
        </w:rPr>
        <w:t xml:space="preserve">către fiecare </w:t>
      </w:r>
      <w:r w:rsidR="007E795C" w:rsidRPr="000F5585">
        <w:rPr>
          <w:rFonts w:ascii="Times New Roman" w:hAnsi="Times New Roman" w:cs="Times New Roman"/>
          <w:sz w:val="24"/>
          <w:szCs w:val="24"/>
        </w:rPr>
        <w:t>compartimen</w:t>
      </w:r>
      <w:r w:rsidRPr="000F5585">
        <w:rPr>
          <w:rFonts w:ascii="Times New Roman" w:hAnsi="Times New Roman" w:cs="Times New Roman"/>
          <w:sz w:val="24"/>
          <w:szCs w:val="24"/>
        </w:rPr>
        <w:t>t din structura entităților</w:t>
      </w:r>
      <w:r w:rsidR="007E795C" w:rsidRPr="000F5585">
        <w:rPr>
          <w:rFonts w:ascii="Times New Roman" w:hAnsi="Times New Roman" w:cs="Times New Roman"/>
          <w:sz w:val="24"/>
          <w:szCs w:val="24"/>
        </w:rPr>
        <w:t xml:space="preserve"> publice și</w:t>
      </w:r>
      <w:r w:rsidRPr="000F5585">
        <w:rPr>
          <w:rFonts w:ascii="Times New Roman" w:hAnsi="Times New Roman" w:cs="Times New Roman"/>
          <w:sz w:val="24"/>
          <w:szCs w:val="24"/>
        </w:rPr>
        <w:t xml:space="preserve"> apoi evaluarea generală prin centralizarea informaţiilor din chestionarele de autoevaluare elaborate de </w:t>
      </w:r>
      <w:r w:rsidR="005006A4" w:rsidRPr="000F5585">
        <w:rPr>
          <w:rFonts w:ascii="Times New Roman" w:hAnsi="Times New Roman" w:cs="Times New Roman"/>
          <w:sz w:val="24"/>
          <w:szCs w:val="24"/>
        </w:rPr>
        <w:t>aceste</w:t>
      </w:r>
      <w:r w:rsidRPr="000F5585">
        <w:rPr>
          <w:rFonts w:ascii="Times New Roman" w:hAnsi="Times New Roman" w:cs="Times New Roman"/>
          <w:sz w:val="24"/>
          <w:szCs w:val="24"/>
        </w:rPr>
        <w:t xml:space="preserve"> compartimente, </w:t>
      </w:r>
      <w:r w:rsidR="005006A4" w:rsidRPr="000F5585">
        <w:rPr>
          <w:rFonts w:ascii="Times New Roman" w:hAnsi="Times New Roman" w:cs="Times New Roman"/>
          <w:sz w:val="24"/>
          <w:szCs w:val="24"/>
        </w:rPr>
        <w:t xml:space="preserve">în </w:t>
      </w:r>
      <w:r w:rsidRPr="000F5585">
        <w:rPr>
          <w:rFonts w:ascii="Times New Roman" w:hAnsi="Times New Roman" w:cs="Times New Roman"/>
          <w:sz w:val="24"/>
          <w:szCs w:val="24"/>
        </w:rPr>
        <w:t>conform</w:t>
      </w:r>
      <w:r w:rsidR="005006A4" w:rsidRPr="000F5585">
        <w:rPr>
          <w:rFonts w:ascii="Times New Roman" w:hAnsi="Times New Roman" w:cs="Times New Roman"/>
          <w:sz w:val="24"/>
          <w:szCs w:val="24"/>
        </w:rPr>
        <w:t>itate</w:t>
      </w:r>
      <w:r w:rsidRPr="000F5585">
        <w:rPr>
          <w:rFonts w:ascii="Times New Roman" w:hAnsi="Times New Roman" w:cs="Times New Roman"/>
          <w:sz w:val="24"/>
          <w:szCs w:val="24"/>
        </w:rPr>
        <w:t xml:space="preserve"> cu </w:t>
      </w:r>
      <w:r w:rsidRPr="000F5585">
        <w:rPr>
          <w:rFonts w:ascii="Times New Roman" w:hAnsi="Times New Roman" w:cs="Times New Roman"/>
          <w:i/>
          <w:sz w:val="24"/>
          <w:szCs w:val="24"/>
        </w:rPr>
        <w:t>Anexa 4.1 – Chestionarul de autoevaluare</w:t>
      </w:r>
      <w:r w:rsidRPr="000F5585">
        <w:rPr>
          <w:rFonts w:ascii="Times New Roman" w:hAnsi="Times New Roman" w:cs="Times New Roman"/>
          <w:sz w:val="24"/>
          <w:szCs w:val="24"/>
        </w:rPr>
        <w:t xml:space="preserve"> </w:t>
      </w:r>
      <w:r w:rsidR="00B01049" w:rsidRPr="000F5585">
        <w:rPr>
          <w:rFonts w:ascii="Times New Roman" w:hAnsi="Times New Roman" w:cs="Times New Roman"/>
          <w:sz w:val="24"/>
          <w:szCs w:val="24"/>
        </w:rPr>
        <w:t xml:space="preserve">și </w:t>
      </w:r>
      <w:r w:rsidR="00B01049" w:rsidRPr="000F5585">
        <w:rPr>
          <w:rFonts w:ascii="Times New Roman" w:hAnsi="Times New Roman" w:cs="Times New Roman"/>
          <w:i/>
          <w:sz w:val="24"/>
          <w:szCs w:val="24"/>
        </w:rPr>
        <w:t>Anexa 4.2 – Situația sintetică a rezultatelor autoevaluării</w:t>
      </w:r>
      <w:r w:rsidR="00B01049" w:rsidRPr="000F5585">
        <w:rPr>
          <w:rFonts w:ascii="Times New Roman" w:hAnsi="Times New Roman" w:cs="Times New Roman"/>
          <w:sz w:val="24"/>
          <w:szCs w:val="24"/>
        </w:rPr>
        <w:t xml:space="preserve"> </w:t>
      </w:r>
      <w:r w:rsidR="0081672A" w:rsidRPr="000F5585">
        <w:rPr>
          <w:rFonts w:ascii="Times New Roman" w:hAnsi="Times New Roman" w:cs="Times New Roman"/>
          <w:sz w:val="24"/>
          <w:szCs w:val="24"/>
        </w:rPr>
        <w:t>a</w:t>
      </w:r>
      <w:r w:rsidRPr="000F5585">
        <w:rPr>
          <w:rFonts w:ascii="Times New Roman" w:hAnsi="Times New Roman" w:cs="Times New Roman"/>
          <w:i/>
          <w:sz w:val="24"/>
          <w:szCs w:val="24"/>
        </w:rPr>
        <w:t xml:space="preserve"> OSGG nr. 400/2015, cu modificările și completările</w:t>
      </w:r>
      <w:r w:rsidR="00B01049" w:rsidRPr="000F5585">
        <w:rPr>
          <w:rFonts w:ascii="Times New Roman" w:hAnsi="Times New Roman" w:cs="Times New Roman"/>
          <w:i/>
          <w:sz w:val="24"/>
          <w:szCs w:val="24"/>
        </w:rPr>
        <w:t xml:space="preserve"> ulterioare.</w:t>
      </w:r>
    </w:p>
    <w:p w:rsidR="007E795C" w:rsidRPr="00347845" w:rsidRDefault="005006A4" w:rsidP="005315BE">
      <w:pPr>
        <w:spacing w:after="120" w:line="276" w:lineRule="auto"/>
        <w:jc w:val="both"/>
        <w:rPr>
          <w:rFonts w:ascii="Times New Roman" w:hAnsi="Times New Roman" w:cs="Times New Roman"/>
          <w:sz w:val="24"/>
          <w:szCs w:val="24"/>
        </w:rPr>
      </w:pPr>
      <w:r>
        <w:rPr>
          <w:rFonts w:ascii="Times New Roman" w:hAnsi="Times New Roman" w:cs="Times New Roman"/>
          <w:sz w:val="24"/>
          <w:szCs w:val="24"/>
        </w:rPr>
        <w:t>Standardele de control intern managerial se analizează pe baza</w:t>
      </w:r>
      <w:r w:rsidR="007E795C" w:rsidRPr="00347845">
        <w:rPr>
          <w:rFonts w:ascii="Times New Roman" w:hAnsi="Times New Roman" w:cs="Times New Roman"/>
          <w:sz w:val="24"/>
          <w:szCs w:val="24"/>
        </w:rPr>
        <w:t xml:space="preserve"> </w:t>
      </w:r>
      <w:r w:rsidR="007E795C" w:rsidRPr="005006A4">
        <w:rPr>
          <w:rFonts w:ascii="Times New Roman" w:hAnsi="Times New Roman" w:cs="Times New Roman"/>
          <w:i/>
          <w:sz w:val="24"/>
          <w:szCs w:val="24"/>
        </w:rPr>
        <w:t xml:space="preserve">criteriilor </w:t>
      </w:r>
      <w:r w:rsidRPr="005006A4">
        <w:rPr>
          <w:rFonts w:ascii="Times New Roman" w:hAnsi="Times New Roman" w:cs="Times New Roman"/>
          <w:i/>
          <w:sz w:val="24"/>
          <w:szCs w:val="24"/>
        </w:rPr>
        <w:t xml:space="preserve">generale </w:t>
      </w:r>
      <w:r w:rsidR="007E795C" w:rsidRPr="005006A4">
        <w:rPr>
          <w:rFonts w:ascii="Times New Roman" w:hAnsi="Times New Roman" w:cs="Times New Roman"/>
          <w:i/>
          <w:sz w:val="24"/>
          <w:szCs w:val="24"/>
        </w:rPr>
        <w:t>de evaluare specifice fiecărui standard</w:t>
      </w:r>
      <w:r w:rsidR="007E795C" w:rsidRPr="00347845">
        <w:rPr>
          <w:rFonts w:ascii="Times New Roman" w:hAnsi="Times New Roman" w:cs="Times New Roman"/>
          <w:sz w:val="24"/>
          <w:szCs w:val="24"/>
        </w:rPr>
        <w:t xml:space="preserve"> </w:t>
      </w:r>
      <w:r>
        <w:rPr>
          <w:rFonts w:ascii="Times New Roman" w:hAnsi="Times New Roman" w:cs="Times New Roman"/>
          <w:sz w:val="24"/>
          <w:szCs w:val="24"/>
        </w:rPr>
        <w:t xml:space="preserve">și </w:t>
      </w:r>
      <w:r w:rsidR="007E795C" w:rsidRPr="00347845">
        <w:rPr>
          <w:rFonts w:ascii="Times New Roman" w:hAnsi="Times New Roman" w:cs="Times New Roman"/>
          <w:sz w:val="24"/>
          <w:szCs w:val="24"/>
        </w:rPr>
        <w:t xml:space="preserve">acestea </w:t>
      </w:r>
      <w:r>
        <w:rPr>
          <w:rFonts w:ascii="Times New Roman" w:hAnsi="Times New Roman" w:cs="Times New Roman"/>
          <w:sz w:val="24"/>
          <w:szCs w:val="24"/>
        </w:rPr>
        <w:t>pot fi</w:t>
      </w:r>
      <w:r w:rsidR="007E795C" w:rsidRPr="00347845">
        <w:rPr>
          <w:rFonts w:ascii="Times New Roman" w:hAnsi="Times New Roman" w:cs="Times New Roman"/>
          <w:sz w:val="24"/>
          <w:szCs w:val="24"/>
        </w:rPr>
        <w:t xml:space="preserve"> </w:t>
      </w:r>
      <w:r w:rsidR="007E795C" w:rsidRPr="005006A4">
        <w:rPr>
          <w:rFonts w:ascii="Times New Roman" w:hAnsi="Times New Roman" w:cs="Times New Roman"/>
          <w:i/>
          <w:sz w:val="24"/>
          <w:szCs w:val="24"/>
        </w:rPr>
        <w:t>implementate, parţial implementate sau neimplementate</w:t>
      </w:r>
      <w:r w:rsidR="007E795C" w:rsidRPr="00347845">
        <w:rPr>
          <w:rFonts w:ascii="Times New Roman" w:hAnsi="Times New Roman" w:cs="Times New Roman"/>
          <w:sz w:val="24"/>
          <w:szCs w:val="24"/>
        </w:rPr>
        <w:t xml:space="preserve">. </w:t>
      </w:r>
    </w:p>
    <w:p w:rsidR="007E795C" w:rsidRPr="00E91D70" w:rsidRDefault="007E795C" w:rsidP="005315BE">
      <w:pPr>
        <w:spacing w:after="120" w:line="276" w:lineRule="auto"/>
        <w:jc w:val="both"/>
        <w:rPr>
          <w:rFonts w:ascii="Times New Roman" w:hAnsi="Times New Roman" w:cs="Times New Roman"/>
          <w:sz w:val="24"/>
          <w:szCs w:val="24"/>
        </w:rPr>
      </w:pPr>
      <w:r w:rsidRPr="00E91D70">
        <w:rPr>
          <w:rFonts w:ascii="Times New Roman" w:hAnsi="Times New Roman" w:cs="Times New Roman"/>
          <w:sz w:val="24"/>
          <w:szCs w:val="24"/>
        </w:rPr>
        <w:t>Aprecierea gradului de conformitate a sistemului propriu de control intern managerial cu standardel</w:t>
      </w:r>
      <w:r w:rsidR="00950A96">
        <w:rPr>
          <w:rFonts w:ascii="Times New Roman" w:hAnsi="Times New Roman" w:cs="Times New Roman"/>
          <w:sz w:val="24"/>
          <w:szCs w:val="24"/>
        </w:rPr>
        <w:t xml:space="preserve">e de control intern managerial se realizează </w:t>
      </w:r>
      <w:r w:rsidRPr="00E91D70">
        <w:rPr>
          <w:rFonts w:ascii="Times New Roman" w:hAnsi="Times New Roman" w:cs="Times New Roman"/>
          <w:sz w:val="24"/>
          <w:szCs w:val="24"/>
        </w:rPr>
        <w:t>în raport cu numărul de standarde implementate</w:t>
      </w:r>
      <w:r w:rsidR="00950A96">
        <w:rPr>
          <w:rFonts w:ascii="Times New Roman" w:hAnsi="Times New Roman" w:cs="Times New Roman"/>
          <w:sz w:val="24"/>
          <w:szCs w:val="24"/>
        </w:rPr>
        <w:t>,</w:t>
      </w:r>
      <w:r w:rsidRPr="00E91D70">
        <w:rPr>
          <w:rFonts w:ascii="Times New Roman" w:hAnsi="Times New Roman" w:cs="Times New Roman"/>
          <w:sz w:val="24"/>
          <w:szCs w:val="24"/>
        </w:rPr>
        <w:t xml:space="preserve"> astfel:</w:t>
      </w:r>
    </w:p>
    <w:p w:rsidR="007E795C" w:rsidRPr="005315BE" w:rsidRDefault="007E795C" w:rsidP="00C7604C">
      <w:pPr>
        <w:pStyle w:val="ListParagraph"/>
        <w:numPr>
          <w:ilvl w:val="0"/>
          <w:numId w:val="17"/>
        </w:numPr>
        <w:tabs>
          <w:tab w:val="left" w:pos="709"/>
        </w:tabs>
        <w:spacing w:line="276" w:lineRule="auto"/>
        <w:jc w:val="both"/>
        <w:rPr>
          <w:rFonts w:ascii="Times New Roman" w:hAnsi="Times New Roman" w:cs="Times New Roman"/>
          <w:sz w:val="24"/>
          <w:szCs w:val="24"/>
        </w:rPr>
      </w:pPr>
      <w:r w:rsidRPr="005315BE">
        <w:rPr>
          <w:rFonts w:ascii="Times New Roman" w:hAnsi="Times New Roman" w:cs="Times New Roman"/>
          <w:b/>
          <w:i/>
          <w:sz w:val="24"/>
          <w:szCs w:val="24"/>
        </w:rPr>
        <w:t>sistemul este conform</w:t>
      </w:r>
      <w:r w:rsidR="00950A96" w:rsidRPr="005315BE">
        <w:rPr>
          <w:rFonts w:ascii="Times New Roman" w:hAnsi="Times New Roman" w:cs="Times New Roman"/>
          <w:sz w:val="24"/>
          <w:szCs w:val="24"/>
        </w:rPr>
        <w:t>,</w:t>
      </w:r>
      <w:r w:rsidRPr="005315BE">
        <w:rPr>
          <w:rFonts w:ascii="Times New Roman" w:hAnsi="Times New Roman" w:cs="Times New Roman"/>
          <w:sz w:val="24"/>
          <w:szCs w:val="24"/>
        </w:rPr>
        <w:t xml:space="preserve"> dacă sunt implementate toate cele 16 standarde;</w:t>
      </w:r>
    </w:p>
    <w:p w:rsidR="007E795C" w:rsidRPr="005315BE" w:rsidRDefault="00950A96" w:rsidP="00C7604C">
      <w:pPr>
        <w:pStyle w:val="ListParagraph"/>
        <w:numPr>
          <w:ilvl w:val="0"/>
          <w:numId w:val="17"/>
        </w:numPr>
        <w:tabs>
          <w:tab w:val="left" w:pos="709"/>
        </w:tabs>
        <w:spacing w:line="276" w:lineRule="auto"/>
        <w:jc w:val="both"/>
        <w:rPr>
          <w:rFonts w:ascii="Times New Roman" w:hAnsi="Times New Roman" w:cs="Times New Roman"/>
          <w:sz w:val="24"/>
          <w:szCs w:val="24"/>
        </w:rPr>
      </w:pPr>
      <w:r w:rsidRPr="005315BE">
        <w:rPr>
          <w:rFonts w:ascii="Times New Roman" w:hAnsi="Times New Roman" w:cs="Times New Roman"/>
          <w:b/>
          <w:i/>
          <w:sz w:val="24"/>
          <w:szCs w:val="24"/>
        </w:rPr>
        <w:t>sistemul este parţial conform</w:t>
      </w:r>
      <w:r w:rsidRPr="005315BE">
        <w:rPr>
          <w:rFonts w:ascii="Times New Roman" w:hAnsi="Times New Roman" w:cs="Times New Roman"/>
          <w:sz w:val="24"/>
          <w:szCs w:val="24"/>
        </w:rPr>
        <w:t xml:space="preserve">, </w:t>
      </w:r>
      <w:r w:rsidR="007E795C" w:rsidRPr="005315BE">
        <w:rPr>
          <w:rFonts w:ascii="Times New Roman" w:hAnsi="Times New Roman" w:cs="Times New Roman"/>
          <w:sz w:val="24"/>
          <w:szCs w:val="24"/>
        </w:rPr>
        <w:t>dacă sunt implementate între 9 şi 15 standarde;</w:t>
      </w:r>
    </w:p>
    <w:p w:rsidR="007E795C" w:rsidRPr="005315BE" w:rsidRDefault="007E795C" w:rsidP="00C7604C">
      <w:pPr>
        <w:pStyle w:val="ListParagraph"/>
        <w:numPr>
          <w:ilvl w:val="0"/>
          <w:numId w:val="17"/>
        </w:numPr>
        <w:tabs>
          <w:tab w:val="left" w:pos="709"/>
        </w:tabs>
        <w:spacing w:line="276" w:lineRule="auto"/>
        <w:jc w:val="both"/>
        <w:rPr>
          <w:rFonts w:ascii="Times New Roman" w:hAnsi="Times New Roman" w:cs="Times New Roman"/>
          <w:sz w:val="24"/>
          <w:szCs w:val="24"/>
        </w:rPr>
      </w:pPr>
      <w:r w:rsidRPr="005315BE">
        <w:rPr>
          <w:rFonts w:ascii="Times New Roman" w:hAnsi="Times New Roman" w:cs="Times New Roman"/>
          <w:b/>
          <w:i/>
          <w:sz w:val="24"/>
          <w:szCs w:val="24"/>
        </w:rPr>
        <w:t>sistemul este neconform</w:t>
      </w:r>
      <w:r w:rsidR="00950A96" w:rsidRPr="005315BE">
        <w:rPr>
          <w:rFonts w:ascii="Times New Roman" w:hAnsi="Times New Roman" w:cs="Times New Roman"/>
          <w:sz w:val="24"/>
          <w:szCs w:val="24"/>
        </w:rPr>
        <w:t>,</w:t>
      </w:r>
      <w:r w:rsidRPr="005315BE">
        <w:rPr>
          <w:rFonts w:ascii="Times New Roman" w:hAnsi="Times New Roman" w:cs="Times New Roman"/>
          <w:sz w:val="24"/>
          <w:szCs w:val="24"/>
        </w:rPr>
        <w:t xml:space="preserve"> dacă sunt implementate mai puţin de 9 standarde</w:t>
      </w:r>
      <w:r w:rsidR="00591B87" w:rsidRPr="005315BE">
        <w:rPr>
          <w:rFonts w:ascii="Times New Roman" w:hAnsi="Times New Roman" w:cs="Times New Roman"/>
          <w:sz w:val="24"/>
          <w:szCs w:val="24"/>
        </w:rPr>
        <w:t>.</w:t>
      </w:r>
    </w:p>
    <w:p w:rsidR="005315BE" w:rsidRDefault="0081672A" w:rsidP="005315BE">
      <w:pPr>
        <w:tabs>
          <w:tab w:val="left" w:pos="1418"/>
        </w:tabs>
        <w:spacing w:line="276" w:lineRule="auto"/>
        <w:jc w:val="both"/>
        <w:rPr>
          <w:rFonts w:ascii="Times New Roman" w:hAnsi="Times New Roman" w:cs="Times New Roman"/>
          <w:sz w:val="24"/>
          <w:szCs w:val="24"/>
        </w:rPr>
      </w:pPr>
      <w:r w:rsidRPr="005315BE">
        <w:rPr>
          <w:rFonts w:ascii="Times New Roman" w:hAnsi="Times New Roman" w:cs="Times New Roman"/>
          <w:i/>
          <w:sz w:val="24"/>
          <w:szCs w:val="24"/>
        </w:rPr>
        <w:t>La nivelul entităților publice centrale, g</w:t>
      </w:r>
      <w:r w:rsidR="007E795C" w:rsidRPr="005315BE">
        <w:rPr>
          <w:rFonts w:ascii="Times New Roman" w:hAnsi="Times New Roman" w:cs="Times New Roman"/>
          <w:i/>
          <w:sz w:val="24"/>
          <w:szCs w:val="24"/>
        </w:rPr>
        <w:t>radul de implementare al standardelor de control intern managerial</w:t>
      </w:r>
      <w:r w:rsidR="007E795C" w:rsidRPr="005315BE">
        <w:rPr>
          <w:rFonts w:ascii="Times New Roman" w:hAnsi="Times New Roman" w:cs="Times New Roman"/>
          <w:sz w:val="24"/>
          <w:szCs w:val="24"/>
        </w:rPr>
        <w:t xml:space="preserve">, </w:t>
      </w:r>
      <w:r w:rsidR="007E795C" w:rsidRPr="005315BE">
        <w:rPr>
          <w:rFonts w:ascii="Times New Roman" w:hAnsi="Times New Roman" w:cs="Times New Roman"/>
          <w:i/>
          <w:sz w:val="24"/>
          <w:szCs w:val="24"/>
        </w:rPr>
        <w:t xml:space="preserve">pentru </w:t>
      </w:r>
      <w:r w:rsidR="00222730" w:rsidRPr="005315BE">
        <w:rPr>
          <w:rFonts w:ascii="Times New Roman" w:hAnsi="Times New Roman" w:cs="Times New Roman"/>
          <w:i/>
          <w:sz w:val="24"/>
          <w:szCs w:val="24"/>
        </w:rPr>
        <w:t>anul 201</w:t>
      </w:r>
      <w:r w:rsidR="004B2B08" w:rsidRPr="005315BE">
        <w:rPr>
          <w:rFonts w:ascii="Times New Roman" w:hAnsi="Times New Roman" w:cs="Times New Roman"/>
          <w:i/>
          <w:sz w:val="24"/>
          <w:szCs w:val="24"/>
        </w:rPr>
        <w:t>6</w:t>
      </w:r>
      <w:r w:rsidR="00222730" w:rsidRPr="005315BE">
        <w:rPr>
          <w:rFonts w:ascii="Times New Roman" w:hAnsi="Times New Roman" w:cs="Times New Roman"/>
          <w:sz w:val="24"/>
          <w:szCs w:val="24"/>
        </w:rPr>
        <w:t>,</w:t>
      </w:r>
      <w:r w:rsidR="0008556E" w:rsidRPr="005315BE">
        <w:rPr>
          <w:rFonts w:ascii="Times New Roman" w:hAnsi="Times New Roman" w:cs="Times New Roman"/>
          <w:sz w:val="24"/>
          <w:szCs w:val="24"/>
        </w:rPr>
        <w:t xml:space="preserve"> comparativ </w:t>
      </w:r>
      <w:r w:rsidR="0008556E" w:rsidRPr="005315BE">
        <w:rPr>
          <w:rFonts w:ascii="Times New Roman" w:hAnsi="Times New Roman" w:cs="Times New Roman"/>
          <w:i/>
          <w:sz w:val="24"/>
          <w:szCs w:val="24"/>
        </w:rPr>
        <w:t>cu anul 2015</w:t>
      </w:r>
      <w:r w:rsidR="0008556E" w:rsidRPr="005315BE">
        <w:rPr>
          <w:rFonts w:ascii="Times New Roman" w:hAnsi="Times New Roman" w:cs="Times New Roman"/>
          <w:sz w:val="24"/>
          <w:szCs w:val="24"/>
        </w:rPr>
        <w:t xml:space="preserve">, </w:t>
      </w:r>
      <w:r w:rsidR="00222730" w:rsidRPr="005315BE">
        <w:rPr>
          <w:rFonts w:ascii="Times New Roman" w:hAnsi="Times New Roman" w:cs="Times New Roman"/>
          <w:sz w:val="24"/>
          <w:szCs w:val="24"/>
        </w:rPr>
        <w:t xml:space="preserve"> a fost stabilit de către DCIMRI</w:t>
      </w:r>
      <w:r w:rsidR="004467C5" w:rsidRPr="005315BE">
        <w:rPr>
          <w:rFonts w:ascii="Times New Roman" w:hAnsi="Times New Roman" w:cs="Times New Roman"/>
          <w:sz w:val="24"/>
          <w:szCs w:val="24"/>
        </w:rPr>
        <w:t>,</w:t>
      </w:r>
      <w:r w:rsidR="00222730" w:rsidRPr="005315BE">
        <w:rPr>
          <w:rFonts w:ascii="Times New Roman" w:hAnsi="Times New Roman" w:cs="Times New Roman"/>
          <w:sz w:val="24"/>
          <w:szCs w:val="24"/>
        </w:rPr>
        <w:t xml:space="preserve"> </w:t>
      </w:r>
      <w:r w:rsidR="004467C5" w:rsidRPr="005315BE">
        <w:rPr>
          <w:rFonts w:ascii="Times New Roman" w:hAnsi="Times New Roman" w:cs="Times New Roman"/>
          <w:sz w:val="24"/>
          <w:szCs w:val="24"/>
        </w:rPr>
        <w:t>prin centralizarea</w:t>
      </w:r>
      <w:r w:rsidR="00222730" w:rsidRPr="005315BE">
        <w:rPr>
          <w:rFonts w:ascii="Times New Roman" w:hAnsi="Times New Roman" w:cs="Times New Roman"/>
          <w:sz w:val="24"/>
          <w:szCs w:val="24"/>
        </w:rPr>
        <w:t xml:space="preserve"> </w:t>
      </w:r>
      <w:r w:rsidR="004467C5" w:rsidRPr="005315BE">
        <w:rPr>
          <w:rFonts w:ascii="Times New Roman" w:hAnsi="Times New Roman" w:cs="Times New Roman"/>
          <w:sz w:val="24"/>
          <w:szCs w:val="24"/>
        </w:rPr>
        <w:t>raportărilor privind</w:t>
      </w:r>
      <w:r w:rsidR="00222730" w:rsidRPr="005315BE">
        <w:rPr>
          <w:rFonts w:ascii="Times New Roman" w:hAnsi="Times New Roman" w:cs="Times New Roman"/>
          <w:sz w:val="24"/>
          <w:szCs w:val="24"/>
        </w:rPr>
        <w:t xml:space="preserve"> </w:t>
      </w:r>
      <w:r w:rsidR="007E795C" w:rsidRPr="005315BE">
        <w:rPr>
          <w:rFonts w:ascii="Times New Roman" w:hAnsi="Times New Roman" w:cs="Times New Roman"/>
          <w:sz w:val="24"/>
          <w:szCs w:val="24"/>
        </w:rPr>
        <w:t>autoevaluăr</w:t>
      </w:r>
      <w:r w:rsidR="004467C5" w:rsidRPr="005315BE">
        <w:rPr>
          <w:rFonts w:ascii="Times New Roman" w:hAnsi="Times New Roman" w:cs="Times New Roman"/>
          <w:sz w:val="24"/>
          <w:szCs w:val="24"/>
        </w:rPr>
        <w:t xml:space="preserve">ile din cadrul </w:t>
      </w:r>
      <w:r w:rsidR="00222730" w:rsidRPr="005315BE">
        <w:rPr>
          <w:rFonts w:ascii="Times New Roman" w:hAnsi="Times New Roman" w:cs="Times New Roman"/>
          <w:sz w:val="24"/>
          <w:szCs w:val="24"/>
        </w:rPr>
        <w:t>entităților</w:t>
      </w:r>
      <w:r w:rsidR="007E795C" w:rsidRPr="005315BE">
        <w:rPr>
          <w:rFonts w:ascii="Times New Roman" w:hAnsi="Times New Roman" w:cs="Times New Roman"/>
          <w:sz w:val="24"/>
          <w:szCs w:val="24"/>
        </w:rPr>
        <w:t xml:space="preserve"> publice</w:t>
      </w:r>
      <w:r w:rsidR="003B0FF4" w:rsidRPr="005315BE">
        <w:rPr>
          <w:rFonts w:ascii="Times New Roman" w:hAnsi="Times New Roman" w:cs="Times New Roman"/>
          <w:sz w:val="24"/>
          <w:szCs w:val="24"/>
        </w:rPr>
        <w:t>, așa cum rezultă</w:t>
      </w:r>
      <w:r w:rsidR="007E795C" w:rsidRPr="005315BE">
        <w:rPr>
          <w:rFonts w:ascii="Times New Roman" w:hAnsi="Times New Roman" w:cs="Times New Roman"/>
          <w:sz w:val="24"/>
          <w:szCs w:val="24"/>
        </w:rPr>
        <w:t xml:space="preserve"> </w:t>
      </w:r>
      <w:r w:rsidR="003B0FF4" w:rsidRPr="005315BE">
        <w:rPr>
          <w:rFonts w:ascii="Times New Roman" w:hAnsi="Times New Roman" w:cs="Times New Roman"/>
          <w:sz w:val="24"/>
          <w:szCs w:val="24"/>
        </w:rPr>
        <w:t>din</w:t>
      </w:r>
      <w:r w:rsidR="007E795C" w:rsidRPr="005315BE">
        <w:rPr>
          <w:rFonts w:ascii="Times New Roman" w:hAnsi="Times New Roman" w:cs="Times New Roman"/>
          <w:sz w:val="24"/>
          <w:szCs w:val="24"/>
        </w:rPr>
        <w:t xml:space="preserve"> tabelul </w:t>
      </w:r>
      <w:r w:rsidR="00AD70C5" w:rsidRPr="005315BE">
        <w:rPr>
          <w:rFonts w:ascii="Times New Roman" w:hAnsi="Times New Roman" w:cs="Times New Roman"/>
          <w:sz w:val="24"/>
          <w:szCs w:val="24"/>
        </w:rPr>
        <w:t xml:space="preserve">și reprezentarea grafică </w:t>
      </w:r>
      <w:r w:rsidR="005315BE">
        <w:rPr>
          <w:rFonts w:ascii="Times New Roman" w:hAnsi="Times New Roman" w:cs="Times New Roman"/>
          <w:sz w:val="24"/>
          <w:szCs w:val="24"/>
        </w:rPr>
        <w:t>ce urmează.</w:t>
      </w:r>
    </w:p>
    <w:p w:rsidR="007E795C" w:rsidRPr="005315BE" w:rsidRDefault="003B0FF4" w:rsidP="005315BE">
      <w:pPr>
        <w:tabs>
          <w:tab w:val="left" w:pos="1418"/>
        </w:tabs>
        <w:spacing w:line="276" w:lineRule="auto"/>
        <w:jc w:val="both"/>
        <w:rPr>
          <w:rFonts w:ascii="Times New Roman" w:hAnsi="Times New Roman" w:cs="Times New Roman"/>
          <w:sz w:val="24"/>
          <w:szCs w:val="24"/>
        </w:rPr>
      </w:pPr>
      <w:r w:rsidRPr="005315BE">
        <w:rPr>
          <w:rFonts w:ascii="Times New Roman" w:hAnsi="Times New Roman" w:cs="Times New Roman"/>
          <w:sz w:val="24"/>
          <w:szCs w:val="24"/>
        </w:rPr>
        <w:t xml:space="preserve"> </w:t>
      </w:r>
    </w:p>
    <w:p w:rsidR="003B0FF4" w:rsidRPr="003B0FF4" w:rsidRDefault="003B0FF4" w:rsidP="003B0FF4">
      <w:pPr>
        <w:pStyle w:val="ListParagraph"/>
        <w:tabs>
          <w:tab w:val="left" w:pos="1418"/>
        </w:tabs>
        <w:spacing w:line="276" w:lineRule="auto"/>
        <w:ind w:left="630"/>
        <w:jc w:val="right"/>
        <w:rPr>
          <w:rFonts w:ascii="Times New Roman" w:hAnsi="Times New Roman" w:cs="Times New Roman"/>
          <w:b/>
          <w:sz w:val="24"/>
          <w:szCs w:val="24"/>
        </w:rPr>
      </w:pPr>
      <w:r w:rsidRPr="003B0FF4">
        <w:rPr>
          <w:rFonts w:ascii="Times New Roman" w:hAnsi="Times New Roman" w:cs="Times New Roman"/>
          <w:b/>
          <w:sz w:val="24"/>
          <w:szCs w:val="24"/>
        </w:rPr>
        <w:t>Tabel nr. 1</w:t>
      </w:r>
    </w:p>
    <w:p w:rsidR="00240C41" w:rsidRDefault="00240C41" w:rsidP="003B0FF4">
      <w:pPr>
        <w:tabs>
          <w:tab w:val="left" w:pos="900"/>
        </w:tabs>
        <w:spacing w:line="276" w:lineRule="auto"/>
        <w:jc w:val="center"/>
        <w:rPr>
          <w:rFonts w:ascii="Times New Roman" w:hAnsi="Times New Roman" w:cs="Times New Roman"/>
          <w:b/>
          <w:sz w:val="24"/>
          <w:szCs w:val="24"/>
        </w:rPr>
      </w:pPr>
      <w:r w:rsidRPr="003B0FF4">
        <w:rPr>
          <w:rFonts w:ascii="Times New Roman" w:hAnsi="Times New Roman" w:cs="Times New Roman"/>
          <w:b/>
          <w:sz w:val="24"/>
          <w:szCs w:val="24"/>
        </w:rPr>
        <w:t>Gradul de implementare al standardelor de control intern managerial</w:t>
      </w:r>
    </w:p>
    <w:p w:rsidR="005315BE" w:rsidRPr="003B0FF4" w:rsidRDefault="005315BE" w:rsidP="003B0FF4">
      <w:pPr>
        <w:tabs>
          <w:tab w:val="left" w:pos="900"/>
        </w:tabs>
        <w:spacing w:line="276" w:lineRule="auto"/>
        <w:jc w:val="center"/>
        <w:rPr>
          <w:rFonts w:ascii="Times New Roman" w:hAnsi="Times New Roman" w:cs="Times New Roman"/>
          <w:b/>
          <w:sz w:val="24"/>
          <w:szCs w:val="24"/>
        </w:rPr>
      </w:pPr>
    </w:p>
    <w:tbl>
      <w:tblPr>
        <w:tblStyle w:val="TableGrid"/>
        <w:tblW w:w="9696" w:type="dxa"/>
        <w:shd w:val="clear" w:color="auto" w:fill="FFF2CC" w:themeFill="accent4" w:themeFillTint="33"/>
        <w:tblLook w:val="04A0" w:firstRow="1" w:lastRow="0" w:firstColumn="1" w:lastColumn="0" w:noHBand="0" w:noVBand="1"/>
      </w:tblPr>
      <w:tblGrid>
        <w:gridCol w:w="2499"/>
        <w:gridCol w:w="3875"/>
        <w:gridCol w:w="1771"/>
        <w:gridCol w:w="1551"/>
      </w:tblGrid>
      <w:tr w:rsidR="004B2B08" w:rsidTr="00F70750">
        <w:trPr>
          <w:trHeight w:val="838"/>
          <w:tblHeader/>
        </w:trPr>
        <w:tc>
          <w:tcPr>
            <w:tcW w:w="2499" w:type="dxa"/>
            <w:shd w:val="clear" w:color="auto" w:fill="BDD6EE" w:themeFill="accent1" w:themeFillTint="66"/>
            <w:vAlign w:val="center"/>
          </w:tcPr>
          <w:p w:rsidR="004B2B08" w:rsidRPr="005315BE" w:rsidRDefault="004B2B08" w:rsidP="005315BE">
            <w:pPr>
              <w:spacing w:line="360" w:lineRule="auto"/>
              <w:jc w:val="center"/>
              <w:rPr>
                <w:rFonts w:ascii="Times New Roman" w:hAnsi="Times New Roman" w:cs="Times New Roman"/>
                <w:b/>
                <w:sz w:val="24"/>
                <w:szCs w:val="24"/>
              </w:rPr>
            </w:pPr>
            <w:r w:rsidRPr="005315BE">
              <w:rPr>
                <w:rFonts w:ascii="Times New Roman" w:hAnsi="Times New Roman" w:cs="Times New Roman"/>
                <w:b/>
                <w:sz w:val="24"/>
                <w:szCs w:val="24"/>
              </w:rPr>
              <w:t>Număr standard de control intern managerial</w:t>
            </w:r>
          </w:p>
        </w:tc>
        <w:tc>
          <w:tcPr>
            <w:tcW w:w="3875" w:type="dxa"/>
            <w:shd w:val="clear" w:color="auto" w:fill="BDD6EE" w:themeFill="accent1" w:themeFillTint="66"/>
            <w:vAlign w:val="center"/>
          </w:tcPr>
          <w:p w:rsidR="004B2B08" w:rsidRPr="005315BE" w:rsidRDefault="004B2B08" w:rsidP="005315BE">
            <w:pPr>
              <w:spacing w:line="360" w:lineRule="auto"/>
              <w:jc w:val="center"/>
              <w:rPr>
                <w:rFonts w:ascii="Times New Roman" w:hAnsi="Times New Roman" w:cs="Times New Roman"/>
                <w:b/>
                <w:sz w:val="24"/>
                <w:szCs w:val="24"/>
              </w:rPr>
            </w:pPr>
            <w:r w:rsidRPr="005315BE">
              <w:rPr>
                <w:rFonts w:ascii="Times New Roman" w:hAnsi="Times New Roman" w:cs="Times New Roman"/>
                <w:b/>
                <w:sz w:val="24"/>
                <w:szCs w:val="24"/>
              </w:rPr>
              <w:t>Denumire standard de control intern managerial</w:t>
            </w:r>
          </w:p>
        </w:tc>
        <w:tc>
          <w:tcPr>
            <w:tcW w:w="1771" w:type="dxa"/>
            <w:shd w:val="clear" w:color="auto" w:fill="BDD6EE" w:themeFill="accent1" w:themeFillTint="66"/>
            <w:vAlign w:val="center"/>
          </w:tcPr>
          <w:p w:rsidR="004B2B08" w:rsidRPr="005315BE" w:rsidRDefault="004B2B08" w:rsidP="005315BE">
            <w:pPr>
              <w:spacing w:line="360" w:lineRule="auto"/>
              <w:jc w:val="center"/>
              <w:rPr>
                <w:rFonts w:ascii="Times New Roman" w:hAnsi="Times New Roman" w:cs="Times New Roman"/>
                <w:b/>
                <w:sz w:val="24"/>
                <w:szCs w:val="24"/>
              </w:rPr>
            </w:pPr>
            <w:r w:rsidRPr="005315BE">
              <w:rPr>
                <w:rFonts w:ascii="Times New Roman" w:hAnsi="Times New Roman" w:cs="Times New Roman"/>
                <w:b/>
                <w:sz w:val="24"/>
                <w:szCs w:val="24"/>
              </w:rPr>
              <w:t>Anul 2015</w:t>
            </w:r>
          </w:p>
        </w:tc>
        <w:tc>
          <w:tcPr>
            <w:tcW w:w="1551" w:type="dxa"/>
            <w:shd w:val="clear" w:color="auto" w:fill="BDD6EE" w:themeFill="accent1" w:themeFillTint="66"/>
            <w:vAlign w:val="center"/>
          </w:tcPr>
          <w:p w:rsidR="004B2B08" w:rsidRPr="005315BE" w:rsidRDefault="004B2B08" w:rsidP="005315BE">
            <w:pPr>
              <w:spacing w:line="360" w:lineRule="auto"/>
              <w:jc w:val="center"/>
              <w:rPr>
                <w:rFonts w:ascii="Times New Roman" w:hAnsi="Times New Roman" w:cs="Times New Roman"/>
                <w:b/>
                <w:sz w:val="24"/>
                <w:szCs w:val="24"/>
              </w:rPr>
            </w:pPr>
            <w:r w:rsidRPr="005315BE">
              <w:rPr>
                <w:rFonts w:ascii="Times New Roman" w:hAnsi="Times New Roman" w:cs="Times New Roman"/>
                <w:b/>
                <w:sz w:val="24"/>
                <w:szCs w:val="24"/>
              </w:rPr>
              <w:t>Anul 2016</w:t>
            </w:r>
          </w:p>
        </w:tc>
      </w:tr>
      <w:tr w:rsidR="004B2B08" w:rsidTr="00F70750">
        <w:trPr>
          <w:trHeight w:val="351"/>
        </w:trPr>
        <w:tc>
          <w:tcPr>
            <w:tcW w:w="2499"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lang w:val="en-US"/>
              </w:rPr>
              <w:t>Standardul  1</w:t>
            </w:r>
          </w:p>
        </w:tc>
        <w:tc>
          <w:tcPr>
            <w:tcW w:w="3875" w:type="dxa"/>
            <w:shd w:val="clear" w:color="auto" w:fill="FFE599" w:themeFill="accent4" w:themeFillTint="66"/>
            <w:vAlign w:val="center"/>
          </w:tcPr>
          <w:p w:rsidR="004B2B08" w:rsidRPr="005315BE" w:rsidRDefault="004B2B08" w:rsidP="005315BE">
            <w:pPr>
              <w:spacing w:line="480" w:lineRule="auto"/>
              <w:jc w:val="both"/>
              <w:rPr>
                <w:rFonts w:ascii="Times New Roman" w:hAnsi="Times New Roman" w:cs="Times New Roman"/>
                <w:sz w:val="24"/>
                <w:szCs w:val="24"/>
              </w:rPr>
            </w:pPr>
            <w:r w:rsidRPr="005315BE">
              <w:rPr>
                <w:rFonts w:ascii="Times New Roman" w:hAnsi="Times New Roman" w:cs="Times New Roman"/>
                <w:sz w:val="24"/>
                <w:szCs w:val="24"/>
                <w:lang w:val="en-US"/>
              </w:rPr>
              <w:t>Etica și integritatea</w:t>
            </w:r>
          </w:p>
        </w:tc>
        <w:tc>
          <w:tcPr>
            <w:tcW w:w="177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95,29%</w:t>
            </w:r>
          </w:p>
        </w:tc>
        <w:tc>
          <w:tcPr>
            <w:tcW w:w="155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96,21%</w:t>
            </w:r>
          </w:p>
        </w:tc>
      </w:tr>
      <w:tr w:rsidR="004B2B08" w:rsidTr="00F70750">
        <w:tc>
          <w:tcPr>
            <w:tcW w:w="2499"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lang w:val="en-US"/>
              </w:rPr>
              <w:t>Standardul  2</w:t>
            </w:r>
          </w:p>
        </w:tc>
        <w:tc>
          <w:tcPr>
            <w:tcW w:w="3875" w:type="dxa"/>
            <w:shd w:val="clear" w:color="auto" w:fill="FFE599" w:themeFill="accent4" w:themeFillTint="66"/>
            <w:vAlign w:val="center"/>
          </w:tcPr>
          <w:p w:rsidR="004B2B08" w:rsidRPr="005315BE" w:rsidRDefault="004B2B08" w:rsidP="005315BE">
            <w:pPr>
              <w:spacing w:line="480" w:lineRule="auto"/>
              <w:jc w:val="both"/>
              <w:rPr>
                <w:rFonts w:ascii="Times New Roman" w:hAnsi="Times New Roman" w:cs="Times New Roman"/>
                <w:sz w:val="24"/>
                <w:szCs w:val="24"/>
              </w:rPr>
            </w:pPr>
            <w:r w:rsidRPr="005315BE">
              <w:rPr>
                <w:rFonts w:ascii="Times New Roman" w:hAnsi="Times New Roman" w:cs="Times New Roman"/>
                <w:sz w:val="24"/>
                <w:szCs w:val="24"/>
                <w:lang w:val="en-US"/>
              </w:rPr>
              <w:t>Atribuţii, funcţii, sarcini</w:t>
            </w:r>
          </w:p>
        </w:tc>
        <w:tc>
          <w:tcPr>
            <w:tcW w:w="177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89,55%</w:t>
            </w:r>
          </w:p>
        </w:tc>
        <w:tc>
          <w:tcPr>
            <w:tcW w:w="155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90,41%</w:t>
            </w:r>
          </w:p>
        </w:tc>
      </w:tr>
      <w:tr w:rsidR="004B2B08" w:rsidTr="00F70750">
        <w:tc>
          <w:tcPr>
            <w:tcW w:w="2499"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lang w:val="en-US"/>
              </w:rPr>
              <w:t>Standardul  3</w:t>
            </w:r>
          </w:p>
        </w:tc>
        <w:tc>
          <w:tcPr>
            <w:tcW w:w="3875" w:type="dxa"/>
            <w:shd w:val="clear" w:color="auto" w:fill="FFE599" w:themeFill="accent4" w:themeFillTint="66"/>
            <w:vAlign w:val="center"/>
          </w:tcPr>
          <w:p w:rsidR="004B2B08" w:rsidRPr="005315BE" w:rsidRDefault="004B2B08" w:rsidP="005315BE">
            <w:pPr>
              <w:spacing w:line="480" w:lineRule="auto"/>
              <w:jc w:val="both"/>
              <w:rPr>
                <w:rFonts w:ascii="Times New Roman" w:hAnsi="Times New Roman" w:cs="Times New Roman"/>
                <w:sz w:val="24"/>
                <w:szCs w:val="24"/>
              </w:rPr>
            </w:pPr>
            <w:r w:rsidRPr="005315BE">
              <w:rPr>
                <w:rFonts w:ascii="Times New Roman" w:hAnsi="Times New Roman" w:cs="Times New Roman"/>
                <w:sz w:val="24"/>
                <w:szCs w:val="24"/>
                <w:lang w:val="en-US"/>
              </w:rPr>
              <w:t>Competenţa, performanţa</w:t>
            </w:r>
          </w:p>
        </w:tc>
        <w:tc>
          <w:tcPr>
            <w:tcW w:w="177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92,68%</w:t>
            </w:r>
          </w:p>
        </w:tc>
        <w:tc>
          <w:tcPr>
            <w:tcW w:w="155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93,</w:t>
            </w:r>
            <w:r w:rsidR="00D306E5" w:rsidRPr="005315BE">
              <w:rPr>
                <w:rFonts w:ascii="Times New Roman" w:hAnsi="Times New Roman" w:cs="Times New Roman"/>
                <w:sz w:val="24"/>
                <w:szCs w:val="24"/>
              </w:rPr>
              <w:t>41</w:t>
            </w:r>
            <w:r w:rsidRPr="005315BE">
              <w:rPr>
                <w:rFonts w:ascii="Times New Roman" w:hAnsi="Times New Roman" w:cs="Times New Roman"/>
                <w:sz w:val="24"/>
                <w:szCs w:val="24"/>
              </w:rPr>
              <w:t>%</w:t>
            </w:r>
          </w:p>
        </w:tc>
      </w:tr>
      <w:tr w:rsidR="004B2B08" w:rsidTr="00F70750">
        <w:tc>
          <w:tcPr>
            <w:tcW w:w="2499"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lang w:val="en-US"/>
              </w:rPr>
              <w:t>Standardul  4</w:t>
            </w:r>
          </w:p>
        </w:tc>
        <w:tc>
          <w:tcPr>
            <w:tcW w:w="3875" w:type="dxa"/>
            <w:shd w:val="clear" w:color="auto" w:fill="FFE599" w:themeFill="accent4" w:themeFillTint="66"/>
            <w:vAlign w:val="center"/>
          </w:tcPr>
          <w:p w:rsidR="004B2B08" w:rsidRPr="005315BE" w:rsidRDefault="004B2B08" w:rsidP="005315BE">
            <w:pPr>
              <w:spacing w:line="480" w:lineRule="auto"/>
              <w:jc w:val="both"/>
              <w:rPr>
                <w:rFonts w:ascii="Times New Roman" w:hAnsi="Times New Roman" w:cs="Times New Roman"/>
                <w:sz w:val="24"/>
                <w:szCs w:val="24"/>
              </w:rPr>
            </w:pPr>
            <w:r w:rsidRPr="005315BE">
              <w:rPr>
                <w:rFonts w:ascii="Times New Roman" w:hAnsi="Times New Roman" w:cs="Times New Roman"/>
                <w:sz w:val="24"/>
                <w:szCs w:val="24"/>
                <w:lang w:val="en-US"/>
              </w:rPr>
              <w:t>Structura organizatorică</w:t>
            </w:r>
          </w:p>
        </w:tc>
        <w:tc>
          <w:tcPr>
            <w:tcW w:w="177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94,45%</w:t>
            </w:r>
          </w:p>
        </w:tc>
        <w:tc>
          <w:tcPr>
            <w:tcW w:w="155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95,58%</w:t>
            </w:r>
          </w:p>
        </w:tc>
      </w:tr>
      <w:tr w:rsidR="004B2B08" w:rsidTr="00F70750">
        <w:tc>
          <w:tcPr>
            <w:tcW w:w="2499"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Standardul  5</w:t>
            </w:r>
          </w:p>
        </w:tc>
        <w:tc>
          <w:tcPr>
            <w:tcW w:w="3875" w:type="dxa"/>
            <w:shd w:val="clear" w:color="auto" w:fill="FFE599" w:themeFill="accent4" w:themeFillTint="66"/>
            <w:vAlign w:val="center"/>
          </w:tcPr>
          <w:p w:rsidR="004B2B08" w:rsidRPr="005315BE" w:rsidRDefault="004B2B08" w:rsidP="005315BE">
            <w:pPr>
              <w:spacing w:line="480" w:lineRule="auto"/>
              <w:jc w:val="both"/>
              <w:rPr>
                <w:rFonts w:ascii="Times New Roman" w:hAnsi="Times New Roman" w:cs="Times New Roman"/>
                <w:sz w:val="24"/>
                <w:szCs w:val="24"/>
              </w:rPr>
            </w:pPr>
            <w:r w:rsidRPr="005315BE">
              <w:rPr>
                <w:rFonts w:ascii="Times New Roman" w:hAnsi="Times New Roman" w:cs="Times New Roman"/>
                <w:sz w:val="24"/>
                <w:szCs w:val="24"/>
                <w:lang w:val="en-US"/>
              </w:rPr>
              <w:t>Obiective</w:t>
            </w:r>
          </w:p>
        </w:tc>
        <w:tc>
          <w:tcPr>
            <w:tcW w:w="177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92,44%</w:t>
            </w:r>
          </w:p>
        </w:tc>
        <w:tc>
          <w:tcPr>
            <w:tcW w:w="155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92,38%</w:t>
            </w:r>
          </w:p>
        </w:tc>
      </w:tr>
      <w:tr w:rsidR="004B2B08" w:rsidTr="00F70750">
        <w:tc>
          <w:tcPr>
            <w:tcW w:w="2499"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lang w:val="en-US"/>
              </w:rPr>
              <w:t>Standardul  6</w:t>
            </w:r>
          </w:p>
        </w:tc>
        <w:tc>
          <w:tcPr>
            <w:tcW w:w="3875" w:type="dxa"/>
            <w:shd w:val="clear" w:color="auto" w:fill="FFE599" w:themeFill="accent4" w:themeFillTint="66"/>
            <w:vAlign w:val="center"/>
          </w:tcPr>
          <w:p w:rsidR="004B2B08" w:rsidRPr="005315BE" w:rsidRDefault="004B2B08" w:rsidP="005315BE">
            <w:pPr>
              <w:spacing w:line="480" w:lineRule="auto"/>
              <w:jc w:val="both"/>
              <w:rPr>
                <w:rFonts w:ascii="Times New Roman" w:hAnsi="Times New Roman" w:cs="Times New Roman"/>
                <w:sz w:val="24"/>
                <w:szCs w:val="24"/>
                <w:lang w:val="en-US"/>
              </w:rPr>
            </w:pPr>
            <w:r w:rsidRPr="005315BE">
              <w:rPr>
                <w:rFonts w:ascii="Times New Roman" w:hAnsi="Times New Roman" w:cs="Times New Roman"/>
                <w:sz w:val="24"/>
                <w:szCs w:val="24"/>
                <w:lang w:val="en-US"/>
              </w:rPr>
              <w:t>Planificarea</w:t>
            </w:r>
          </w:p>
        </w:tc>
        <w:tc>
          <w:tcPr>
            <w:tcW w:w="177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94,26%</w:t>
            </w:r>
          </w:p>
        </w:tc>
        <w:tc>
          <w:tcPr>
            <w:tcW w:w="155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95,18%</w:t>
            </w:r>
          </w:p>
        </w:tc>
      </w:tr>
      <w:tr w:rsidR="004B2B08" w:rsidTr="00F70750">
        <w:tc>
          <w:tcPr>
            <w:tcW w:w="2499"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lang w:val="en-US"/>
              </w:rPr>
              <w:t>Standardul  7</w:t>
            </w:r>
          </w:p>
        </w:tc>
        <w:tc>
          <w:tcPr>
            <w:tcW w:w="3875" w:type="dxa"/>
            <w:shd w:val="clear" w:color="auto" w:fill="FFE599" w:themeFill="accent4" w:themeFillTint="66"/>
            <w:vAlign w:val="center"/>
          </w:tcPr>
          <w:p w:rsidR="004B2B08" w:rsidRPr="005315BE" w:rsidRDefault="004B2B08" w:rsidP="005315BE">
            <w:pPr>
              <w:spacing w:line="480" w:lineRule="auto"/>
              <w:jc w:val="both"/>
              <w:rPr>
                <w:rFonts w:ascii="Times New Roman" w:hAnsi="Times New Roman" w:cs="Times New Roman"/>
                <w:sz w:val="24"/>
                <w:szCs w:val="24"/>
              </w:rPr>
            </w:pPr>
            <w:r w:rsidRPr="005315BE">
              <w:rPr>
                <w:rFonts w:ascii="Times New Roman" w:hAnsi="Times New Roman" w:cs="Times New Roman"/>
                <w:sz w:val="24"/>
                <w:szCs w:val="24"/>
                <w:lang w:val="en-US"/>
              </w:rPr>
              <w:t>Monitorizarea performanţelor</w:t>
            </w:r>
          </w:p>
        </w:tc>
        <w:tc>
          <w:tcPr>
            <w:tcW w:w="177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88,15%</w:t>
            </w:r>
          </w:p>
        </w:tc>
        <w:tc>
          <w:tcPr>
            <w:tcW w:w="155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88,94%</w:t>
            </w:r>
          </w:p>
        </w:tc>
      </w:tr>
      <w:tr w:rsidR="004B2B08" w:rsidTr="00F70750">
        <w:tc>
          <w:tcPr>
            <w:tcW w:w="2499"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lang w:val="en-US"/>
              </w:rPr>
              <w:t>Standardul  8</w:t>
            </w:r>
          </w:p>
        </w:tc>
        <w:tc>
          <w:tcPr>
            <w:tcW w:w="3875" w:type="dxa"/>
            <w:shd w:val="clear" w:color="auto" w:fill="FFE599" w:themeFill="accent4" w:themeFillTint="66"/>
            <w:vAlign w:val="center"/>
          </w:tcPr>
          <w:p w:rsidR="004B2B08" w:rsidRPr="005315BE" w:rsidRDefault="004B2B08" w:rsidP="005315BE">
            <w:pPr>
              <w:tabs>
                <w:tab w:val="left" w:pos="975"/>
              </w:tabs>
              <w:spacing w:line="480" w:lineRule="auto"/>
              <w:jc w:val="both"/>
              <w:rPr>
                <w:rFonts w:ascii="Times New Roman" w:hAnsi="Times New Roman" w:cs="Times New Roman"/>
                <w:sz w:val="24"/>
                <w:szCs w:val="24"/>
                <w:lang w:val="en-US"/>
              </w:rPr>
            </w:pPr>
            <w:r w:rsidRPr="005315BE">
              <w:rPr>
                <w:rFonts w:ascii="Times New Roman" w:hAnsi="Times New Roman" w:cs="Times New Roman"/>
                <w:sz w:val="24"/>
                <w:szCs w:val="24"/>
                <w:lang w:val="en-US"/>
              </w:rPr>
              <w:t>Managementul riscului</w:t>
            </w:r>
          </w:p>
        </w:tc>
        <w:tc>
          <w:tcPr>
            <w:tcW w:w="177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78,13%</w:t>
            </w:r>
          </w:p>
        </w:tc>
        <w:tc>
          <w:tcPr>
            <w:tcW w:w="155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80,78%</w:t>
            </w:r>
          </w:p>
        </w:tc>
      </w:tr>
      <w:tr w:rsidR="004B2B08" w:rsidTr="00F70750">
        <w:tc>
          <w:tcPr>
            <w:tcW w:w="2499"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lang w:val="en-US"/>
              </w:rPr>
              <w:t>Standardul  9</w:t>
            </w:r>
          </w:p>
        </w:tc>
        <w:tc>
          <w:tcPr>
            <w:tcW w:w="3875" w:type="dxa"/>
            <w:shd w:val="clear" w:color="auto" w:fill="FFE599" w:themeFill="accent4" w:themeFillTint="66"/>
            <w:vAlign w:val="center"/>
          </w:tcPr>
          <w:p w:rsidR="004B2B08" w:rsidRPr="005315BE" w:rsidRDefault="004B2B08" w:rsidP="005315BE">
            <w:pPr>
              <w:spacing w:line="480" w:lineRule="auto"/>
              <w:rPr>
                <w:rFonts w:ascii="Times New Roman" w:hAnsi="Times New Roman" w:cs="Times New Roman"/>
                <w:sz w:val="24"/>
                <w:szCs w:val="24"/>
                <w:lang w:val="en-US"/>
              </w:rPr>
            </w:pPr>
            <w:r w:rsidRPr="005315BE">
              <w:rPr>
                <w:rFonts w:ascii="Times New Roman" w:hAnsi="Times New Roman" w:cs="Times New Roman"/>
                <w:sz w:val="24"/>
                <w:szCs w:val="24"/>
                <w:lang w:val="en-US"/>
              </w:rPr>
              <w:t>Proceduri</w:t>
            </w:r>
          </w:p>
        </w:tc>
        <w:tc>
          <w:tcPr>
            <w:tcW w:w="177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81,11%</w:t>
            </w:r>
          </w:p>
        </w:tc>
        <w:tc>
          <w:tcPr>
            <w:tcW w:w="155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82,15%</w:t>
            </w:r>
          </w:p>
        </w:tc>
      </w:tr>
      <w:tr w:rsidR="004B2B08" w:rsidTr="00F70750">
        <w:tc>
          <w:tcPr>
            <w:tcW w:w="2499"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lang w:val="en-US"/>
              </w:rPr>
              <w:t>Standardul 10</w:t>
            </w:r>
          </w:p>
        </w:tc>
        <w:tc>
          <w:tcPr>
            <w:tcW w:w="3875" w:type="dxa"/>
            <w:shd w:val="clear" w:color="auto" w:fill="FFE599" w:themeFill="accent4" w:themeFillTint="66"/>
            <w:vAlign w:val="center"/>
          </w:tcPr>
          <w:p w:rsidR="004B2B08" w:rsidRPr="005315BE" w:rsidRDefault="004B2B08" w:rsidP="005315BE">
            <w:pPr>
              <w:spacing w:line="480" w:lineRule="auto"/>
              <w:jc w:val="both"/>
              <w:rPr>
                <w:rFonts w:ascii="Times New Roman" w:hAnsi="Times New Roman" w:cs="Times New Roman"/>
                <w:sz w:val="24"/>
                <w:szCs w:val="24"/>
                <w:lang w:val="en-US"/>
              </w:rPr>
            </w:pPr>
            <w:r w:rsidRPr="005315BE">
              <w:rPr>
                <w:rFonts w:ascii="Times New Roman" w:hAnsi="Times New Roman" w:cs="Times New Roman"/>
                <w:sz w:val="24"/>
                <w:szCs w:val="24"/>
                <w:lang w:val="en-US"/>
              </w:rPr>
              <w:t>Supravegherea</w:t>
            </w:r>
          </w:p>
        </w:tc>
        <w:tc>
          <w:tcPr>
            <w:tcW w:w="177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87,04%</w:t>
            </w:r>
          </w:p>
        </w:tc>
        <w:tc>
          <w:tcPr>
            <w:tcW w:w="155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89,43%</w:t>
            </w:r>
          </w:p>
        </w:tc>
      </w:tr>
      <w:tr w:rsidR="004B2B08" w:rsidTr="00F70750">
        <w:tc>
          <w:tcPr>
            <w:tcW w:w="2499"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lang w:val="en-US"/>
              </w:rPr>
              <w:t>Standardul 11</w:t>
            </w:r>
          </w:p>
        </w:tc>
        <w:tc>
          <w:tcPr>
            <w:tcW w:w="3875" w:type="dxa"/>
            <w:shd w:val="clear" w:color="auto" w:fill="FFE599" w:themeFill="accent4" w:themeFillTint="66"/>
            <w:vAlign w:val="center"/>
          </w:tcPr>
          <w:p w:rsidR="004B2B08" w:rsidRPr="005315BE" w:rsidRDefault="004B2B08" w:rsidP="005315BE">
            <w:pPr>
              <w:spacing w:line="480" w:lineRule="auto"/>
              <w:jc w:val="both"/>
              <w:rPr>
                <w:rFonts w:ascii="Times New Roman" w:hAnsi="Times New Roman" w:cs="Times New Roman"/>
                <w:sz w:val="24"/>
                <w:szCs w:val="24"/>
              </w:rPr>
            </w:pPr>
            <w:r w:rsidRPr="005315BE">
              <w:rPr>
                <w:rFonts w:ascii="Times New Roman" w:hAnsi="Times New Roman" w:cs="Times New Roman"/>
                <w:sz w:val="24"/>
                <w:szCs w:val="24"/>
                <w:lang w:val="en-US"/>
              </w:rPr>
              <w:t>Continuitatea activităţii</w:t>
            </w:r>
          </w:p>
        </w:tc>
        <w:tc>
          <w:tcPr>
            <w:tcW w:w="177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88,15%</w:t>
            </w:r>
          </w:p>
        </w:tc>
        <w:tc>
          <w:tcPr>
            <w:tcW w:w="155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88,59%</w:t>
            </w:r>
          </w:p>
        </w:tc>
      </w:tr>
      <w:tr w:rsidR="004B2B08" w:rsidTr="00F70750">
        <w:tc>
          <w:tcPr>
            <w:tcW w:w="2499"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lang w:val="en-US"/>
              </w:rPr>
              <w:t>Standardul 12</w:t>
            </w:r>
          </w:p>
        </w:tc>
        <w:tc>
          <w:tcPr>
            <w:tcW w:w="3875" w:type="dxa"/>
            <w:shd w:val="clear" w:color="auto" w:fill="FFE599" w:themeFill="accent4" w:themeFillTint="66"/>
            <w:vAlign w:val="center"/>
          </w:tcPr>
          <w:p w:rsidR="004B2B08" w:rsidRPr="005315BE" w:rsidRDefault="004B2B08" w:rsidP="005315BE">
            <w:pPr>
              <w:spacing w:line="480" w:lineRule="auto"/>
              <w:jc w:val="both"/>
              <w:rPr>
                <w:rFonts w:ascii="Times New Roman" w:hAnsi="Times New Roman" w:cs="Times New Roman"/>
                <w:sz w:val="24"/>
                <w:szCs w:val="24"/>
              </w:rPr>
            </w:pPr>
            <w:r w:rsidRPr="005315BE">
              <w:rPr>
                <w:rFonts w:ascii="Times New Roman" w:hAnsi="Times New Roman" w:cs="Times New Roman"/>
                <w:sz w:val="24"/>
                <w:szCs w:val="24"/>
                <w:lang w:val="en-US"/>
              </w:rPr>
              <w:t>Informarea şi comunicarea</w:t>
            </w:r>
          </w:p>
        </w:tc>
        <w:tc>
          <w:tcPr>
            <w:tcW w:w="177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94,87%</w:t>
            </w:r>
          </w:p>
        </w:tc>
        <w:tc>
          <w:tcPr>
            <w:tcW w:w="155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95,82%</w:t>
            </w:r>
          </w:p>
        </w:tc>
      </w:tr>
      <w:tr w:rsidR="004B2B08" w:rsidTr="00F70750">
        <w:tc>
          <w:tcPr>
            <w:tcW w:w="2499"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lang w:val="en-US"/>
              </w:rPr>
              <w:t>Standardul 13</w:t>
            </w:r>
          </w:p>
        </w:tc>
        <w:tc>
          <w:tcPr>
            <w:tcW w:w="3875" w:type="dxa"/>
            <w:shd w:val="clear" w:color="auto" w:fill="FFE599" w:themeFill="accent4" w:themeFillTint="66"/>
            <w:vAlign w:val="center"/>
          </w:tcPr>
          <w:p w:rsidR="004B2B08" w:rsidRPr="005315BE" w:rsidRDefault="004B2B08" w:rsidP="005315BE">
            <w:pPr>
              <w:spacing w:line="480" w:lineRule="auto"/>
              <w:jc w:val="both"/>
              <w:rPr>
                <w:rFonts w:ascii="Times New Roman" w:hAnsi="Times New Roman" w:cs="Times New Roman"/>
                <w:sz w:val="24"/>
                <w:szCs w:val="24"/>
                <w:lang w:val="en-US"/>
              </w:rPr>
            </w:pPr>
            <w:r w:rsidRPr="005315BE">
              <w:rPr>
                <w:rFonts w:ascii="Times New Roman" w:hAnsi="Times New Roman" w:cs="Times New Roman"/>
                <w:sz w:val="24"/>
                <w:szCs w:val="24"/>
                <w:lang w:val="en-US"/>
              </w:rPr>
              <w:t>Gestionarea documentelor</w:t>
            </w:r>
          </w:p>
        </w:tc>
        <w:tc>
          <w:tcPr>
            <w:tcW w:w="177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89,97%</w:t>
            </w:r>
          </w:p>
        </w:tc>
        <w:tc>
          <w:tcPr>
            <w:tcW w:w="155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90,91%</w:t>
            </w:r>
          </w:p>
        </w:tc>
      </w:tr>
      <w:tr w:rsidR="004B2B08" w:rsidTr="00F70750">
        <w:trPr>
          <w:trHeight w:val="399"/>
        </w:trPr>
        <w:tc>
          <w:tcPr>
            <w:tcW w:w="2499" w:type="dxa"/>
            <w:shd w:val="clear" w:color="auto" w:fill="FFE599" w:themeFill="accent4" w:themeFillTint="66"/>
            <w:vAlign w:val="center"/>
          </w:tcPr>
          <w:p w:rsidR="004B2B08" w:rsidRPr="005315BE" w:rsidRDefault="004B2B08" w:rsidP="005315BE">
            <w:pPr>
              <w:tabs>
                <w:tab w:val="left" w:pos="2010"/>
              </w:tabs>
              <w:spacing w:line="480" w:lineRule="auto"/>
              <w:jc w:val="center"/>
              <w:rPr>
                <w:rFonts w:ascii="Times New Roman" w:hAnsi="Times New Roman" w:cs="Times New Roman"/>
                <w:sz w:val="24"/>
                <w:szCs w:val="24"/>
              </w:rPr>
            </w:pPr>
            <w:r w:rsidRPr="005315BE">
              <w:rPr>
                <w:rFonts w:ascii="Times New Roman" w:hAnsi="Times New Roman" w:cs="Times New Roman"/>
                <w:sz w:val="24"/>
                <w:szCs w:val="24"/>
                <w:lang w:val="en-US"/>
              </w:rPr>
              <w:t xml:space="preserve">Standardul 14 </w:t>
            </w:r>
          </w:p>
        </w:tc>
        <w:tc>
          <w:tcPr>
            <w:tcW w:w="3875" w:type="dxa"/>
            <w:shd w:val="clear" w:color="auto" w:fill="FFE599" w:themeFill="accent4" w:themeFillTint="66"/>
            <w:vAlign w:val="center"/>
          </w:tcPr>
          <w:p w:rsidR="004B2B08" w:rsidRPr="005315BE" w:rsidRDefault="004B2B08" w:rsidP="005315BE">
            <w:pPr>
              <w:spacing w:line="480" w:lineRule="auto"/>
              <w:jc w:val="both"/>
              <w:rPr>
                <w:rFonts w:ascii="Times New Roman" w:hAnsi="Times New Roman" w:cs="Times New Roman"/>
                <w:sz w:val="24"/>
                <w:szCs w:val="24"/>
              </w:rPr>
            </w:pPr>
            <w:r w:rsidRPr="005315BE">
              <w:rPr>
                <w:rFonts w:ascii="Times New Roman" w:hAnsi="Times New Roman" w:cs="Times New Roman"/>
                <w:sz w:val="24"/>
                <w:szCs w:val="24"/>
                <w:lang w:val="en-US"/>
              </w:rPr>
              <w:t>Raportarea contabilă şi financiară</w:t>
            </w:r>
          </w:p>
        </w:tc>
        <w:tc>
          <w:tcPr>
            <w:tcW w:w="177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94,87%</w:t>
            </w:r>
          </w:p>
        </w:tc>
        <w:tc>
          <w:tcPr>
            <w:tcW w:w="155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95,92%</w:t>
            </w:r>
          </w:p>
        </w:tc>
      </w:tr>
      <w:tr w:rsidR="004B2B08" w:rsidTr="00F70750">
        <w:trPr>
          <w:trHeight w:val="540"/>
        </w:trPr>
        <w:tc>
          <w:tcPr>
            <w:tcW w:w="2499"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lang w:val="en-US"/>
              </w:rPr>
              <w:t>Standardul 15</w:t>
            </w:r>
          </w:p>
        </w:tc>
        <w:tc>
          <w:tcPr>
            <w:tcW w:w="3875" w:type="dxa"/>
            <w:shd w:val="clear" w:color="auto" w:fill="FFE599" w:themeFill="accent4" w:themeFillTint="66"/>
            <w:vAlign w:val="center"/>
          </w:tcPr>
          <w:p w:rsidR="004B2B08" w:rsidRPr="005315BE" w:rsidRDefault="004B2B08" w:rsidP="005315BE">
            <w:pPr>
              <w:spacing w:line="480" w:lineRule="auto"/>
              <w:jc w:val="both"/>
              <w:rPr>
                <w:rFonts w:ascii="Times New Roman" w:hAnsi="Times New Roman" w:cs="Times New Roman"/>
                <w:sz w:val="24"/>
                <w:szCs w:val="24"/>
              </w:rPr>
            </w:pPr>
            <w:r w:rsidRPr="005315BE">
              <w:rPr>
                <w:rFonts w:ascii="Times New Roman" w:hAnsi="Times New Roman" w:cs="Times New Roman"/>
                <w:sz w:val="24"/>
                <w:szCs w:val="24"/>
                <w:lang w:val="en-US"/>
              </w:rPr>
              <w:t>Evaluarea sistemului de control intern managerial</w:t>
            </w:r>
          </w:p>
        </w:tc>
        <w:tc>
          <w:tcPr>
            <w:tcW w:w="177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91,32%</w:t>
            </w:r>
          </w:p>
        </w:tc>
        <w:tc>
          <w:tcPr>
            <w:tcW w:w="155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92,97%</w:t>
            </w:r>
          </w:p>
        </w:tc>
      </w:tr>
      <w:tr w:rsidR="004B2B08" w:rsidTr="00F70750">
        <w:tc>
          <w:tcPr>
            <w:tcW w:w="2499"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lang w:val="en-US"/>
              </w:rPr>
              <w:t>Standardul 16</w:t>
            </w:r>
          </w:p>
        </w:tc>
        <w:tc>
          <w:tcPr>
            <w:tcW w:w="3875" w:type="dxa"/>
            <w:shd w:val="clear" w:color="auto" w:fill="FFE599" w:themeFill="accent4" w:themeFillTint="66"/>
            <w:vAlign w:val="center"/>
          </w:tcPr>
          <w:p w:rsidR="004B2B08" w:rsidRPr="005315BE" w:rsidRDefault="004B2B08" w:rsidP="005315BE">
            <w:pPr>
              <w:spacing w:line="480" w:lineRule="auto"/>
              <w:jc w:val="both"/>
              <w:rPr>
                <w:rFonts w:ascii="Times New Roman" w:hAnsi="Times New Roman" w:cs="Times New Roman"/>
                <w:sz w:val="24"/>
                <w:szCs w:val="24"/>
                <w:lang w:val="en-US"/>
              </w:rPr>
            </w:pPr>
            <w:r w:rsidRPr="005315BE">
              <w:rPr>
                <w:rFonts w:ascii="Times New Roman" w:hAnsi="Times New Roman" w:cs="Times New Roman"/>
                <w:sz w:val="24"/>
                <w:szCs w:val="24"/>
                <w:lang w:val="en-US"/>
              </w:rPr>
              <w:t>Auditul intern</w:t>
            </w:r>
          </w:p>
        </w:tc>
        <w:tc>
          <w:tcPr>
            <w:tcW w:w="177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67,84%</w:t>
            </w:r>
          </w:p>
        </w:tc>
        <w:tc>
          <w:tcPr>
            <w:tcW w:w="1551" w:type="dxa"/>
            <w:shd w:val="clear" w:color="auto" w:fill="FFE599" w:themeFill="accent4" w:themeFillTint="66"/>
            <w:vAlign w:val="center"/>
          </w:tcPr>
          <w:p w:rsidR="004B2B08" w:rsidRPr="005315BE" w:rsidRDefault="004B2B08" w:rsidP="005315BE">
            <w:pPr>
              <w:spacing w:line="480" w:lineRule="auto"/>
              <w:jc w:val="center"/>
              <w:rPr>
                <w:rFonts w:ascii="Times New Roman" w:hAnsi="Times New Roman" w:cs="Times New Roman"/>
                <w:sz w:val="24"/>
                <w:szCs w:val="24"/>
              </w:rPr>
            </w:pPr>
            <w:r w:rsidRPr="005315BE">
              <w:rPr>
                <w:rFonts w:ascii="Times New Roman" w:hAnsi="Times New Roman" w:cs="Times New Roman"/>
                <w:sz w:val="24"/>
                <w:szCs w:val="24"/>
              </w:rPr>
              <w:t>69,01%</w:t>
            </w:r>
          </w:p>
        </w:tc>
      </w:tr>
    </w:tbl>
    <w:p w:rsidR="00367EB8" w:rsidRDefault="00367EB8" w:rsidP="00602BDC">
      <w:pPr>
        <w:pStyle w:val="ListParagraph"/>
        <w:tabs>
          <w:tab w:val="left" w:pos="900"/>
        </w:tabs>
        <w:spacing w:line="276" w:lineRule="auto"/>
        <w:jc w:val="both"/>
        <w:rPr>
          <w:rFonts w:ascii="Times New Roman" w:hAnsi="Times New Roman" w:cs="Times New Roman"/>
          <w:i/>
          <w:sz w:val="24"/>
          <w:szCs w:val="24"/>
        </w:rPr>
      </w:pPr>
    </w:p>
    <w:p w:rsidR="00AC5C95" w:rsidRDefault="00AC5C95" w:rsidP="0039628E">
      <w:r>
        <w:rPr>
          <w:noProof/>
          <w:lang w:eastAsia="ro-RO"/>
        </w:rPr>
        <w:drawing>
          <wp:inline distT="0" distB="0" distL="0" distR="0">
            <wp:extent cx="6144641" cy="8112557"/>
            <wp:effectExtent l="0" t="0" r="8890" b="317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br w:type="page"/>
      </w:r>
    </w:p>
    <w:p w:rsidR="00E8174B" w:rsidRPr="00F304FE" w:rsidRDefault="00E8174B" w:rsidP="00F304FE">
      <w:pPr>
        <w:tabs>
          <w:tab w:val="left" w:pos="900"/>
        </w:tabs>
        <w:spacing w:line="276" w:lineRule="auto"/>
        <w:jc w:val="both"/>
        <w:rPr>
          <w:rFonts w:ascii="Times New Roman" w:hAnsi="Times New Roman" w:cs="Times New Roman"/>
          <w:b/>
          <w:i/>
          <w:sz w:val="24"/>
          <w:szCs w:val="24"/>
        </w:rPr>
      </w:pPr>
      <w:r w:rsidRPr="00F304FE">
        <w:rPr>
          <w:rFonts w:ascii="Times New Roman" w:hAnsi="Times New Roman" w:cs="Times New Roman"/>
          <w:b/>
          <w:i/>
          <w:sz w:val="24"/>
          <w:szCs w:val="24"/>
        </w:rPr>
        <w:t xml:space="preserve">Din analiza </w:t>
      </w:r>
      <w:r w:rsidR="004252E9" w:rsidRPr="00F304FE">
        <w:rPr>
          <w:rFonts w:ascii="Times New Roman" w:hAnsi="Times New Roman" w:cs="Times New Roman"/>
          <w:b/>
          <w:i/>
          <w:sz w:val="24"/>
          <w:szCs w:val="24"/>
        </w:rPr>
        <w:t>gradului</w:t>
      </w:r>
      <w:r w:rsidRPr="00F304FE">
        <w:rPr>
          <w:rFonts w:ascii="Times New Roman" w:hAnsi="Times New Roman" w:cs="Times New Roman"/>
          <w:b/>
          <w:i/>
          <w:sz w:val="24"/>
          <w:szCs w:val="24"/>
        </w:rPr>
        <w:t xml:space="preserve"> de implementare a sistemelor de control intern managerial de la nivelul entităților publice centrale, pe baza raportărilor acestora, DCIMRI constată că nu există niciun standard de control intern mangerial IMPLEMENTAT 100%</w:t>
      </w:r>
      <w:r w:rsidR="004252E9" w:rsidRPr="00F304FE">
        <w:rPr>
          <w:rFonts w:ascii="Times New Roman" w:hAnsi="Times New Roman" w:cs="Times New Roman"/>
          <w:b/>
          <w:i/>
          <w:sz w:val="24"/>
          <w:szCs w:val="24"/>
        </w:rPr>
        <w:t>.</w:t>
      </w:r>
    </w:p>
    <w:p w:rsidR="00591B87" w:rsidRPr="008179F9" w:rsidRDefault="00591B87" w:rsidP="00F304FE">
      <w:pPr>
        <w:spacing w:line="276" w:lineRule="auto"/>
        <w:jc w:val="both"/>
        <w:rPr>
          <w:rFonts w:ascii="Times New Roman" w:hAnsi="Times New Roman" w:cs="Times New Roman"/>
          <w:i/>
          <w:sz w:val="24"/>
          <w:szCs w:val="24"/>
        </w:rPr>
      </w:pPr>
      <w:r w:rsidRPr="008179F9">
        <w:rPr>
          <w:rFonts w:ascii="Times New Roman" w:hAnsi="Times New Roman" w:cs="Times New Roman"/>
          <w:i/>
          <w:sz w:val="24"/>
          <w:szCs w:val="24"/>
        </w:rPr>
        <w:t xml:space="preserve">Menționăm că </w:t>
      </w:r>
      <w:r w:rsidR="00CC1B3D" w:rsidRPr="008179F9">
        <w:rPr>
          <w:rFonts w:ascii="Times New Roman" w:hAnsi="Times New Roman" w:cs="Times New Roman"/>
          <w:i/>
          <w:sz w:val="24"/>
          <w:szCs w:val="24"/>
        </w:rPr>
        <w:t xml:space="preserve">la </w:t>
      </w:r>
      <w:r w:rsidRPr="008179F9">
        <w:rPr>
          <w:rFonts w:ascii="Times New Roman" w:hAnsi="Times New Roman" w:cs="Times New Roman"/>
          <w:i/>
          <w:sz w:val="24"/>
          <w:szCs w:val="24"/>
        </w:rPr>
        <w:t xml:space="preserve">o entitate publică care are </w:t>
      </w:r>
      <w:r w:rsidR="001172E7" w:rsidRPr="008179F9">
        <w:rPr>
          <w:rFonts w:ascii="Times New Roman" w:hAnsi="Times New Roman" w:cs="Times New Roman"/>
          <w:i/>
          <w:sz w:val="24"/>
          <w:szCs w:val="24"/>
        </w:rPr>
        <w:t xml:space="preserve">mai puțin de 9 </w:t>
      </w:r>
      <w:r w:rsidRPr="008179F9">
        <w:rPr>
          <w:rFonts w:ascii="Times New Roman" w:hAnsi="Times New Roman" w:cs="Times New Roman"/>
          <w:i/>
          <w:sz w:val="24"/>
          <w:szCs w:val="24"/>
        </w:rPr>
        <w:t>standarde</w:t>
      </w:r>
      <w:r w:rsidR="00CC1B3D" w:rsidRPr="008179F9">
        <w:rPr>
          <w:rFonts w:ascii="Times New Roman" w:hAnsi="Times New Roman" w:cs="Times New Roman"/>
          <w:i/>
          <w:sz w:val="24"/>
          <w:szCs w:val="24"/>
        </w:rPr>
        <w:t xml:space="preserve"> de control intern managerial</w:t>
      </w:r>
      <w:r w:rsidRPr="008179F9">
        <w:rPr>
          <w:rFonts w:ascii="Times New Roman" w:hAnsi="Times New Roman" w:cs="Times New Roman"/>
          <w:i/>
          <w:sz w:val="24"/>
          <w:szCs w:val="24"/>
        </w:rPr>
        <w:t xml:space="preserve"> implementate, </w:t>
      </w:r>
      <w:r w:rsidR="001172E7" w:rsidRPr="008179F9">
        <w:rPr>
          <w:rFonts w:ascii="Times New Roman" w:hAnsi="Times New Roman" w:cs="Times New Roman"/>
          <w:i/>
          <w:sz w:val="24"/>
          <w:szCs w:val="24"/>
        </w:rPr>
        <w:t xml:space="preserve">rezultă </w:t>
      </w:r>
      <w:r w:rsidR="004467C5" w:rsidRPr="008179F9">
        <w:rPr>
          <w:rFonts w:ascii="Times New Roman" w:hAnsi="Times New Roman" w:cs="Times New Roman"/>
          <w:i/>
          <w:sz w:val="24"/>
          <w:szCs w:val="24"/>
        </w:rPr>
        <w:t xml:space="preserve">că </w:t>
      </w:r>
      <w:r w:rsidRPr="008179F9">
        <w:rPr>
          <w:rFonts w:ascii="Times New Roman" w:hAnsi="Times New Roman" w:cs="Times New Roman"/>
          <w:i/>
          <w:sz w:val="24"/>
          <w:szCs w:val="24"/>
        </w:rPr>
        <w:t xml:space="preserve">gradul de implementare este </w:t>
      </w:r>
      <w:r w:rsidR="001172E7" w:rsidRPr="008179F9">
        <w:rPr>
          <w:rFonts w:ascii="Times New Roman" w:hAnsi="Times New Roman" w:cs="Times New Roman"/>
          <w:i/>
          <w:sz w:val="24"/>
          <w:szCs w:val="24"/>
        </w:rPr>
        <w:t>de</w:t>
      </w:r>
      <w:r w:rsidR="00CC1B3D" w:rsidRPr="008179F9">
        <w:rPr>
          <w:rFonts w:ascii="Times New Roman" w:hAnsi="Times New Roman" w:cs="Times New Roman"/>
          <w:i/>
          <w:sz w:val="24"/>
          <w:szCs w:val="24"/>
        </w:rPr>
        <w:t xml:space="preserve"> 50%</w:t>
      </w:r>
      <w:r w:rsidR="004467C5" w:rsidRPr="008179F9">
        <w:rPr>
          <w:rFonts w:ascii="Times New Roman" w:hAnsi="Times New Roman" w:cs="Times New Roman"/>
          <w:i/>
          <w:sz w:val="24"/>
          <w:szCs w:val="24"/>
        </w:rPr>
        <w:t xml:space="preserve"> sau mai mic de 50%,</w:t>
      </w:r>
      <w:r w:rsidR="00CC1B3D" w:rsidRPr="008179F9">
        <w:rPr>
          <w:rFonts w:ascii="Times New Roman" w:hAnsi="Times New Roman" w:cs="Times New Roman"/>
          <w:i/>
          <w:sz w:val="24"/>
          <w:szCs w:val="24"/>
        </w:rPr>
        <w:t xml:space="preserve"> </w:t>
      </w:r>
      <w:r w:rsidR="004467C5" w:rsidRPr="008179F9">
        <w:rPr>
          <w:rFonts w:ascii="Times New Roman" w:hAnsi="Times New Roman" w:cs="Times New Roman"/>
          <w:i/>
          <w:sz w:val="24"/>
          <w:szCs w:val="24"/>
        </w:rPr>
        <w:t xml:space="preserve">iar </w:t>
      </w:r>
      <w:r w:rsidR="00CC1B3D" w:rsidRPr="008179F9">
        <w:rPr>
          <w:rFonts w:ascii="Times New Roman" w:hAnsi="Times New Roman" w:cs="Times New Roman"/>
          <w:i/>
          <w:sz w:val="24"/>
          <w:szCs w:val="24"/>
        </w:rPr>
        <w:t>sistemul de control intern managerial al entității publice este NECONFORM.</w:t>
      </w:r>
      <w:r w:rsidRPr="008179F9">
        <w:rPr>
          <w:rFonts w:ascii="Times New Roman" w:hAnsi="Times New Roman" w:cs="Times New Roman"/>
          <w:i/>
          <w:sz w:val="24"/>
          <w:szCs w:val="24"/>
        </w:rPr>
        <w:t xml:space="preserve"> </w:t>
      </w:r>
    </w:p>
    <w:p w:rsidR="00DA6192" w:rsidRPr="001B2B79" w:rsidRDefault="00DA6192" w:rsidP="00F304FE">
      <w:pPr>
        <w:tabs>
          <w:tab w:val="left" w:pos="7938"/>
        </w:tabs>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Din cele 16 standarde de control intern managerial, implementate în cadrul entităților publice centrale,  </w:t>
      </w:r>
      <w:r w:rsidR="004252E9" w:rsidRPr="001B2B79">
        <w:rPr>
          <w:rFonts w:ascii="Times New Roman" w:hAnsi="Times New Roman" w:cs="Times New Roman"/>
          <w:sz w:val="24"/>
          <w:szCs w:val="24"/>
        </w:rPr>
        <w:t>DCIMRI constată că</w:t>
      </w:r>
      <w:r w:rsidRPr="001B2B79">
        <w:rPr>
          <w:rFonts w:ascii="Times New Roman" w:hAnsi="Times New Roman" w:cs="Times New Roman"/>
          <w:sz w:val="24"/>
          <w:szCs w:val="24"/>
        </w:rPr>
        <w:t>:</w:t>
      </w:r>
      <w:r w:rsidR="004252E9" w:rsidRPr="001B2B79">
        <w:rPr>
          <w:rFonts w:ascii="Times New Roman" w:hAnsi="Times New Roman" w:cs="Times New Roman"/>
          <w:sz w:val="24"/>
          <w:szCs w:val="24"/>
        </w:rPr>
        <w:t xml:space="preserve"> </w:t>
      </w:r>
    </w:p>
    <w:p w:rsidR="004252E9" w:rsidRPr="00F304FE" w:rsidRDefault="004D47D0" w:rsidP="00F304FE">
      <w:pPr>
        <w:tabs>
          <w:tab w:val="left" w:pos="7938"/>
        </w:tabs>
        <w:spacing w:after="0" w:line="276" w:lineRule="auto"/>
        <w:jc w:val="both"/>
        <w:rPr>
          <w:rFonts w:ascii="Times New Roman" w:hAnsi="Times New Roman" w:cs="Times New Roman"/>
          <w:b/>
          <w:i/>
          <w:sz w:val="24"/>
          <w:szCs w:val="24"/>
        </w:rPr>
      </w:pPr>
      <w:r w:rsidRPr="00F304FE">
        <w:rPr>
          <w:rFonts w:ascii="Times New Roman" w:hAnsi="Times New Roman" w:cs="Times New Roman"/>
          <w:b/>
          <w:i/>
          <w:sz w:val="24"/>
          <w:szCs w:val="24"/>
        </w:rPr>
        <w:t>5</w:t>
      </w:r>
      <w:r w:rsidR="00A23EB8" w:rsidRPr="00F304FE">
        <w:rPr>
          <w:rFonts w:ascii="Times New Roman" w:hAnsi="Times New Roman" w:cs="Times New Roman"/>
          <w:b/>
          <w:i/>
          <w:sz w:val="24"/>
          <w:szCs w:val="24"/>
        </w:rPr>
        <w:t xml:space="preserve"> standard</w:t>
      </w:r>
      <w:r w:rsidR="006F24DD" w:rsidRPr="00F304FE">
        <w:rPr>
          <w:rFonts w:ascii="Times New Roman" w:hAnsi="Times New Roman" w:cs="Times New Roman"/>
          <w:b/>
          <w:i/>
          <w:sz w:val="24"/>
          <w:szCs w:val="24"/>
        </w:rPr>
        <w:t>e</w:t>
      </w:r>
      <w:r w:rsidR="00411F9F" w:rsidRPr="00F304FE">
        <w:rPr>
          <w:rFonts w:ascii="Times New Roman" w:hAnsi="Times New Roman" w:cs="Times New Roman"/>
          <w:b/>
          <w:i/>
          <w:sz w:val="24"/>
          <w:szCs w:val="24"/>
        </w:rPr>
        <w:t xml:space="preserve"> </w:t>
      </w:r>
      <w:r w:rsidR="006F24DD" w:rsidRPr="00F304FE">
        <w:rPr>
          <w:rFonts w:ascii="Times New Roman" w:hAnsi="Times New Roman" w:cs="Times New Roman"/>
          <w:b/>
          <w:i/>
          <w:sz w:val="24"/>
          <w:szCs w:val="24"/>
        </w:rPr>
        <w:t>au</w:t>
      </w:r>
      <w:r w:rsidR="00411F9F" w:rsidRPr="00F304FE">
        <w:rPr>
          <w:rFonts w:ascii="Times New Roman" w:hAnsi="Times New Roman" w:cs="Times New Roman"/>
          <w:b/>
          <w:i/>
          <w:sz w:val="24"/>
          <w:szCs w:val="24"/>
        </w:rPr>
        <w:t xml:space="preserve"> un grad mare de implementare</w:t>
      </w:r>
      <w:r w:rsidR="008179F9" w:rsidRPr="00F304FE">
        <w:rPr>
          <w:rFonts w:ascii="Times New Roman" w:hAnsi="Times New Roman" w:cs="Times New Roman"/>
          <w:b/>
          <w:i/>
          <w:sz w:val="24"/>
          <w:szCs w:val="24"/>
        </w:rPr>
        <w:t xml:space="preserve"> de</w:t>
      </w:r>
      <w:r w:rsidR="004252E9" w:rsidRPr="00F304FE">
        <w:rPr>
          <w:rFonts w:ascii="Times New Roman" w:hAnsi="Times New Roman" w:cs="Times New Roman"/>
          <w:b/>
          <w:i/>
          <w:sz w:val="24"/>
          <w:szCs w:val="24"/>
        </w:rPr>
        <w:t xml:space="preserve"> </w:t>
      </w:r>
      <w:r w:rsidR="00485D9D" w:rsidRPr="00F304FE">
        <w:rPr>
          <w:rFonts w:ascii="Times New Roman" w:hAnsi="Times New Roman" w:cs="Times New Roman"/>
          <w:b/>
          <w:i/>
          <w:sz w:val="24"/>
          <w:szCs w:val="24"/>
        </w:rPr>
        <w:t>peste 95%</w:t>
      </w:r>
    </w:p>
    <w:p w:rsidR="004D47D0" w:rsidRPr="001B2B79" w:rsidRDefault="004252E9" w:rsidP="00C7604C">
      <w:pPr>
        <w:pStyle w:val="ListParagraph"/>
        <w:numPr>
          <w:ilvl w:val="0"/>
          <w:numId w:val="4"/>
        </w:numPr>
        <w:tabs>
          <w:tab w:val="left" w:pos="7655"/>
        </w:tabs>
        <w:spacing w:line="276" w:lineRule="auto"/>
        <w:jc w:val="both"/>
        <w:rPr>
          <w:rFonts w:ascii="Times New Roman" w:hAnsi="Times New Roman" w:cs="Times New Roman"/>
          <w:i/>
          <w:sz w:val="24"/>
          <w:szCs w:val="24"/>
        </w:rPr>
      </w:pPr>
      <w:r w:rsidRPr="001B2B79">
        <w:rPr>
          <w:rFonts w:ascii="Times New Roman" w:hAnsi="Times New Roman" w:cs="Times New Roman"/>
          <w:i/>
          <w:sz w:val="24"/>
          <w:szCs w:val="24"/>
        </w:rPr>
        <w:t>Standardul</w:t>
      </w:r>
      <w:r w:rsidR="004D47D0" w:rsidRPr="001B2B79">
        <w:rPr>
          <w:rFonts w:ascii="Times New Roman" w:hAnsi="Times New Roman" w:cs="Times New Roman"/>
          <w:i/>
          <w:sz w:val="24"/>
          <w:szCs w:val="24"/>
        </w:rPr>
        <w:t xml:space="preserve">   </w:t>
      </w:r>
      <w:r w:rsidRPr="001B2B79">
        <w:rPr>
          <w:rFonts w:ascii="Times New Roman" w:hAnsi="Times New Roman" w:cs="Times New Roman"/>
          <w:i/>
          <w:sz w:val="24"/>
          <w:szCs w:val="24"/>
        </w:rPr>
        <w:t xml:space="preserve">1 – </w:t>
      </w:r>
      <w:r w:rsidRPr="001B2B79">
        <w:rPr>
          <w:rFonts w:ascii="Times New Roman" w:hAnsi="Times New Roman" w:cs="Times New Roman"/>
          <w:sz w:val="24"/>
          <w:szCs w:val="24"/>
        </w:rPr>
        <w:t>Eti</w:t>
      </w:r>
      <w:r w:rsidR="00E000DA" w:rsidRPr="001B2B79">
        <w:rPr>
          <w:rFonts w:ascii="Times New Roman" w:hAnsi="Times New Roman" w:cs="Times New Roman"/>
          <w:sz w:val="24"/>
          <w:szCs w:val="24"/>
        </w:rPr>
        <w:t>ca și</w:t>
      </w:r>
      <w:r w:rsidRPr="001B2B79">
        <w:rPr>
          <w:rFonts w:ascii="Times New Roman" w:hAnsi="Times New Roman" w:cs="Times New Roman"/>
          <w:sz w:val="24"/>
          <w:szCs w:val="24"/>
        </w:rPr>
        <w:t xml:space="preserve"> integritate</w:t>
      </w:r>
      <w:r w:rsidR="00E000DA" w:rsidRPr="001B2B79">
        <w:rPr>
          <w:rFonts w:ascii="Times New Roman" w:hAnsi="Times New Roman" w:cs="Times New Roman"/>
          <w:sz w:val="24"/>
          <w:szCs w:val="24"/>
        </w:rPr>
        <w:t>a</w:t>
      </w:r>
      <w:r w:rsidRPr="001B2B79">
        <w:rPr>
          <w:rFonts w:ascii="Times New Roman" w:hAnsi="Times New Roman" w:cs="Times New Roman"/>
          <w:i/>
          <w:sz w:val="24"/>
          <w:szCs w:val="24"/>
        </w:rPr>
        <w:t xml:space="preserve"> ......</w:t>
      </w:r>
      <w:r w:rsidR="00E000DA" w:rsidRPr="001B2B79">
        <w:rPr>
          <w:rFonts w:ascii="Times New Roman" w:hAnsi="Times New Roman" w:cs="Times New Roman"/>
          <w:i/>
          <w:sz w:val="24"/>
          <w:szCs w:val="24"/>
        </w:rPr>
        <w:t>............</w:t>
      </w:r>
      <w:r w:rsidR="00591B87" w:rsidRPr="001B2B79">
        <w:rPr>
          <w:rFonts w:ascii="Times New Roman" w:hAnsi="Times New Roman" w:cs="Times New Roman"/>
          <w:i/>
          <w:sz w:val="24"/>
          <w:szCs w:val="24"/>
        </w:rPr>
        <w:t>....................</w:t>
      </w:r>
      <w:r w:rsidR="002306CF" w:rsidRPr="001B2B79">
        <w:rPr>
          <w:rFonts w:ascii="Times New Roman" w:hAnsi="Times New Roman" w:cs="Times New Roman"/>
          <w:i/>
          <w:sz w:val="24"/>
          <w:szCs w:val="24"/>
        </w:rPr>
        <w:t>....</w:t>
      </w:r>
      <w:r w:rsidR="00E000DA" w:rsidRPr="001B2B79">
        <w:rPr>
          <w:rFonts w:ascii="Times New Roman" w:hAnsi="Times New Roman" w:cs="Times New Roman"/>
          <w:i/>
          <w:sz w:val="24"/>
          <w:szCs w:val="24"/>
        </w:rPr>
        <w:t>..</w:t>
      </w:r>
      <w:r w:rsidR="00F97D81" w:rsidRPr="001B2B79">
        <w:rPr>
          <w:rFonts w:ascii="Times New Roman" w:hAnsi="Times New Roman" w:cs="Times New Roman"/>
          <w:i/>
          <w:sz w:val="24"/>
          <w:szCs w:val="24"/>
        </w:rPr>
        <w:t>...</w:t>
      </w:r>
      <w:r w:rsidR="00E000DA" w:rsidRPr="001B2B79">
        <w:rPr>
          <w:rFonts w:ascii="Times New Roman" w:hAnsi="Times New Roman" w:cs="Times New Roman"/>
          <w:i/>
          <w:sz w:val="24"/>
          <w:szCs w:val="24"/>
        </w:rPr>
        <w:t>..</w:t>
      </w:r>
      <w:r w:rsidRPr="001B2B79">
        <w:rPr>
          <w:rFonts w:ascii="Times New Roman" w:hAnsi="Times New Roman" w:cs="Times New Roman"/>
          <w:i/>
          <w:sz w:val="24"/>
          <w:szCs w:val="24"/>
        </w:rPr>
        <w:t>..</w:t>
      </w:r>
      <w:r w:rsidR="006F24DD" w:rsidRPr="001B2B79">
        <w:rPr>
          <w:rFonts w:ascii="Times New Roman" w:hAnsi="Times New Roman" w:cs="Times New Roman"/>
          <w:i/>
          <w:sz w:val="24"/>
          <w:szCs w:val="24"/>
        </w:rPr>
        <w:t>.</w:t>
      </w:r>
      <w:r w:rsidR="00DA6192" w:rsidRPr="001B2B79">
        <w:rPr>
          <w:rFonts w:ascii="Times New Roman" w:hAnsi="Times New Roman" w:cs="Times New Roman"/>
          <w:i/>
          <w:sz w:val="24"/>
          <w:szCs w:val="24"/>
        </w:rPr>
        <w:t>...</w:t>
      </w:r>
      <w:r w:rsidR="004D47D0" w:rsidRPr="001B2B79">
        <w:rPr>
          <w:rFonts w:ascii="Times New Roman" w:hAnsi="Times New Roman" w:cs="Times New Roman"/>
          <w:sz w:val="24"/>
          <w:szCs w:val="24"/>
        </w:rPr>
        <w:t>96,21</w:t>
      </w:r>
      <w:r w:rsidRPr="001B2B79">
        <w:rPr>
          <w:rFonts w:ascii="Times New Roman" w:hAnsi="Times New Roman" w:cs="Times New Roman"/>
          <w:sz w:val="24"/>
          <w:szCs w:val="24"/>
        </w:rPr>
        <w:t>%</w:t>
      </w:r>
    </w:p>
    <w:p w:rsidR="004D47D0" w:rsidRPr="001B2B79" w:rsidRDefault="004D47D0" w:rsidP="00C7604C">
      <w:pPr>
        <w:pStyle w:val="ListParagraph"/>
        <w:numPr>
          <w:ilvl w:val="0"/>
          <w:numId w:val="4"/>
        </w:numPr>
        <w:spacing w:line="276" w:lineRule="auto"/>
        <w:jc w:val="both"/>
        <w:rPr>
          <w:rFonts w:ascii="Times New Roman" w:hAnsi="Times New Roman" w:cs="Times New Roman"/>
          <w:i/>
          <w:sz w:val="24"/>
          <w:szCs w:val="24"/>
        </w:rPr>
      </w:pPr>
      <w:r w:rsidRPr="001B2B79">
        <w:rPr>
          <w:rFonts w:ascii="Times New Roman" w:hAnsi="Times New Roman" w:cs="Times New Roman"/>
          <w:i/>
          <w:sz w:val="24"/>
          <w:szCs w:val="24"/>
        </w:rPr>
        <w:t>Standardul   4 –</w:t>
      </w:r>
      <w:r w:rsidRPr="001B2B79">
        <w:rPr>
          <w:rFonts w:ascii="Times New Roman" w:hAnsi="Times New Roman" w:cs="Times New Roman"/>
          <w:sz w:val="24"/>
          <w:szCs w:val="24"/>
          <w:lang w:val="en-US"/>
        </w:rPr>
        <w:t xml:space="preserve"> Structura organizatorică ............................................</w:t>
      </w:r>
      <w:r w:rsidR="00DA6192" w:rsidRPr="001B2B79">
        <w:rPr>
          <w:rFonts w:ascii="Times New Roman" w:hAnsi="Times New Roman" w:cs="Times New Roman"/>
          <w:sz w:val="24"/>
          <w:szCs w:val="24"/>
          <w:lang w:val="en-US"/>
        </w:rPr>
        <w:t>...</w:t>
      </w:r>
      <w:r w:rsidRPr="001B2B79">
        <w:rPr>
          <w:rFonts w:ascii="Times New Roman" w:hAnsi="Times New Roman" w:cs="Times New Roman"/>
          <w:sz w:val="24"/>
          <w:szCs w:val="24"/>
        </w:rPr>
        <w:t>95,58%</w:t>
      </w:r>
    </w:p>
    <w:p w:rsidR="004D47D0" w:rsidRPr="001B2B79" w:rsidRDefault="004D47D0" w:rsidP="00C7604C">
      <w:pPr>
        <w:pStyle w:val="ListParagraph"/>
        <w:numPr>
          <w:ilvl w:val="0"/>
          <w:numId w:val="4"/>
        </w:numPr>
        <w:spacing w:line="276" w:lineRule="auto"/>
        <w:jc w:val="both"/>
        <w:rPr>
          <w:rFonts w:ascii="Times New Roman" w:hAnsi="Times New Roman" w:cs="Times New Roman"/>
          <w:i/>
          <w:sz w:val="24"/>
          <w:szCs w:val="24"/>
        </w:rPr>
      </w:pPr>
      <w:r w:rsidRPr="001B2B79">
        <w:rPr>
          <w:rFonts w:ascii="Times New Roman" w:hAnsi="Times New Roman" w:cs="Times New Roman"/>
          <w:i/>
          <w:sz w:val="24"/>
          <w:szCs w:val="24"/>
        </w:rPr>
        <w:t>Standardul   6 –</w:t>
      </w:r>
      <w:r w:rsidRPr="001B2B79">
        <w:rPr>
          <w:rFonts w:ascii="Times New Roman" w:hAnsi="Times New Roman" w:cs="Times New Roman"/>
          <w:sz w:val="24"/>
          <w:szCs w:val="24"/>
          <w:lang w:val="en-US"/>
        </w:rPr>
        <w:t xml:space="preserve"> Planificarea ................................................................</w:t>
      </w:r>
      <w:r w:rsidR="00DA6192" w:rsidRPr="001B2B79">
        <w:rPr>
          <w:rFonts w:ascii="Times New Roman" w:hAnsi="Times New Roman" w:cs="Times New Roman"/>
          <w:sz w:val="24"/>
          <w:szCs w:val="24"/>
          <w:lang w:val="en-US"/>
        </w:rPr>
        <w:t>...</w:t>
      </w:r>
      <w:r w:rsidRPr="001B2B79">
        <w:rPr>
          <w:rFonts w:ascii="Times New Roman" w:hAnsi="Times New Roman" w:cs="Times New Roman"/>
          <w:sz w:val="24"/>
          <w:szCs w:val="24"/>
        </w:rPr>
        <w:t>95,18%</w:t>
      </w:r>
    </w:p>
    <w:p w:rsidR="004D47D0" w:rsidRPr="001B2B79" w:rsidRDefault="004D47D0" w:rsidP="00C7604C">
      <w:pPr>
        <w:pStyle w:val="ListParagraph"/>
        <w:numPr>
          <w:ilvl w:val="0"/>
          <w:numId w:val="4"/>
        </w:numPr>
        <w:spacing w:line="276" w:lineRule="auto"/>
        <w:jc w:val="both"/>
        <w:rPr>
          <w:rFonts w:ascii="Times New Roman" w:hAnsi="Times New Roman" w:cs="Times New Roman"/>
          <w:i/>
          <w:sz w:val="24"/>
          <w:szCs w:val="24"/>
        </w:rPr>
      </w:pPr>
      <w:r w:rsidRPr="001B2B79">
        <w:rPr>
          <w:rFonts w:ascii="Times New Roman" w:hAnsi="Times New Roman" w:cs="Times New Roman"/>
          <w:i/>
          <w:sz w:val="24"/>
          <w:szCs w:val="24"/>
        </w:rPr>
        <w:t xml:space="preserve">Standardul 12 – </w:t>
      </w:r>
      <w:r w:rsidRPr="001B2B79">
        <w:rPr>
          <w:rFonts w:ascii="Times New Roman" w:hAnsi="Times New Roman" w:cs="Times New Roman"/>
          <w:sz w:val="24"/>
          <w:szCs w:val="24"/>
        </w:rPr>
        <w:t>Informarea și comunicarea</w:t>
      </w:r>
      <w:r w:rsidRPr="001B2B79">
        <w:rPr>
          <w:rFonts w:ascii="Times New Roman" w:hAnsi="Times New Roman" w:cs="Times New Roman"/>
          <w:i/>
          <w:sz w:val="24"/>
          <w:szCs w:val="24"/>
        </w:rPr>
        <w:t xml:space="preserve"> ........................................</w:t>
      </w:r>
      <w:r w:rsidR="00DA6192" w:rsidRPr="001B2B79">
        <w:rPr>
          <w:rFonts w:ascii="Times New Roman" w:hAnsi="Times New Roman" w:cs="Times New Roman"/>
          <w:i/>
          <w:sz w:val="24"/>
          <w:szCs w:val="24"/>
        </w:rPr>
        <w:t>...</w:t>
      </w:r>
      <w:r w:rsidRPr="001B2B79">
        <w:rPr>
          <w:rFonts w:ascii="Times New Roman" w:hAnsi="Times New Roman" w:cs="Times New Roman"/>
          <w:sz w:val="24"/>
          <w:szCs w:val="24"/>
        </w:rPr>
        <w:t>95,82%</w:t>
      </w:r>
      <w:r w:rsidR="004252E9" w:rsidRPr="001B2B79">
        <w:rPr>
          <w:rFonts w:ascii="Times New Roman" w:hAnsi="Times New Roman" w:cs="Times New Roman"/>
          <w:i/>
          <w:sz w:val="24"/>
          <w:szCs w:val="24"/>
        </w:rPr>
        <w:t xml:space="preserve"> </w:t>
      </w:r>
    </w:p>
    <w:p w:rsidR="004D47D0" w:rsidRPr="001B2B79" w:rsidRDefault="004D47D0" w:rsidP="00C7604C">
      <w:pPr>
        <w:pStyle w:val="ListParagraph"/>
        <w:numPr>
          <w:ilvl w:val="0"/>
          <w:numId w:val="4"/>
        </w:numPr>
        <w:spacing w:after="120" w:line="276" w:lineRule="auto"/>
        <w:ind w:left="1066" w:hanging="357"/>
        <w:contextualSpacing w:val="0"/>
        <w:jc w:val="both"/>
        <w:rPr>
          <w:rFonts w:ascii="Times New Roman" w:hAnsi="Times New Roman" w:cs="Times New Roman"/>
          <w:i/>
          <w:sz w:val="24"/>
          <w:szCs w:val="24"/>
        </w:rPr>
      </w:pPr>
      <w:r w:rsidRPr="001B2B79">
        <w:rPr>
          <w:rFonts w:ascii="Times New Roman" w:hAnsi="Times New Roman" w:cs="Times New Roman"/>
          <w:i/>
          <w:sz w:val="24"/>
          <w:szCs w:val="24"/>
        </w:rPr>
        <w:t>Standardul 14 –</w:t>
      </w:r>
      <w:r w:rsidRPr="001B2B79">
        <w:rPr>
          <w:rFonts w:ascii="Times New Roman" w:hAnsi="Times New Roman" w:cs="Times New Roman"/>
          <w:sz w:val="24"/>
          <w:szCs w:val="24"/>
          <w:lang w:val="en-US"/>
        </w:rPr>
        <w:t xml:space="preserve"> Raportarea contabilă şi financiară .............................</w:t>
      </w:r>
      <w:r w:rsidR="00DA6192" w:rsidRPr="001B2B79">
        <w:rPr>
          <w:rFonts w:ascii="Times New Roman" w:hAnsi="Times New Roman" w:cs="Times New Roman"/>
          <w:sz w:val="24"/>
          <w:szCs w:val="24"/>
          <w:lang w:val="en-US"/>
        </w:rPr>
        <w:t>...</w:t>
      </w:r>
      <w:r w:rsidRPr="001B2B79">
        <w:rPr>
          <w:rFonts w:ascii="Times New Roman" w:hAnsi="Times New Roman" w:cs="Times New Roman"/>
          <w:sz w:val="24"/>
          <w:szCs w:val="24"/>
        </w:rPr>
        <w:t>95,92%</w:t>
      </w:r>
    </w:p>
    <w:p w:rsidR="004252E9" w:rsidRPr="00F304FE" w:rsidRDefault="00DA6192" w:rsidP="00F304FE">
      <w:pPr>
        <w:spacing w:after="0" w:line="276" w:lineRule="auto"/>
        <w:jc w:val="both"/>
        <w:rPr>
          <w:rFonts w:ascii="Times New Roman" w:hAnsi="Times New Roman" w:cs="Times New Roman"/>
          <w:b/>
          <w:i/>
          <w:sz w:val="24"/>
          <w:szCs w:val="24"/>
        </w:rPr>
      </w:pPr>
      <w:r w:rsidRPr="00F304FE">
        <w:rPr>
          <w:rFonts w:ascii="Times New Roman" w:hAnsi="Times New Roman" w:cs="Times New Roman"/>
          <w:b/>
          <w:sz w:val="24"/>
          <w:szCs w:val="24"/>
        </w:rPr>
        <w:t>5 standarde</w:t>
      </w:r>
      <w:r w:rsidR="00411F9F" w:rsidRPr="00F304FE">
        <w:rPr>
          <w:rFonts w:ascii="Times New Roman" w:hAnsi="Times New Roman" w:cs="Times New Roman"/>
          <w:b/>
          <w:i/>
          <w:sz w:val="24"/>
          <w:szCs w:val="24"/>
        </w:rPr>
        <w:t xml:space="preserve"> a</w:t>
      </w:r>
      <w:r w:rsidR="004252E9" w:rsidRPr="00F304FE">
        <w:rPr>
          <w:rFonts w:ascii="Times New Roman" w:hAnsi="Times New Roman" w:cs="Times New Roman"/>
          <w:b/>
          <w:i/>
          <w:sz w:val="24"/>
          <w:szCs w:val="24"/>
        </w:rPr>
        <w:t xml:space="preserve">u un grad </w:t>
      </w:r>
      <w:r w:rsidR="004252E9" w:rsidRPr="00F304FE">
        <w:rPr>
          <w:rFonts w:ascii="Times New Roman" w:hAnsi="Times New Roman" w:cs="Times New Roman"/>
          <w:b/>
          <w:i/>
          <w:sz w:val="24"/>
          <w:szCs w:val="24"/>
          <w:shd w:val="clear" w:color="auto" w:fill="FFFFFF" w:themeFill="background1"/>
        </w:rPr>
        <w:t>de implementare</w:t>
      </w:r>
      <w:r w:rsidR="00411F9F" w:rsidRPr="00F304FE">
        <w:rPr>
          <w:rFonts w:ascii="Times New Roman" w:hAnsi="Times New Roman" w:cs="Times New Roman"/>
          <w:b/>
          <w:i/>
          <w:sz w:val="24"/>
          <w:szCs w:val="24"/>
          <w:shd w:val="clear" w:color="auto" w:fill="FFFFFF" w:themeFill="background1"/>
        </w:rPr>
        <w:t xml:space="preserve"> </w:t>
      </w:r>
      <w:r w:rsidR="008179F9" w:rsidRPr="00F304FE">
        <w:rPr>
          <w:rFonts w:ascii="Times New Roman" w:hAnsi="Times New Roman" w:cs="Times New Roman"/>
          <w:b/>
          <w:i/>
          <w:sz w:val="24"/>
          <w:szCs w:val="24"/>
          <w:shd w:val="clear" w:color="auto" w:fill="FFFFFF" w:themeFill="background1"/>
        </w:rPr>
        <w:t xml:space="preserve">de </w:t>
      </w:r>
      <w:r w:rsidR="00411F9F" w:rsidRPr="00F304FE">
        <w:rPr>
          <w:rFonts w:ascii="Times New Roman" w:hAnsi="Times New Roman" w:cs="Times New Roman"/>
          <w:b/>
          <w:i/>
          <w:sz w:val="24"/>
          <w:szCs w:val="24"/>
          <w:shd w:val="clear" w:color="auto" w:fill="FFFFFF" w:themeFill="background1"/>
        </w:rPr>
        <w:t>peste 90%</w:t>
      </w:r>
    </w:p>
    <w:p w:rsidR="00E000DA" w:rsidRPr="001B2B79" w:rsidRDefault="00E000DA" w:rsidP="00C7604C">
      <w:pPr>
        <w:pStyle w:val="ListParagraph"/>
        <w:numPr>
          <w:ilvl w:val="0"/>
          <w:numId w:val="4"/>
        </w:numPr>
        <w:spacing w:line="276" w:lineRule="auto"/>
        <w:jc w:val="both"/>
        <w:rPr>
          <w:rFonts w:ascii="Times New Roman" w:hAnsi="Times New Roman" w:cs="Times New Roman"/>
          <w:i/>
          <w:sz w:val="24"/>
          <w:szCs w:val="24"/>
        </w:rPr>
      </w:pPr>
      <w:r w:rsidRPr="001B2B79">
        <w:rPr>
          <w:rFonts w:ascii="Times New Roman" w:hAnsi="Times New Roman" w:cs="Times New Roman"/>
          <w:i/>
          <w:sz w:val="24"/>
          <w:szCs w:val="24"/>
        </w:rPr>
        <w:t xml:space="preserve">Standardul </w:t>
      </w:r>
      <w:r w:rsidR="006F24DD" w:rsidRPr="001B2B79">
        <w:rPr>
          <w:rFonts w:ascii="Times New Roman" w:hAnsi="Times New Roman" w:cs="Times New Roman"/>
          <w:i/>
          <w:sz w:val="24"/>
          <w:szCs w:val="24"/>
        </w:rPr>
        <w:t xml:space="preserve">  2</w:t>
      </w:r>
      <w:r w:rsidRPr="001B2B79">
        <w:rPr>
          <w:rFonts w:ascii="Times New Roman" w:hAnsi="Times New Roman" w:cs="Times New Roman"/>
          <w:i/>
          <w:sz w:val="24"/>
          <w:szCs w:val="24"/>
        </w:rPr>
        <w:t xml:space="preserve"> –</w:t>
      </w:r>
      <w:r w:rsidRPr="001B2B79">
        <w:rPr>
          <w:rFonts w:ascii="Times New Roman" w:hAnsi="Times New Roman" w:cs="Times New Roman"/>
          <w:sz w:val="24"/>
          <w:szCs w:val="24"/>
          <w:lang w:val="en-US"/>
        </w:rPr>
        <w:t xml:space="preserve"> </w:t>
      </w:r>
      <w:r w:rsidR="006F24DD" w:rsidRPr="001B2B79">
        <w:rPr>
          <w:rFonts w:ascii="Times New Roman" w:hAnsi="Times New Roman" w:cs="Times New Roman"/>
          <w:sz w:val="24"/>
          <w:szCs w:val="24"/>
          <w:lang w:val="en-US"/>
        </w:rPr>
        <w:t>Atribuții, funcții, sarcini</w:t>
      </w:r>
      <w:r w:rsidRPr="001B2B79">
        <w:rPr>
          <w:rFonts w:ascii="Times New Roman" w:hAnsi="Times New Roman" w:cs="Times New Roman"/>
          <w:sz w:val="24"/>
          <w:szCs w:val="24"/>
          <w:lang w:val="en-US"/>
        </w:rPr>
        <w:t xml:space="preserve"> .........................................</w:t>
      </w:r>
      <w:r w:rsidR="00F97D81" w:rsidRPr="001B2B79">
        <w:rPr>
          <w:rFonts w:ascii="Times New Roman" w:hAnsi="Times New Roman" w:cs="Times New Roman"/>
          <w:sz w:val="24"/>
          <w:szCs w:val="24"/>
          <w:lang w:val="en-US"/>
        </w:rPr>
        <w:t>.</w:t>
      </w:r>
      <w:r w:rsidRPr="001B2B79">
        <w:rPr>
          <w:rFonts w:ascii="Times New Roman" w:hAnsi="Times New Roman" w:cs="Times New Roman"/>
          <w:sz w:val="24"/>
          <w:szCs w:val="24"/>
          <w:lang w:val="en-US"/>
        </w:rPr>
        <w:t>...</w:t>
      </w:r>
      <w:r w:rsidR="006F24DD" w:rsidRPr="001B2B79">
        <w:rPr>
          <w:rFonts w:ascii="Times New Roman" w:hAnsi="Times New Roman" w:cs="Times New Roman"/>
          <w:sz w:val="24"/>
          <w:szCs w:val="24"/>
          <w:lang w:val="en-US"/>
        </w:rPr>
        <w:t>...</w:t>
      </w:r>
      <w:r w:rsidR="006F24DD" w:rsidRPr="001B2B79">
        <w:rPr>
          <w:rFonts w:ascii="Times New Roman" w:hAnsi="Times New Roman" w:cs="Times New Roman"/>
          <w:sz w:val="24"/>
          <w:szCs w:val="24"/>
        </w:rPr>
        <w:t>90,41</w:t>
      </w:r>
      <w:r w:rsidRPr="001B2B79">
        <w:rPr>
          <w:rFonts w:ascii="Times New Roman" w:hAnsi="Times New Roman" w:cs="Times New Roman"/>
          <w:sz w:val="24"/>
          <w:szCs w:val="24"/>
        </w:rPr>
        <w:t>%</w:t>
      </w:r>
    </w:p>
    <w:p w:rsidR="006F24DD" w:rsidRPr="001B2B79" w:rsidRDefault="006F24DD" w:rsidP="00C7604C">
      <w:pPr>
        <w:pStyle w:val="ListParagraph"/>
        <w:numPr>
          <w:ilvl w:val="0"/>
          <w:numId w:val="4"/>
        </w:numPr>
        <w:spacing w:line="276" w:lineRule="auto"/>
        <w:rPr>
          <w:rFonts w:ascii="Times New Roman" w:hAnsi="Times New Roman" w:cs="Times New Roman"/>
          <w:sz w:val="24"/>
          <w:szCs w:val="24"/>
        </w:rPr>
      </w:pPr>
      <w:r w:rsidRPr="001B2B79">
        <w:rPr>
          <w:rFonts w:ascii="Times New Roman" w:hAnsi="Times New Roman" w:cs="Times New Roman"/>
          <w:i/>
          <w:sz w:val="24"/>
          <w:szCs w:val="24"/>
        </w:rPr>
        <w:t>Standardul   3</w:t>
      </w:r>
      <w:r w:rsidRPr="001B2B79">
        <w:rPr>
          <w:rFonts w:ascii="Times New Roman" w:hAnsi="Times New Roman" w:cs="Times New Roman"/>
          <w:sz w:val="24"/>
          <w:szCs w:val="24"/>
        </w:rPr>
        <w:t xml:space="preserve"> – Competenţa, performanţa ............................................. 93,</w:t>
      </w:r>
      <w:r w:rsidR="00D306E5" w:rsidRPr="001B2B79">
        <w:rPr>
          <w:rFonts w:ascii="Times New Roman" w:hAnsi="Times New Roman" w:cs="Times New Roman"/>
          <w:sz w:val="24"/>
          <w:szCs w:val="24"/>
        </w:rPr>
        <w:t>41</w:t>
      </w:r>
      <w:r w:rsidRPr="001B2B79">
        <w:rPr>
          <w:rFonts w:ascii="Times New Roman" w:hAnsi="Times New Roman" w:cs="Times New Roman"/>
          <w:sz w:val="24"/>
          <w:szCs w:val="24"/>
        </w:rPr>
        <w:t>%</w:t>
      </w:r>
    </w:p>
    <w:p w:rsidR="001172E7" w:rsidRPr="001B2B79" w:rsidRDefault="001172E7" w:rsidP="00C7604C">
      <w:pPr>
        <w:pStyle w:val="ListParagraph"/>
        <w:numPr>
          <w:ilvl w:val="0"/>
          <w:numId w:val="4"/>
        </w:numPr>
        <w:spacing w:line="276" w:lineRule="auto"/>
        <w:jc w:val="both"/>
        <w:rPr>
          <w:rFonts w:ascii="Times New Roman" w:hAnsi="Times New Roman" w:cs="Times New Roman"/>
          <w:i/>
          <w:sz w:val="24"/>
          <w:szCs w:val="24"/>
        </w:rPr>
      </w:pPr>
      <w:r w:rsidRPr="001B2B79">
        <w:rPr>
          <w:rFonts w:ascii="Times New Roman" w:hAnsi="Times New Roman" w:cs="Times New Roman"/>
          <w:i/>
          <w:sz w:val="24"/>
          <w:szCs w:val="24"/>
        </w:rPr>
        <w:t xml:space="preserve">Standardul </w:t>
      </w:r>
      <w:r w:rsidR="006F24DD" w:rsidRPr="001B2B79">
        <w:rPr>
          <w:rFonts w:ascii="Times New Roman" w:hAnsi="Times New Roman" w:cs="Times New Roman"/>
          <w:i/>
          <w:sz w:val="24"/>
          <w:szCs w:val="24"/>
        </w:rPr>
        <w:t xml:space="preserve">  </w:t>
      </w:r>
      <w:r w:rsidRPr="001B2B79">
        <w:rPr>
          <w:rFonts w:ascii="Times New Roman" w:hAnsi="Times New Roman" w:cs="Times New Roman"/>
          <w:i/>
          <w:sz w:val="24"/>
          <w:szCs w:val="24"/>
        </w:rPr>
        <w:t xml:space="preserve">5 – </w:t>
      </w:r>
      <w:r w:rsidRPr="001B2B79">
        <w:rPr>
          <w:rFonts w:ascii="Times New Roman" w:hAnsi="Times New Roman" w:cs="Times New Roman"/>
          <w:sz w:val="24"/>
          <w:szCs w:val="24"/>
        </w:rPr>
        <w:t>Obiective</w:t>
      </w:r>
      <w:r w:rsidR="006F24DD" w:rsidRPr="001B2B79">
        <w:rPr>
          <w:rFonts w:ascii="Times New Roman" w:hAnsi="Times New Roman" w:cs="Times New Roman"/>
          <w:sz w:val="24"/>
          <w:szCs w:val="24"/>
        </w:rPr>
        <w:t>..........</w:t>
      </w:r>
      <w:r w:rsidRPr="001B2B79">
        <w:rPr>
          <w:rFonts w:ascii="Times New Roman" w:hAnsi="Times New Roman" w:cs="Times New Roman"/>
          <w:sz w:val="24"/>
          <w:szCs w:val="24"/>
        </w:rPr>
        <w:tab/>
      </w:r>
      <w:r w:rsidRPr="001B2B79">
        <w:rPr>
          <w:rFonts w:ascii="Times New Roman" w:hAnsi="Times New Roman" w:cs="Times New Roman"/>
          <w:i/>
          <w:sz w:val="24"/>
          <w:szCs w:val="24"/>
        </w:rPr>
        <w:t>.......................................</w:t>
      </w:r>
      <w:r w:rsidR="006F24DD" w:rsidRPr="001B2B79">
        <w:rPr>
          <w:rFonts w:ascii="Times New Roman" w:hAnsi="Times New Roman" w:cs="Times New Roman"/>
          <w:i/>
          <w:sz w:val="24"/>
          <w:szCs w:val="24"/>
        </w:rPr>
        <w:t>......................</w:t>
      </w:r>
      <w:r w:rsidR="006F24DD" w:rsidRPr="001B2B79">
        <w:rPr>
          <w:rFonts w:ascii="Times New Roman" w:hAnsi="Times New Roman" w:cs="Times New Roman"/>
          <w:sz w:val="24"/>
          <w:szCs w:val="24"/>
        </w:rPr>
        <w:t>9</w:t>
      </w:r>
      <w:r w:rsidR="00DA6192" w:rsidRPr="001B2B79">
        <w:rPr>
          <w:rFonts w:ascii="Times New Roman" w:hAnsi="Times New Roman" w:cs="Times New Roman"/>
          <w:sz w:val="24"/>
          <w:szCs w:val="24"/>
        </w:rPr>
        <w:t>2</w:t>
      </w:r>
      <w:r w:rsidR="006F24DD" w:rsidRPr="001B2B79">
        <w:rPr>
          <w:rFonts w:ascii="Times New Roman" w:hAnsi="Times New Roman" w:cs="Times New Roman"/>
          <w:sz w:val="24"/>
          <w:szCs w:val="24"/>
        </w:rPr>
        <w:t>,38%</w:t>
      </w:r>
    </w:p>
    <w:p w:rsidR="00A23EB8" w:rsidRPr="001B2B79" w:rsidRDefault="006F24DD" w:rsidP="00C7604C">
      <w:pPr>
        <w:pStyle w:val="ListParagraph"/>
        <w:numPr>
          <w:ilvl w:val="0"/>
          <w:numId w:val="4"/>
        </w:numPr>
        <w:spacing w:line="276" w:lineRule="auto"/>
        <w:rPr>
          <w:rFonts w:ascii="Times New Roman" w:hAnsi="Times New Roman" w:cs="Times New Roman"/>
          <w:i/>
          <w:sz w:val="24"/>
          <w:szCs w:val="24"/>
        </w:rPr>
      </w:pPr>
      <w:r w:rsidRPr="001B2B79">
        <w:rPr>
          <w:rFonts w:ascii="Times New Roman" w:hAnsi="Times New Roman" w:cs="Times New Roman"/>
          <w:i/>
          <w:sz w:val="24"/>
          <w:szCs w:val="24"/>
        </w:rPr>
        <w:t xml:space="preserve">Standardul 13 – </w:t>
      </w:r>
      <w:r w:rsidRPr="001B2B79">
        <w:rPr>
          <w:rFonts w:ascii="Times New Roman" w:hAnsi="Times New Roman" w:cs="Times New Roman"/>
          <w:sz w:val="24"/>
          <w:szCs w:val="24"/>
        </w:rPr>
        <w:t>Gestionarea documentelor</w:t>
      </w:r>
      <w:r w:rsidRPr="001B2B79">
        <w:rPr>
          <w:rFonts w:ascii="Times New Roman" w:hAnsi="Times New Roman" w:cs="Times New Roman"/>
          <w:i/>
          <w:sz w:val="24"/>
          <w:szCs w:val="24"/>
        </w:rPr>
        <w:t>..............</w:t>
      </w:r>
      <w:r w:rsidR="00DA6192" w:rsidRPr="001B2B79">
        <w:rPr>
          <w:rFonts w:ascii="Times New Roman" w:hAnsi="Times New Roman" w:cs="Times New Roman"/>
          <w:i/>
          <w:sz w:val="24"/>
          <w:szCs w:val="24"/>
        </w:rPr>
        <w:t>...............................</w:t>
      </w:r>
      <w:r w:rsidRPr="001B2B79">
        <w:rPr>
          <w:rFonts w:ascii="Times New Roman" w:hAnsi="Times New Roman" w:cs="Times New Roman"/>
          <w:sz w:val="24"/>
          <w:szCs w:val="24"/>
        </w:rPr>
        <w:t>90,91%</w:t>
      </w:r>
    </w:p>
    <w:p w:rsidR="00E000DA" w:rsidRPr="001B2B79" w:rsidRDefault="00E000DA" w:rsidP="00C7604C">
      <w:pPr>
        <w:pStyle w:val="ListParagraph"/>
        <w:numPr>
          <w:ilvl w:val="0"/>
          <w:numId w:val="4"/>
        </w:numPr>
        <w:spacing w:after="120" w:line="276" w:lineRule="auto"/>
        <w:ind w:left="1066" w:hanging="357"/>
        <w:contextualSpacing w:val="0"/>
        <w:jc w:val="both"/>
        <w:rPr>
          <w:rFonts w:ascii="Times New Roman" w:hAnsi="Times New Roman" w:cs="Times New Roman"/>
          <w:i/>
          <w:sz w:val="24"/>
          <w:szCs w:val="24"/>
        </w:rPr>
      </w:pPr>
      <w:r w:rsidRPr="001B2B79">
        <w:rPr>
          <w:rFonts w:ascii="Times New Roman" w:hAnsi="Times New Roman" w:cs="Times New Roman"/>
          <w:i/>
          <w:sz w:val="24"/>
          <w:szCs w:val="24"/>
        </w:rPr>
        <w:t>Standardul 15 –</w:t>
      </w:r>
      <w:r w:rsidRPr="001B2B79">
        <w:rPr>
          <w:rFonts w:ascii="Times New Roman" w:hAnsi="Times New Roman" w:cs="Times New Roman"/>
          <w:sz w:val="24"/>
          <w:szCs w:val="24"/>
          <w:lang w:val="en-US"/>
        </w:rPr>
        <w:t xml:space="preserve"> </w:t>
      </w:r>
      <w:r w:rsidRPr="001B2B79">
        <w:rPr>
          <w:rFonts w:ascii="Times New Roman" w:hAnsi="Times New Roman" w:cs="Times New Roman"/>
          <w:i/>
          <w:sz w:val="24"/>
          <w:szCs w:val="24"/>
        </w:rPr>
        <w:t xml:space="preserve"> </w:t>
      </w:r>
      <w:r w:rsidRPr="001B2B79">
        <w:rPr>
          <w:rFonts w:ascii="Times New Roman" w:hAnsi="Times New Roman" w:cs="Times New Roman"/>
          <w:sz w:val="24"/>
          <w:szCs w:val="24"/>
          <w:lang w:val="en-US"/>
        </w:rPr>
        <w:t>Evaluarea sistemului de control intern managerial</w:t>
      </w:r>
      <w:r w:rsidR="002306CF" w:rsidRPr="001B2B79">
        <w:rPr>
          <w:rFonts w:ascii="Times New Roman" w:hAnsi="Times New Roman" w:cs="Times New Roman"/>
          <w:sz w:val="24"/>
          <w:szCs w:val="24"/>
          <w:lang w:val="en-US"/>
        </w:rPr>
        <w:t xml:space="preserve"> ..... </w:t>
      </w:r>
      <w:r w:rsidR="00DA6192" w:rsidRPr="001B2B79">
        <w:rPr>
          <w:rFonts w:ascii="Times New Roman" w:hAnsi="Times New Roman" w:cs="Times New Roman"/>
          <w:sz w:val="24"/>
          <w:szCs w:val="24"/>
        </w:rPr>
        <w:t>92,97</w:t>
      </w:r>
      <w:r w:rsidR="007D39F1" w:rsidRPr="001B2B79">
        <w:rPr>
          <w:rFonts w:ascii="Times New Roman" w:hAnsi="Times New Roman" w:cs="Times New Roman"/>
          <w:sz w:val="24"/>
          <w:szCs w:val="24"/>
        </w:rPr>
        <w:t>%</w:t>
      </w:r>
    </w:p>
    <w:p w:rsidR="007D39F1" w:rsidRPr="00F304FE" w:rsidRDefault="007D39F1" w:rsidP="00F304FE">
      <w:pPr>
        <w:spacing w:after="0" w:line="276" w:lineRule="auto"/>
        <w:jc w:val="both"/>
        <w:rPr>
          <w:rFonts w:ascii="Times New Roman" w:hAnsi="Times New Roman" w:cs="Times New Roman"/>
          <w:b/>
          <w:i/>
          <w:sz w:val="24"/>
          <w:szCs w:val="24"/>
        </w:rPr>
      </w:pPr>
      <w:r w:rsidRPr="00F304FE">
        <w:rPr>
          <w:rFonts w:ascii="Times New Roman" w:hAnsi="Times New Roman" w:cs="Times New Roman"/>
          <w:b/>
          <w:i/>
          <w:sz w:val="24"/>
          <w:szCs w:val="24"/>
        </w:rPr>
        <w:t>5 standarde au un grad de implem</w:t>
      </w:r>
      <w:r w:rsidR="006E26F9">
        <w:rPr>
          <w:rFonts w:ascii="Times New Roman" w:hAnsi="Times New Roman" w:cs="Times New Roman"/>
          <w:b/>
          <w:i/>
          <w:sz w:val="24"/>
          <w:szCs w:val="24"/>
        </w:rPr>
        <w:t>entare</w:t>
      </w:r>
      <w:r w:rsidR="00F304FE" w:rsidRPr="00F304FE">
        <w:rPr>
          <w:rFonts w:ascii="Times New Roman" w:hAnsi="Times New Roman" w:cs="Times New Roman"/>
          <w:b/>
          <w:i/>
          <w:sz w:val="24"/>
          <w:szCs w:val="24"/>
        </w:rPr>
        <w:t xml:space="preserve"> de peste 80%</w:t>
      </w:r>
    </w:p>
    <w:p w:rsidR="007D39F1" w:rsidRPr="001B2B79" w:rsidRDefault="007D39F1" w:rsidP="00C7604C">
      <w:pPr>
        <w:numPr>
          <w:ilvl w:val="0"/>
          <w:numId w:val="4"/>
        </w:numPr>
        <w:spacing w:line="276" w:lineRule="auto"/>
        <w:contextualSpacing/>
        <w:rPr>
          <w:rFonts w:ascii="Times New Roman" w:hAnsi="Times New Roman" w:cs="Times New Roman"/>
          <w:i/>
          <w:sz w:val="24"/>
          <w:szCs w:val="24"/>
        </w:rPr>
      </w:pPr>
      <w:r w:rsidRPr="001B2B79">
        <w:rPr>
          <w:rFonts w:ascii="Times New Roman" w:hAnsi="Times New Roman" w:cs="Times New Roman"/>
          <w:i/>
          <w:sz w:val="24"/>
          <w:szCs w:val="24"/>
        </w:rPr>
        <w:t xml:space="preserve">Standardul   7 – </w:t>
      </w:r>
      <w:r w:rsidRPr="001B2B79">
        <w:rPr>
          <w:rFonts w:ascii="Times New Roman" w:hAnsi="Times New Roman" w:cs="Times New Roman"/>
          <w:sz w:val="24"/>
          <w:szCs w:val="24"/>
        </w:rPr>
        <w:t xml:space="preserve">Monitorizarea performanțelor </w:t>
      </w:r>
      <w:r w:rsidRPr="001B2B79">
        <w:rPr>
          <w:rFonts w:ascii="Times New Roman" w:hAnsi="Times New Roman" w:cs="Times New Roman"/>
          <w:i/>
          <w:sz w:val="24"/>
          <w:szCs w:val="24"/>
        </w:rPr>
        <w:t>........................................</w:t>
      </w:r>
      <w:r w:rsidRPr="001B2B79">
        <w:rPr>
          <w:rFonts w:ascii="Times New Roman" w:hAnsi="Times New Roman" w:cs="Times New Roman"/>
          <w:sz w:val="24"/>
          <w:szCs w:val="24"/>
        </w:rPr>
        <w:t>88,94%</w:t>
      </w:r>
    </w:p>
    <w:p w:rsidR="007D39F1" w:rsidRPr="001B2B79" w:rsidRDefault="007D39F1" w:rsidP="00C7604C">
      <w:pPr>
        <w:numPr>
          <w:ilvl w:val="0"/>
          <w:numId w:val="4"/>
        </w:numPr>
        <w:spacing w:line="276" w:lineRule="auto"/>
        <w:contextualSpacing/>
        <w:rPr>
          <w:rFonts w:ascii="Times New Roman" w:hAnsi="Times New Roman" w:cs="Times New Roman"/>
          <w:i/>
          <w:sz w:val="24"/>
          <w:szCs w:val="24"/>
        </w:rPr>
      </w:pPr>
      <w:r w:rsidRPr="001B2B79">
        <w:rPr>
          <w:rFonts w:ascii="Times New Roman" w:hAnsi="Times New Roman" w:cs="Times New Roman"/>
          <w:i/>
          <w:sz w:val="24"/>
          <w:szCs w:val="24"/>
        </w:rPr>
        <w:t xml:space="preserve">Standardul   8 – </w:t>
      </w:r>
      <w:r w:rsidRPr="001B2B79">
        <w:rPr>
          <w:rFonts w:ascii="Times New Roman" w:hAnsi="Times New Roman" w:cs="Times New Roman"/>
          <w:sz w:val="24"/>
          <w:szCs w:val="24"/>
        </w:rPr>
        <w:t>Managementul riscurilor</w:t>
      </w:r>
      <w:r w:rsidRPr="001B2B79">
        <w:rPr>
          <w:rFonts w:ascii="Times New Roman" w:hAnsi="Times New Roman" w:cs="Times New Roman"/>
          <w:i/>
          <w:sz w:val="24"/>
          <w:szCs w:val="24"/>
        </w:rPr>
        <w:t>.................................................</w:t>
      </w:r>
      <w:r w:rsidRPr="001B2B79">
        <w:rPr>
          <w:rFonts w:ascii="Times New Roman" w:hAnsi="Times New Roman" w:cs="Times New Roman"/>
          <w:sz w:val="24"/>
          <w:szCs w:val="24"/>
        </w:rPr>
        <w:t>80,78%</w:t>
      </w:r>
    </w:p>
    <w:p w:rsidR="007D39F1" w:rsidRPr="001B2B79" w:rsidRDefault="007D39F1" w:rsidP="00C7604C">
      <w:pPr>
        <w:numPr>
          <w:ilvl w:val="0"/>
          <w:numId w:val="4"/>
        </w:numPr>
        <w:spacing w:line="276" w:lineRule="auto"/>
        <w:contextualSpacing/>
        <w:rPr>
          <w:rFonts w:ascii="Times New Roman" w:hAnsi="Times New Roman" w:cs="Times New Roman"/>
          <w:i/>
          <w:sz w:val="24"/>
          <w:szCs w:val="24"/>
        </w:rPr>
      </w:pPr>
      <w:r w:rsidRPr="001B2B79">
        <w:rPr>
          <w:rFonts w:ascii="Times New Roman" w:hAnsi="Times New Roman" w:cs="Times New Roman"/>
          <w:i/>
          <w:sz w:val="24"/>
          <w:szCs w:val="24"/>
        </w:rPr>
        <w:t xml:space="preserve">Standardul   9 – </w:t>
      </w:r>
      <w:r w:rsidRPr="001B2B79">
        <w:rPr>
          <w:rFonts w:ascii="Times New Roman" w:hAnsi="Times New Roman" w:cs="Times New Roman"/>
          <w:sz w:val="24"/>
          <w:szCs w:val="24"/>
        </w:rPr>
        <w:t>Proceduri.............................</w:t>
      </w:r>
      <w:r w:rsidRPr="001B2B79">
        <w:rPr>
          <w:rFonts w:ascii="Times New Roman" w:hAnsi="Times New Roman" w:cs="Times New Roman"/>
          <w:i/>
          <w:sz w:val="24"/>
          <w:szCs w:val="24"/>
        </w:rPr>
        <w:t>............................................</w:t>
      </w:r>
      <w:r w:rsidRPr="001B2B79">
        <w:rPr>
          <w:rFonts w:ascii="Times New Roman" w:hAnsi="Times New Roman" w:cs="Times New Roman"/>
          <w:sz w:val="24"/>
          <w:szCs w:val="24"/>
        </w:rPr>
        <w:t>82,15%</w:t>
      </w:r>
    </w:p>
    <w:p w:rsidR="007D39F1" w:rsidRPr="001B2B79" w:rsidRDefault="007D39F1" w:rsidP="00C7604C">
      <w:pPr>
        <w:numPr>
          <w:ilvl w:val="0"/>
          <w:numId w:val="4"/>
        </w:numPr>
        <w:spacing w:line="276" w:lineRule="auto"/>
        <w:contextualSpacing/>
        <w:rPr>
          <w:rFonts w:ascii="Times New Roman" w:hAnsi="Times New Roman" w:cs="Times New Roman"/>
          <w:i/>
          <w:sz w:val="24"/>
          <w:szCs w:val="24"/>
        </w:rPr>
      </w:pPr>
      <w:r w:rsidRPr="001B2B79">
        <w:rPr>
          <w:rFonts w:ascii="Times New Roman" w:hAnsi="Times New Roman" w:cs="Times New Roman"/>
          <w:i/>
          <w:sz w:val="24"/>
          <w:szCs w:val="24"/>
        </w:rPr>
        <w:t xml:space="preserve">Standardul 10 – </w:t>
      </w:r>
      <w:r w:rsidRPr="001B2B79">
        <w:rPr>
          <w:rFonts w:ascii="Times New Roman" w:hAnsi="Times New Roman" w:cs="Times New Roman"/>
          <w:sz w:val="24"/>
          <w:szCs w:val="24"/>
        </w:rPr>
        <w:t>Supravegherea</w:t>
      </w:r>
      <w:r w:rsidRPr="001B2B79">
        <w:rPr>
          <w:rFonts w:ascii="Times New Roman" w:hAnsi="Times New Roman" w:cs="Times New Roman"/>
          <w:i/>
          <w:sz w:val="24"/>
          <w:szCs w:val="24"/>
        </w:rPr>
        <w:t>.................................................................</w:t>
      </w:r>
      <w:r w:rsidRPr="001B2B79">
        <w:rPr>
          <w:rFonts w:ascii="Times New Roman" w:hAnsi="Times New Roman" w:cs="Times New Roman"/>
          <w:sz w:val="24"/>
          <w:szCs w:val="24"/>
        </w:rPr>
        <w:t>89,43%</w:t>
      </w:r>
    </w:p>
    <w:p w:rsidR="007D39F1" w:rsidRPr="00F304FE" w:rsidRDefault="007D39F1" w:rsidP="00C7604C">
      <w:pPr>
        <w:numPr>
          <w:ilvl w:val="0"/>
          <w:numId w:val="4"/>
        </w:numPr>
        <w:spacing w:after="120" w:line="276" w:lineRule="auto"/>
        <w:ind w:left="1066" w:hanging="357"/>
        <w:rPr>
          <w:rFonts w:ascii="Times New Roman" w:hAnsi="Times New Roman" w:cs="Times New Roman"/>
          <w:i/>
          <w:sz w:val="24"/>
          <w:szCs w:val="24"/>
        </w:rPr>
      </w:pPr>
      <w:r w:rsidRPr="001B2B79">
        <w:rPr>
          <w:rFonts w:ascii="Times New Roman" w:hAnsi="Times New Roman" w:cs="Times New Roman"/>
          <w:i/>
          <w:sz w:val="24"/>
          <w:szCs w:val="24"/>
        </w:rPr>
        <w:t xml:space="preserve">Standardul 11 – </w:t>
      </w:r>
      <w:r w:rsidRPr="001B2B79">
        <w:rPr>
          <w:rFonts w:ascii="Times New Roman" w:hAnsi="Times New Roman" w:cs="Times New Roman"/>
          <w:sz w:val="24"/>
          <w:szCs w:val="24"/>
        </w:rPr>
        <w:t>Continuitatea activității</w:t>
      </w:r>
      <w:r w:rsidRPr="001B2B79">
        <w:rPr>
          <w:rFonts w:ascii="Times New Roman" w:hAnsi="Times New Roman" w:cs="Times New Roman"/>
          <w:i/>
          <w:sz w:val="24"/>
          <w:szCs w:val="24"/>
        </w:rPr>
        <w:t>...................................................</w:t>
      </w:r>
      <w:r w:rsidRPr="001B2B79">
        <w:rPr>
          <w:rFonts w:ascii="Times New Roman" w:hAnsi="Times New Roman" w:cs="Times New Roman"/>
          <w:sz w:val="24"/>
          <w:szCs w:val="24"/>
        </w:rPr>
        <w:t>88,59%</w:t>
      </w:r>
    </w:p>
    <w:p w:rsidR="00411F9F" w:rsidRPr="00F304FE" w:rsidRDefault="00F304FE" w:rsidP="00F304FE">
      <w:pPr>
        <w:spacing w:after="0" w:line="276" w:lineRule="auto"/>
        <w:jc w:val="both"/>
        <w:rPr>
          <w:rFonts w:ascii="Times New Roman" w:hAnsi="Times New Roman" w:cs="Times New Roman"/>
          <w:b/>
          <w:i/>
          <w:sz w:val="24"/>
          <w:szCs w:val="24"/>
        </w:rPr>
      </w:pPr>
      <w:r>
        <w:rPr>
          <w:rFonts w:ascii="Times New Roman" w:hAnsi="Times New Roman" w:cs="Times New Roman"/>
          <w:b/>
          <w:i/>
          <w:sz w:val="24"/>
          <w:szCs w:val="24"/>
        </w:rPr>
        <w:t>u</w:t>
      </w:r>
      <w:r w:rsidR="007D39F1" w:rsidRPr="00F304FE">
        <w:rPr>
          <w:rFonts w:ascii="Times New Roman" w:hAnsi="Times New Roman" w:cs="Times New Roman"/>
          <w:b/>
          <w:i/>
          <w:sz w:val="24"/>
          <w:szCs w:val="24"/>
        </w:rPr>
        <w:t xml:space="preserve">n </w:t>
      </w:r>
      <w:r w:rsidR="00411F9F" w:rsidRPr="00F304FE">
        <w:rPr>
          <w:rFonts w:ascii="Times New Roman" w:hAnsi="Times New Roman" w:cs="Times New Roman"/>
          <w:b/>
          <w:i/>
          <w:sz w:val="24"/>
          <w:szCs w:val="24"/>
        </w:rPr>
        <w:t xml:space="preserve">standard </w:t>
      </w:r>
      <w:r w:rsidR="007D39F1" w:rsidRPr="00F304FE">
        <w:rPr>
          <w:rFonts w:ascii="Times New Roman" w:hAnsi="Times New Roman" w:cs="Times New Roman"/>
          <w:b/>
          <w:i/>
          <w:sz w:val="24"/>
          <w:szCs w:val="24"/>
        </w:rPr>
        <w:t>are</w:t>
      </w:r>
      <w:r w:rsidR="00411F9F" w:rsidRPr="00F304FE">
        <w:rPr>
          <w:rFonts w:ascii="Times New Roman" w:hAnsi="Times New Roman" w:cs="Times New Roman"/>
          <w:b/>
          <w:i/>
          <w:sz w:val="24"/>
          <w:szCs w:val="24"/>
        </w:rPr>
        <w:t xml:space="preserve"> un grad scăzut de implementare, respectiv</w:t>
      </w:r>
      <w:r w:rsidR="00485D9D" w:rsidRPr="00F304FE">
        <w:rPr>
          <w:rFonts w:ascii="Times New Roman" w:hAnsi="Times New Roman" w:cs="Times New Roman"/>
          <w:b/>
          <w:i/>
          <w:sz w:val="24"/>
          <w:szCs w:val="24"/>
        </w:rPr>
        <w:t xml:space="preserve"> sub 80%</w:t>
      </w:r>
    </w:p>
    <w:p w:rsidR="00F304FE" w:rsidRPr="00F304FE" w:rsidRDefault="002306CF" w:rsidP="00C7604C">
      <w:pPr>
        <w:pStyle w:val="ListParagraph"/>
        <w:numPr>
          <w:ilvl w:val="0"/>
          <w:numId w:val="4"/>
        </w:numPr>
        <w:spacing w:after="120" w:line="276" w:lineRule="auto"/>
        <w:ind w:left="1066" w:hanging="357"/>
        <w:contextualSpacing w:val="0"/>
        <w:jc w:val="both"/>
        <w:rPr>
          <w:rFonts w:ascii="Times New Roman" w:hAnsi="Times New Roman" w:cs="Times New Roman"/>
          <w:i/>
          <w:sz w:val="24"/>
          <w:szCs w:val="24"/>
        </w:rPr>
      </w:pPr>
      <w:r w:rsidRPr="001B2B79">
        <w:rPr>
          <w:rFonts w:ascii="Times New Roman" w:hAnsi="Times New Roman" w:cs="Times New Roman"/>
          <w:i/>
          <w:sz w:val="24"/>
          <w:szCs w:val="24"/>
        </w:rPr>
        <w:t>Standardul 16  –</w:t>
      </w:r>
      <w:r w:rsidRPr="001B2B79">
        <w:rPr>
          <w:rFonts w:ascii="Times New Roman" w:hAnsi="Times New Roman" w:cs="Times New Roman"/>
          <w:sz w:val="24"/>
          <w:szCs w:val="24"/>
          <w:lang w:val="en-US"/>
        </w:rPr>
        <w:t xml:space="preserve"> </w:t>
      </w:r>
      <w:r w:rsidR="008179F9" w:rsidRPr="001B2B79">
        <w:rPr>
          <w:rFonts w:ascii="Times New Roman" w:hAnsi="Times New Roman" w:cs="Times New Roman"/>
          <w:sz w:val="24"/>
          <w:szCs w:val="24"/>
          <w:lang w:val="en-US"/>
        </w:rPr>
        <w:t xml:space="preserve"> </w:t>
      </w:r>
      <w:r w:rsidRPr="001B2B79">
        <w:rPr>
          <w:rFonts w:ascii="Times New Roman" w:hAnsi="Times New Roman" w:cs="Times New Roman"/>
          <w:sz w:val="24"/>
          <w:szCs w:val="24"/>
          <w:lang w:val="en-US"/>
        </w:rPr>
        <w:t>Auditul intern</w:t>
      </w:r>
      <w:r w:rsidR="00154C5A" w:rsidRPr="001B2B79">
        <w:rPr>
          <w:rFonts w:ascii="Times New Roman" w:hAnsi="Times New Roman" w:cs="Times New Roman"/>
          <w:sz w:val="24"/>
          <w:szCs w:val="24"/>
          <w:lang w:val="en-US"/>
        </w:rPr>
        <w:t xml:space="preserve"> .................................</w:t>
      </w:r>
      <w:r w:rsidR="00F55233" w:rsidRPr="001B2B79">
        <w:rPr>
          <w:rFonts w:ascii="Times New Roman" w:hAnsi="Times New Roman" w:cs="Times New Roman"/>
          <w:sz w:val="24"/>
          <w:szCs w:val="24"/>
          <w:lang w:val="en-US"/>
        </w:rPr>
        <w:t>...</w:t>
      </w:r>
      <w:r w:rsidR="00DA6192" w:rsidRPr="001B2B79">
        <w:rPr>
          <w:rFonts w:ascii="Times New Roman" w:hAnsi="Times New Roman" w:cs="Times New Roman"/>
          <w:sz w:val="24"/>
          <w:szCs w:val="24"/>
          <w:lang w:val="en-US"/>
        </w:rPr>
        <w:t>..........................</w:t>
      </w:r>
      <w:r w:rsidR="00DA6192" w:rsidRPr="001B2B79">
        <w:rPr>
          <w:rFonts w:ascii="Times New Roman" w:hAnsi="Times New Roman" w:cs="Times New Roman"/>
          <w:sz w:val="24"/>
          <w:szCs w:val="24"/>
        </w:rPr>
        <w:t>69,01</w:t>
      </w:r>
      <w:r w:rsidR="00154C5A" w:rsidRPr="001B2B79">
        <w:rPr>
          <w:rFonts w:ascii="Times New Roman" w:hAnsi="Times New Roman" w:cs="Times New Roman"/>
          <w:sz w:val="24"/>
          <w:szCs w:val="24"/>
        </w:rPr>
        <w:t>%.</w:t>
      </w:r>
    </w:p>
    <w:p w:rsidR="00660509" w:rsidRDefault="00660509" w:rsidP="00F304FE">
      <w:pPr>
        <w:pStyle w:val="ListParagraph"/>
        <w:spacing w:after="0" w:line="276" w:lineRule="auto"/>
        <w:ind w:left="0"/>
        <w:contextualSpacing w:val="0"/>
        <w:jc w:val="both"/>
        <w:rPr>
          <w:rFonts w:ascii="Times New Roman" w:hAnsi="Times New Roman" w:cs="Times New Roman"/>
          <w:sz w:val="24"/>
          <w:szCs w:val="24"/>
        </w:rPr>
      </w:pPr>
      <w:r w:rsidRPr="001B2B79">
        <w:rPr>
          <w:rFonts w:ascii="Times New Roman" w:hAnsi="Times New Roman" w:cs="Times New Roman"/>
          <w:sz w:val="24"/>
          <w:szCs w:val="24"/>
        </w:rPr>
        <w:t>Următorii</w:t>
      </w:r>
      <w:r w:rsidRPr="00C77E14">
        <w:rPr>
          <w:rFonts w:ascii="Times New Roman" w:hAnsi="Times New Roman" w:cs="Times New Roman"/>
          <w:i/>
          <w:sz w:val="24"/>
          <w:szCs w:val="24"/>
        </w:rPr>
        <w:t xml:space="preserve"> ordonatori principali de credite </w:t>
      </w:r>
      <w:r w:rsidR="006F412E" w:rsidRPr="00C77E14">
        <w:rPr>
          <w:rFonts w:ascii="Times New Roman" w:hAnsi="Times New Roman" w:cs="Times New Roman"/>
          <w:i/>
          <w:sz w:val="24"/>
          <w:szCs w:val="24"/>
        </w:rPr>
        <w:t>au raportat</w:t>
      </w:r>
      <w:r w:rsidRPr="00C77E14">
        <w:rPr>
          <w:rFonts w:ascii="Times New Roman" w:hAnsi="Times New Roman" w:cs="Times New Roman"/>
          <w:i/>
          <w:sz w:val="24"/>
          <w:szCs w:val="24"/>
        </w:rPr>
        <w:t xml:space="preserve"> neimplementat Standardul 16 </w:t>
      </w:r>
      <w:r w:rsidR="001C23DD" w:rsidRPr="00C77E14">
        <w:rPr>
          <w:rFonts w:ascii="Times New Roman" w:hAnsi="Times New Roman" w:cs="Times New Roman"/>
          <w:i/>
          <w:sz w:val="24"/>
          <w:szCs w:val="24"/>
        </w:rPr>
        <w:t>–</w:t>
      </w:r>
      <w:r w:rsidRPr="00C77E14">
        <w:rPr>
          <w:rFonts w:ascii="Times New Roman" w:hAnsi="Times New Roman" w:cs="Times New Roman"/>
          <w:i/>
          <w:sz w:val="24"/>
          <w:szCs w:val="24"/>
        </w:rPr>
        <w:t xml:space="preserve"> </w:t>
      </w:r>
      <w:r w:rsidR="001C23DD" w:rsidRPr="00C77E14">
        <w:rPr>
          <w:rFonts w:ascii="Times New Roman" w:hAnsi="Times New Roman" w:cs="Times New Roman"/>
          <w:i/>
          <w:sz w:val="24"/>
          <w:szCs w:val="24"/>
        </w:rPr>
        <w:t>Auditul intern</w:t>
      </w:r>
      <w:r w:rsidR="001164DD">
        <w:rPr>
          <w:rFonts w:ascii="Times New Roman" w:hAnsi="Times New Roman" w:cs="Times New Roman"/>
          <w:i/>
          <w:sz w:val="24"/>
          <w:szCs w:val="24"/>
        </w:rPr>
        <w:t>,</w:t>
      </w:r>
      <w:r w:rsidR="001164DD" w:rsidRPr="001164DD">
        <w:t xml:space="preserve"> </w:t>
      </w:r>
      <w:r w:rsidR="001164DD" w:rsidRPr="001164DD">
        <w:rPr>
          <w:rFonts w:ascii="Times New Roman" w:hAnsi="Times New Roman" w:cs="Times New Roman"/>
          <w:sz w:val="24"/>
          <w:szCs w:val="24"/>
        </w:rPr>
        <w:t>datorat în mare parte entităților publice aflate în subordonarea sau în coordonarea acestora</w:t>
      </w:r>
      <w:r w:rsidR="001C23DD" w:rsidRPr="00C77E14">
        <w:rPr>
          <w:rFonts w:ascii="Times New Roman" w:hAnsi="Times New Roman" w:cs="Times New Roman"/>
          <w:i/>
          <w:sz w:val="24"/>
          <w:szCs w:val="24"/>
        </w:rPr>
        <w:t>:</w:t>
      </w:r>
      <w:r w:rsidR="005A15CC" w:rsidRPr="00C77E14">
        <w:t xml:space="preserve"> </w:t>
      </w:r>
      <w:r w:rsidR="005A15CC" w:rsidRPr="00C77E14">
        <w:rPr>
          <w:rFonts w:ascii="Times New Roman" w:hAnsi="Times New Roman" w:cs="Times New Roman"/>
          <w:sz w:val="24"/>
          <w:szCs w:val="24"/>
        </w:rPr>
        <w:t>Senatul României;</w:t>
      </w:r>
      <w:r w:rsidR="00B94CEF" w:rsidRPr="00C77E14">
        <w:rPr>
          <w:rFonts w:ascii="Times New Roman" w:hAnsi="Times New Roman" w:cs="Times New Roman"/>
          <w:sz w:val="24"/>
          <w:szCs w:val="24"/>
        </w:rPr>
        <w:t xml:space="preserve"> </w:t>
      </w:r>
      <w:r w:rsidR="007D39F1" w:rsidRPr="001B2B79">
        <w:rPr>
          <w:rFonts w:ascii="Times New Roman" w:hAnsi="Times New Roman" w:cs="Times New Roman"/>
          <w:sz w:val="24"/>
          <w:szCs w:val="24"/>
        </w:rPr>
        <w:t xml:space="preserve">Camera Deputaților; </w:t>
      </w:r>
      <w:r w:rsidR="002F6A7E" w:rsidRPr="001B2B79">
        <w:rPr>
          <w:rFonts w:ascii="Times New Roman" w:hAnsi="Times New Roman" w:cs="Times New Roman"/>
          <w:sz w:val="24"/>
          <w:szCs w:val="24"/>
        </w:rPr>
        <w:t>Ministerul Afacerilor Interne;</w:t>
      </w:r>
      <w:r w:rsidR="007D39F1" w:rsidRPr="001B2B79">
        <w:rPr>
          <w:rFonts w:ascii="Times New Roman" w:hAnsi="Times New Roman" w:cs="Times New Roman"/>
          <w:sz w:val="24"/>
          <w:szCs w:val="24"/>
        </w:rPr>
        <w:t xml:space="preserve"> </w:t>
      </w:r>
      <w:r w:rsidR="00E757BA" w:rsidRPr="001B2B79">
        <w:rPr>
          <w:rFonts w:ascii="Times New Roman" w:hAnsi="Times New Roman" w:cs="Times New Roman"/>
          <w:sz w:val="24"/>
          <w:szCs w:val="24"/>
        </w:rPr>
        <w:t>Secretariatul G</w:t>
      </w:r>
      <w:r w:rsidR="007D39F1" w:rsidRPr="001B2B79">
        <w:rPr>
          <w:rFonts w:ascii="Times New Roman" w:hAnsi="Times New Roman" w:cs="Times New Roman"/>
          <w:sz w:val="24"/>
          <w:szCs w:val="24"/>
        </w:rPr>
        <w:t xml:space="preserve">eneral al Guvernului; </w:t>
      </w:r>
      <w:r w:rsidR="002F6A7E" w:rsidRPr="001B2B79">
        <w:rPr>
          <w:rFonts w:ascii="Times New Roman" w:hAnsi="Times New Roman" w:cs="Times New Roman"/>
          <w:sz w:val="24"/>
          <w:szCs w:val="24"/>
        </w:rPr>
        <w:t>Ministerul Culturii;</w:t>
      </w:r>
      <w:r w:rsidR="007D39F1" w:rsidRPr="001B2B79">
        <w:rPr>
          <w:rFonts w:ascii="Times New Roman" w:hAnsi="Times New Roman" w:cs="Times New Roman"/>
          <w:sz w:val="24"/>
          <w:szCs w:val="24"/>
        </w:rPr>
        <w:t xml:space="preserve"> Ministerul Fondurilor Europene;</w:t>
      </w:r>
      <w:r w:rsidR="006141B9" w:rsidRPr="001B2B79">
        <w:rPr>
          <w:rFonts w:ascii="Times New Roman" w:hAnsi="Times New Roman" w:cs="Times New Roman"/>
          <w:sz w:val="24"/>
          <w:szCs w:val="24"/>
        </w:rPr>
        <w:t xml:space="preserve"> </w:t>
      </w:r>
      <w:r w:rsidR="004203CB" w:rsidRPr="001B2B79">
        <w:rPr>
          <w:rFonts w:ascii="Times New Roman" w:hAnsi="Times New Roman" w:cs="Times New Roman"/>
          <w:sz w:val="24"/>
          <w:szCs w:val="24"/>
        </w:rPr>
        <w:t>Ministerul Educaţiei</w:t>
      </w:r>
      <w:r w:rsidR="00F26BE0" w:rsidRPr="001B2B79">
        <w:rPr>
          <w:rFonts w:ascii="Times New Roman" w:hAnsi="Times New Roman" w:cs="Times New Roman"/>
          <w:sz w:val="24"/>
          <w:szCs w:val="24"/>
        </w:rPr>
        <w:t xml:space="preserve"> Naționale</w:t>
      </w:r>
      <w:r w:rsidR="004203CB" w:rsidRPr="001B2B79">
        <w:rPr>
          <w:rFonts w:ascii="Times New Roman" w:hAnsi="Times New Roman" w:cs="Times New Roman"/>
          <w:sz w:val="24"/>
          <w:szCs w:val="24"/>
        </w:rPr>
        <w:t xml:space="preserve"> și Cercetării Științifice; </w:t>
      </w:r>
      <w:r w:rsidR="006E645B" w:rsidRPr="001B2B79">
        <w:rPr>
          <w:rFonts w:ascii="Times New Roman" w:hAnsi="Times New Roman" w:cs="Times New Roman"/>
          <w:sz w:val="24"/>
          <w:szCs w:val="24"/>
        </w:rPr>
        <w:t xml:space="preserve">Ministerul Justiţiei; </w:t>
      </w:r>
      <w:r w:rsidR="000E7BFD" w:rsidRPr="001B2B79">
        <w:rPr>
          <w:rFonts w:ascii="Times New Roman" w:hAnsi="Times New Roman" w:cs="Times New Roman"/>
          <w:sz w:val="24"/>
          <w:szCs w:val="24"/>
        </w:rPr>
        <w:t>Ministerul Mediului, Apelor și Pădurilor; Ministerul Muncii, Familiei, Protecţiei Sociale şi Persoanelor Vârstnice; Ministerul Sănătătii; Ministerul Tineretului si Sportului;</w:t>
      </w:r>
      <w:r w:rsidR="00C27DE4">
        <w:rPr>
          <w:rFonts w:ascii="Times New Roman" w:hAnsi="Times New Roman" w:cs="Times New Roman"/>
          <w:sz w:val="24"/>
          <w:szCs w:val="24"/>
        </w:rPr>
        <w:t xml:space="preserve"> </w:t>
      </w:r>
      <w:r w:rsidR="000E7BFD" w:rsidRPr="001B2B79">
        <w:rPr>
          <w:rFonts w:ascii="Times New Roman" w:hAnsi="Times New Roman" w:cs="Times New Roman"/>
          <w:sz w:val="24"/>
          <w:szCs w:val="24"/>
        </w:rPr>
        <w:t xml:space="preserve">Ministerul Transporturilor; </w:t>
      </w:r>
      <w:r w:rsidR="00F11F31" w:rsidRPr="001B2B79">
        <w:rPr>
          <w:rFonts w:ascii="Times New Roman" w:hAnsi="Times New Roman" w:cs="Times New Roman"/>
          <w:sz w:val="24"/>
          <w:szCs w:val="24"/>
        </w:rPr>
        <w:t>Autoritatea Naţională Sanitară Veterinară şi pentru Siguranţa Alimentelor.</w:t>
      </w:r>
    </w:p>
    <w:p w:rsidR="00980D5A" w:rsidRPr="00CF64CA" w:rsidRDefault="00980D5A" w:rsidP="00CB685B">
      <w:pPr>
        <w:pStyle w:val="Raport"/>
        <w:spacing w:before="0" w:after="360"/>
        <w:jc w:val="both"/>
        <w:rPr>
          <w:sz w:val="24"/>
          <w:szCs w:val="24"/>
        </w:rPr>
      </w:pPr>
      <w:bookmarkStart w:id="12" w:name="_Toc485992673"/>
      <w:r w:rsidRPr="00CF64CA">
        <w:rPr>
          <w:sz w:val="24"/>
          <w:szCs w:val="24"/>
        </w:rPr>
        <w:t>2.1.1. Implementarea standardelor de control intern managerial la nivelul ordonat</w:t>
      </w:r>
      <w:r w:rsidR="00C672A1">
        <w:rPr>
          <w:sz w:val="24"/>
          <w:szCs w:val="24"/>
        </w:rPr>
        <w:t>orilor  principali de credite</w:t>
      </w:r>
      <w:r w:rsidR="00B617E8">
        <w:rPr>
          <w:sz w:val="24"/>
          <w:szCs w:val="24"/>
        </w:rPr>
        <w:t>-</w:t>
      </w:r>
      <w:r w:rsidRPr="00CF64CA">
        <w:rPr>
          <w:sz w:val="24"/>
          <w:szCs w:val="24"/>
        </w:rPr>
        <w:t>aparat propriu</w:t>
      </w:r>
      <w:bookmarkEnd w:id="12"/>
    </w:p>
    <w:p w:rsidR="00BE6210" w:rsidRDefault="00805DFE" w:rsidP="00CB685B">
      <w:pPr>
        <w:spacing w:after="120" w:line="276" w:lineRule="auto"/>
        <w:jc w:val="both"/>
        <w:rPr>
          <w:rFonts w:ascii="Times New Roman" w:hAnsi="Times New Roman" w:cs="Times New Roman"/>
          <w:sz w:val="24"/>
          <w:szCs w:val="24"/>
        </w:rPr>
      </w:pPr>
      <w:r w:rsidRPr="00120561">
        <w:rPr>
          <w:rFonts w:ascii="Times New Roman" w:hAnsi="Times New Roman" w:cs="Times New Roman"/>
          <w:b/>
          <w:i/>
          <w:sz w:val="24"/>
          <w:szCs w:val="24"/>
        </w:rPr>
        <w:t>Stadiul impleme</w:t>
      </w:r>
      <w:r w:rsidR="00D550DD" w:rsidRPr="00120561">
        <w:rPr>
          <w:rFonts w:ascii="Times New Roman" w:hAnsi="Times New Roman" w:cs="Times New Roman"/>
          <w:b/>
          <w:i/>
          <w:sz w:val="24"/>
          <w:szCs w:val="24"/>
        </w:rPr>
        <w:t>ntării şi dezvoltării sistemului</w:t>
      </w:r>
      <w:r w:rsidRPr="00120561">
        <w:rPr>
          <w:rFonts w:ascii="Times New Roman" w:hAnsi="Times New Roman" w:cs="Times New Roman"/>
          <w:b/>
          <w:i/>
          <w:sz w:val="24"/>
          <w:szCs w:val="24"/>
        </w:rPr>
        <w:t xml:space="preserve"> de control intern managerial</w:t>
      </w:r>
      <w:r w:rsidR="00120561">
        <w:rPr>
          <w:rFonts w:ascii="Times New Roman" w:hAnsi="Times New Roman" w:cs="Times New Roman"/>
          <w:sz w:val="24"/>
          <w:szCs w:val="24"/>
        </w:rPr>
        <w:t>,</w:t>
      </w:r>
      <w:r w:rsidRPr="00805DFE">
        <w:rPr>
          <w:rFonts w:ascii="Times New Roman" w:hAnsi="Times New Roman" w:cs="Times New Roman"/>
          <w:sz w:val="24"/>
          <w:szCs w:val="24"/>
        </w:rPr>
        <w:t xml:space="preserve"> la nivelul</w:t>
      </w:r>
      <w:r>
        <w:rPr>
          <w:rFonts w:ascii="Times New Roman" w:hAnsi="Times New Roman" w:cs="Times New Roman"/>
          <w:sz w:val="24"/>
          <w:szCs w:val="24"/>
        </w:rPr>
        <w:t xml:space="preserve"> </w:t>
      </w:r>
      <w:r w:rsidRPr="00120561">
        <w:rPr>
          <w:rFonts w:ascii="Times New Roman" w:hAnsi="Times New Roman" w:cs="Times New Roman"/>
          <w:b/>
          <w:i/>
          <w:sz w:val="24"/>
          <w:szCs w:val="24"/>
        </w:rPr>
        <w:t>aparatului propriu</w:t>
      </w:r>
      <w:r w:rsidR="00120561">
        <w:rPr>
          <w:rFonts w:ascii="Times New Roman" w:hAnsi="Times New Roman" w:cs="Times New Roman"/>
          <w:sz w:val="24"/>
          <w:szCs w:val="24"/>
        </w:rPr>
        <w:t>,</w:t>
      </w:r>
      <w:r>
        <w:rPr>
          <w:rFonts w:ascii="Times New Roman" w:hAnsi="Times New Roman" w:cs="Times New Roman"/>
          <w:sz w:val="24"/>
          <w:szCs w:val="24"/>
        </w:rPr>
        <w:t xml:space="preserve"> </w:t>
      </w:r>
      <w:r w:rsidR="0007613A" w:rsidRPr="00AB50FB">
        <w:rPr>
          <w:rFonts w:ascii="Times New Roman" w:hAnsi="Times New Roman" w:cs="Times New Roman"/>
          <w:sz w:val="24"/>
          <w:szCs w:val="24"/>
        </w:rPr>
        <w:t xml:space="preserve">în conformitate </w:t>
      </w:r>
      <w:r w:rsidR="005D4A87">
        <w:rPr>
          <w:rFonts w:ascii="Times New Roman" w:hAnsi="Times New Roman" w:cs="Times New Roman"/>
          <w:sz w:val="24"/>
          <w:szCs w:val="24"/>
        </w:rPr>
        <w:t xml:space="preserve">cu </w:t>
      </w:r>
      <w:r w:rsidR="00120561" w:rsidRPr="00AB50FB">
        <w:rPr>
          <w:rFonts w:ascii="Times New Roman" w:hAnsi="Times New Roman" w:cs="Times New Roman"/>
          <w:i/>
          <w:sz w:val="24"/>
          <w:szCs w:val="24"/>
        </w:rPr>
        <w:t>OSGG nr. 201/2016</w:t>
      </w:r>
      <w:r w:rsidR="00120561" w:rsidRPr="00AB50FB">
        <w:rPr>
          <w:rFonts w:ascii="Times New Roman" w:hAnsi="Times New Roman" w:cs="Times New Roman"/>
          <w:b/>
          <w:i/>
          <w:sz w:val="24"/>
          <w:szCs w:val="24"/>
        </w:rPr>
        <w:t xml:space="preserve"> </w:t>
      </w:r>
      <w:r w:rsidR="00120561" w:rsidRPr="00AB50FB">
        <w:rPr>
          <w:rFonts w:ascii="Times New Roman" w:hAnsi="Times New Roman" w:cs="Times New Roman"/>
          <w:i/>
          <w:sz w:val="24"/>
          <w:szCs w:val="24"/>
        </w:rPr>
        <w:t>pentru aprobarea Normelor metodologice privind coordonarea, îndrumarea metodologică și supravegherea stadiului implementării și dezvoltării sistemului de control intern managerial la entitățile publice</w:t>
      </w:r>
      <w:r w:rsidR="00171E1C">
        <w:rPr>
          <w:rFonts w:ascii="Times New Roman" w:hAnsi="Times New Roman" w:cs="Times New Roman"/>
          <w:i/>
          <w:sz w:val="24"/>
          <w:szCs w:val="24"/>
        </w:rPr>
        <w:t>,</w:t>
      </w:r>
      <w:r w:rsidR="00171E1C" w:rsidRPr="00171E1C">
        <w:rPr>
          <w:rFonts w:ascii="Times New Roman" w:hAnsi="Times New Roman" w:cs="Times New Roman"/>
          <w:sz w:val="24"/>
          <w:szCs w:val="24"/>
        </w:rPr>
        <w:t xml:space="preserve"> </w:t>
      </w:r>
      <w:r w:rsidR="00171E1C">
        <w:rPr>
          <w:rFonts w:ascii="Times New Roman" w:hAnsi="Times New Roman" w:cs="Times New Roman"/>
          <w:sz w:val="24"/>
          <w:szCs w:val="24"/>
        </w:rPr>
        <w:t xml:space="preserve">se evaluează prin </w:t>
      </w:r>
      <w:r w:rsidR="00171E1C" w:rsidRPr="00986E8F">
        <w:rPr>
          <w:rFonts w:ascii="Times New Roman" w:hAnsi="Times New Roman" w:cs="Times New Roman"/>
          <w:b/>
          <w:i/>
          <w:sz w:val="24"/>
          <w:szCs w:val="24"/>
        </w:rPr>
        <w:t xml:space="preserve">parcurgerea următoarelor </w:t>
      </w:r>
      <w:r w:rsidR="00171E1C" w:rsidRPr="00AB50FB">
        <w:rPr>
          <w:rFonts w:ascii="Times New Roman" w:hAnsi="Times New Roman" w:cs="Times New Roman"/>
          <w:b/>
          <w:i/>
          <w:sz w:val="24"/>
          <w:szCs w:val="24"/>
        </w:rPr>
        <w:t>etape</w:t>
      </w:r>
      <w:r w:rsidR="00D550DD" w:rsidRPr="00AB50FB">
        <w:rPr>
          <w:rFonts w:ascii="Times New Roman" w:hAnsi="Times New Roman" w:cs="Times New Roman"/>
          <w:sz w:val="24"/>
          <w:szCs w:val="24"/>
        </w:rPr>
        <w:t>:</w:t>
      </w:r>
    </w:p>
    <w:p w:rsidR="00CB685B" w:rsidRDefault="00CB685B" w:rsidP="00C7604C">
      <w:pPr>
        <w:pStyle w:val="ListParagraph"/>
        <w:numPr>
          <w:ilvl w:val="0"/>
          <w:numId w:val="18"/>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S</w:t>
      </w:r>
      <w:r w:rsidR="00C40A81" w:rsidRPr="00CB685B">
        <w:rPr>
          <w:rFonts w:ascii="Times New Roman" w:hAnsi="Times New Roman" w:cs="Times New Roman"/>
          <w:sz w:val="24"/>
          <w:szCs w:val="24"/>
          <w:lang w:val="en-US"/>
        </w:rPr>
        <w:t xml:space="preserve">tabilirea obiectivelor generale şi specifice ale entităţii publice prin elaborarea </w:t>
      </w:r>
      <w:r w:rsidR="00C40A81" w:rsidRPr="00CB685B">
        <w:rPr>
          <w:rFonts w:ascii="Times New Roman" w:hAnsi="Times New Roman" w:cs="Times New Roman"/>
          <w:i/>
          <w:sz w:val="24"/>
          <w:szCs w:val="24"/>
          <w:lang w:val="en-US"/>
        </w:rPr>
        <w:t>Listei obiectivelor generale şi specifice</w:t>
      </w:r>
      <w:r w:rsidR="00C40A81" w:rsidRPr="00CB685B">
        <w:rPr>
          <w:rFonts w:ascii="Times New Roman" w:hAnsi="Times New Roman" w:cs="Times New Roman"/>
          <w:sz w:val="24"/>
          <w:szCs w:val="24"/>
          <w:lang w:val="en-US"/>
        </w:rPr>
        <w:t>;</w:t>
      </w:r>
    </w:p>
    <w:p w:rsidR="00CB685B" w:rsidRDefault="00CB685B" w:rsidP="00C7604C">
      <w:pPr>
        <w:pStyle w:val="ListParagraph"/>
        <w:numPr>
          <w:ilvl w:val="0"/>
          <w:numId w:val="18"/>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S</w:t>
      </w:r>
      <w:r w:rsidR="00C40A81" w:rsidRPr="00CB685B">
        <w:rPr>
          <w:rFonts w:ascii="Times New Roman" w:hAnsi="Times New Roman" w:cs="Times New Roman"/>
          <w:sz w:val="24"/>
          <w:szCs w:val="24"/>
          <w:lang w:val="en-US"/>
        </w:rPr>
        <w:t xml:space="preserve">tabilirea activităţilor şi acţiunilor/operaţiilor pentru realizarea obiectivelor specifice prin elaborarea </w:t>
      </w:r>
      <w:r w:rsidR="00C40A81" w:rsidRPr="00CB685B">
        <w:rPr>
          <w:rFonts w:ascii="Times New Roman" w:hAnsi="Times New Roman" w:cs="Times New Roman"/>
          <w:i/>
          <w:sz w:val="24"/>
          <w:szCs w:val="24"/>
          <w:lang w:val="en-US"/>
        </w:rPr>
        <w:t>Listei obiectivelor şi activităţilor</w:t>
      </w:r>
      <w:r w:rsidR="00C40A81" w:rsidRPr="00CB685B">
        <w:rPr>
          <w:rFonts w:ascii="Times New Roman" w:hAnsi="Times New Roman" w:cs="Times New Roman"/>
          <w:sz w:val="24"/>
          <w:szCs w:val="24"/>
          <w:lang w:val="en-US"/>
        </w:rPr>
        <w:t>;</w:t>
      </w:r>
    </w:p>
    <w:p w:rsidR="00CB685B" w:rsidRDefault="00CB685B" w:rsidP="00C7604C">
      <w:pPr>
        <w:pStyle w:val="ListParagraph"/>
        <w:numPr>
          <w:ilvl w:val="0"/>
          <w:numId w:val="18"/>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A</w:t>
      </w:r>
      <w:r w:rsidR="00C40A81" w:rsidRPr="00C40A81">
        <w:rPr>
          <w:rFonts w:ascii="Times New Roman" w:hAnsi="Times New Roman" w:cs="Times New Roman"/>
          <w:sz w:val="24"/>
          <w:szCs w:val="24"/>
          <w:lang w:val="en-US"/>
        </w:rPr>
        <w:t xml:space="preserve">taşarea riscurilor la acţiunile şi activităţile din cadrul obiectivelor prin elaborarea </w:t>
      </w:r>
      <w:r w:rsidR="00C40A81" w:rsidRPr="00171E1C">
        <w:rPr>
          <w:rFonts w:ascii="Times New Roman" w:hAnsi="Times New Roman" w:cs="Times New Roman"/>
          <w:i/>
          <w:sz w:val="24"/>
          <w:szCs w:val="24"/>
          <w:lang w:val="en-US"/>
        </w:rPr>
        <w:t>Listei obiectivelor, activităţilor şi riscurilor</w:t>
      </w:r>
      <w:r w:rsidR="00C40A81" w:rsidRPr="00C40A81">
        <w:rPr>
          <w:rFonts w:ascii="Times New Roman" w:hAnsi="Times New Roman" w:cs="Times New Roman"/>
          <w:sz w:val="24"/>
          <w:szCs w:val="24"/>
          <w:lang w:val="en-US"/>
        </w:rPr>
        <w:t>;</w:t>
      </w:r>
    </w:p>
    <w:p w:rsidR="00CB685B" w:rsidRDefault="00CB685B" w:rsidP="00C7604C">
      <w:pPr>
        <w:pStyle w:val="ListParagraph"/>
        <w:numPr>
          <w:ilvl w:val="0"/>
          <w:numId w:val="18"/>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E</w:t>
      </w:r>
      <w:r w:rsidR="00C40A81" w:rsidRPr="00C40A81">
        <w:rPr>
          <w:rFonts w:ascii="Times New Roman" w:hAnsi="Times New Roman" w:cs="Times New Roman"/>
          <w:sz w:val="24"/>
          <w:szCs w:val="24"/>
          <w:lang w:val="en-US"/>
        </w:rPr>
        <w:t xml:space="preserve">laborarea registrelor de riscuri pe compartimente, centralizarea la nivelul entităţii şi analiza </w:t>
      </w:r>
      <w:r w:rsidR="00C40A81" w:rsidRPr="00171E1C">
        <w:rPr>
          <w:rFonts w:ascii="Times New Roman" w:hAnsi="Times New Roman" w:cs="Times New Roman"/>
          <w:i/>
          <w:sz w:val="24"/>
          <w:szCs w:val="24"/>
          <w:lang w:val="en-US"/>
        </w:rPr>
        <w:t>Informării privind procesul de gestionare a riscurilor şi de implementare a măsurilor de control</w:t>
      </w:r>
      <w:r w:rsidR="00C40A81" w:rsidRPr="00C40A81">
        <w:rPr>
          <w:rFonts w:ascii="Times New Roman" w:hAnsi="Times New Roman" w:cs="Times New Roman"/>
          <w:sz w:val="24"/>
          <w:szCs w:val="24"/>
          <w:lang w:val="en-US"/>
        </w:rPr>
        <w:t xml:space="preserve">, pe baza rapoartelor anuale ale compartimentelor, elaborată de către secretarul </w:t>
      </w:r>
      <w:r w:rsidR="00C40A81" w:rsidRPr="00171E1C">
        <w:rPr>
          <w:rFonts w:ascii="Times New Roman" w:hAnsi="Times New Roman" w:cs="Times New Roman"/>
          <w:i/>
          <w:sz w:val="24"/>
          <w:szCs w:val="24"/>
          <w:lang w:val="en-US"/>
        </w:rPr>
        <w:t>Echipei de gestionare a riscurilor</w:t>
      </w:r>
      <w:r w:rsidR="00C40A81" w:rsidRPr="00C40A81">
        <w:rPr>
          <w:rFonts w:ascii="Times New Roman" w:hAnsi="Times New Roman" w:cs="Times New Roman"/>
          <w:sz w:val="24"/>
          <w:szCs w:val="24"/>
          <w:lang w:val="en-US"/>
        </w:rPr>
        <w:t>, la nivelul entităţii;</w:t>
      </w:r>
    </w:p>
    <w:p w:rsidR="00CB685B" w:rsidRDefault="00CB685B" w:rsidP="00C7604C">
      <w:pPr>
        <w:pStyle w:val="ListParagraph"/>
        <w:numPr>
          <w:ilvl w:val="0"/>
          <w:numId w:val="18"/>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S</w:t>
      </w:r>
      <w:r w:rsidR="00C40A81" w:rsidRPr="00C40A81">
        <w:rPr>
          <w:rFonts w:ascii="Times New Roman" w:hAnsi="Times New Roman" w:cs="Times New Roman"/>
          <w:sz w:val="24"/>
          <w:szCs w:val="24"/>
          <w:lang w:val="en-US"/>
        </w:rPr>
        <w:t xml:space="preserve">tabilirea modalităţilor de dezvoltare a sistemului de control intern managerial prin elaborarea </w:t>
      </w:r>
      <w:r w:rsidR="00C40A81" w:rsidRPr="00171E1C">
        <w:rPr>
          <w:rFonts w:ascii="Times New Roman" w:hAnsi="Times New Roman" w:cs="Times New Roman"/>
          <w:i/>
          <w:sz w:val="24"/>
          <w:szCs w:val="24"/>
          <w:lang w:val="en-US"/>
        </w:rPr>
        <w:t>Listei obiectivelor, activităţilor şi procedurilor</w:t>
      </w:r>
      <w:r w:rsidR="00C40A81" w:rsidRPr="00C40A81">
        <w:rPr>
          <w:rFonts w:ascii="Times New Roman" w:hAnsi="Times New Roman" w:cs="Times New Roman"/>
          <w:sz w:val="24"/>
          <w:szCs w:val="24"/>
          <w:lang w:val="en-US"/>
        </w:rPr>
        <w:t>, care presupune anticipat codificarea procedurilor formalizate;</w:t>
      </w:r>
    </w:p>
    <w:p w:rsidR="00CB685B" w:rsidRDefault="00CB685B" w:rsidP="00C7604C">
      <w:pPr>
        <w:pStyle w:val="ListParagraph"/>
        <w:numPr>
          <w:ilvl w:val="0"/>
          <w:numId w:val="18"/>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I</w:t>
      </w:r>
      <w:r w:rsidR="00C40A81" w:rsidRPr="00CB685B">
        <w:rPr>
          <w:rFonts w:ascii="Times New Roman" w:hAnsi="Times New Roman" w:cs="Times New Roman"/>
          <w:sz w:val="24"/>
          <w:szCs w:val="24"/>
          <w:lang w:val="en-US"/>
        </w:rPr>
        <w:t xml:space="preserve">nventarierea documentelor, a fluxurilor de informaţii, a proceselor şi a modului de comunicare între structurile entităţii şi alte entităţi, situaţie necesară pentru implementarea </w:t>
      </w:r>
      <w:r w:rsidR="00C40A81" w:rsidRPr="00CB685B">
        <w:rPr>
          <w:rFonts w:ascii="Times New Roman" w:hAnsi="Times New Roman" w:cs="Times New Roman"/>
          <w:i/>
          <w:sz w:val="24"/>
          <w:szCs w:val="24"/>
          <w:lang w:val="en-US"/>
        </w:rPr>
        <w:t>Standardului 12 - Informare şi comunicare</w:t>
      </w:r>
      <w:r w:rsidR="00C40A81" w:rsidRPr="00CB685B">
        <w:rPr>
          <w:rFonts w:ascii="Times New Roman" w:hAnsi="Times New Roman" w:cs="Times New Roman"/>
          <w:sz w:val="24"/>
          <w:szCs w:val="24"/>
          <w:lang w:val="en-US"/>
        </w:rPr>
        <w:t>;</w:t>
      </w:r>
    </w:p>
    <w:p w:rsidR="00CB685B" w:rsidRDefault="00CB685B" w:rsidP="00C7604C">
      <w:pPr>
        <w:pStyle w:val="ListParagraph"/>
        <w:numPr>
          <w:ilvl w:val="0"/>
          <w:numId w:val="18"/>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S</w:t>
      </w:r>
      <w:r w:rsidR="00C40A81" w:rsidRPr="00CB685B">
        <w:rPr>
          <w:rFonts w:ascii="Times New Roman" w:hAnsi="Times New Roman" w:cs="Times New Roman"/>
          <w:sz w:val="24"/>
          <w:szCs w:val="24"/>
          <w:lang w:val="en-US"/>
        </w:rPr>
        <w:t>tabilirea unui sistem de monitorizare a desfăşurării activităţilor din structura obiectivelor, pe baza rapoartelor anuale de monitorizare a indicatorilor de performanţă de la nivelul compartimentelor;</w:t>
      </w:r>
    </w:p>
    <w:p w:rsidR="00CB685B" w:rsidRDefault="00CB685B" w:rsidP="00C7604C">
      <w:pPr>
        <w:pStyle w:val="ListParagraph"/>
        <w:numPr>
          <w:ilvl w:val="0"/>
          <w:numId w:val="18"/>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A</w:t>
      </w:r>
      <w:r w:rsidR="00C40A81" w:rsidRPr="00C40A81">
        <w:rPr>
          <w:rFonts w:ascii="Times New Roman" w:hAnsi="Times New Roman" w:cs="Times New Roman"/>
          <w:sz w:val="24"/>
          <w:szCs w:val="24"/>
          <w:lang w:val="en-US"/>
        </w:rPr>
        <w:t xml:space="preserve">utoevaluarea realizării obiectivelor generale şi a celor specifice şi îmbunătăţirea sistemului de control intern managerial, pe baza </w:t>
      </w:r>
      <w:r w:rsidR="00C40A81" w:rsidRPr="00171E1C">
        <w:rPr>
          <w:rFonts w:ascii="Times New Roman" w:hAnsi="Times New Roman" w:cs="Times New Roman"/>
          <w:i/>
          <w:sz w:val="24"/>
          <w:szCs w:val="24"/>
          <w:lang w:val="en-US"/>
        </w:rPr>
        <w:t>Informării privind monitorizarea indicatorilor de performanţă</w:t>
      </w:r>
      <w:r w:rsidR="00C40A81" w:rsidRPr="00C40A81">
        <w:rPr>
          <w:rFonts w:ascii="Times New Roman" w:hAnsi="Times New Roman" w:cs="Times New Roman"/>
          <w:sz w:val="24"/>
          <w:szCs w:val="24"/>
          <w:lang w:val="en-US"/>
        </w:rPr>
        <w:t xml:space="preserve">, elaborată de către secretarul </w:t>
      </w:r>
      <w:r w:rsidR="00C40A81" w:rsidRPr="00171E1C">
        <w:rPr>
          <w:rFonts w:ascii="Times New Roman" w:hAnsi="Times New Roman" w:cs="Times New Roman"/>
          <w:i/>
          <w:sz w:val="24"/>
          <w:szCs w:val="24"/>
          <w:lang w:val="en-US"/>
        </w:rPr>
        <w:t>Comisiei de monitorizare</w:t>
      </w:r>
      <w:r w:rsidR="00C40A81" w:rsidRPr="00C40A81">
        <w:rPr>
          <w:rFonts w:ascii="Times New Roman" w:hAnsi="Times New Roman" w:cs="Times New Roman"/>
          <w:sz w:val="24"/>
          <w:szCs w:val="24"/>
          <w:lang w:val="en-US"/>
        </w:rPr>
        <w:t>, la nivelul entităţii;</w:t>
      </w:r>
    </w:p>
    <w:p w:rsidR="00CB685B" w:rsidRDefault="00CB685B" w:rsidP="00C7604C">
      <w:pPr>
        <w:pStyle w:val="ListParagraph"/>
        <w:numPr>
          <w:ilvl w:val="0"/>
          <w:numId w:val="18"/>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E</w:t>
      </w:r>
      <w:r w:rsidR="00C40A81" w:rsidRPr="00CB685B">
        <w:rPr>
          <w:rFonts w:ascii="Times New Roman" w:hAnsi="Times New Roman" w:cs="Times New Roman"/>
          <w:sz w:val="24"/>
          <w:szCs w:val="24"/>
          <w:lang w:val="en-US"/>
        </w:rPr>
        <w:t xml:space="preserve">laborarea procedurilor formalizate pe procese sau activităţi, pe baza procedurii de sistem - </w:t>
      </w:r>
      <w:r w:rsidR="00C40A81" w:rsidRPr="00CB685B">
        <w:rPr>
          <w:rFonts w:ascii="Times New Roman" w:hAnsi="Times New Roman" w:cs="Times New Roman"/>
          <w:i/>
          <w:sz w:val="24"/>
          <w:szCs w:val="24"/>
          <w:lang w:val="en-US"/>
        </w:rPr>
        <w:t>Procedura privind elaborarea procedurilor</w:t>
      </w:r>
      <w:r w:rsidR="00C40A81" w:rsidRPr="00CB685B">
        <w:rPr>
          <w:rFonts w:ascii="Times New Roman" w:hAnsi="Times New Roman" w:cs="Times New Roman"/>
          <w:sz w:val="24"/>
          <w:szCs w:val="24"/>
          <w:lang w:val="en-US"/>
        </w:rPr>
        <w:t>,</w:t>
      </w:r>
      <w:r w:rsidR="00154C5A" w:rsidRPr="00CB685B">
        <w:rPr>
          <w:rFonts w:ascii="Times New Roman" w:hAnsi="Times New Roman" w:cs="Times New Roman"/>
          <w:sz w:val="24"/>
          <w:szCs w:val="24"/>
          <w:lang w:val="en-US"/>
        </w:rPr>
        <w:t xml:space="preserve"> în conformitate cu </w:t>
      </w:r>
      <w:r w:rsidR="00154C5A" w:rsidRPr="00CB685B">
        <w:rPr>
          <w:rFonts w:ascii="Times New Roman" w:hAnsi="Times New Roman" w:cs="Times New Roman"/>
          <w:i/>
          <w:sz w:val="24"/>
          <w:szCs w:val="24"/>
          <w:lang w:val="en-US"/>
        </w:rPr>
        <w:t>A</w:t>
      </w:r>
      <w:r w:rsidR="00C40A81" w:rsidRPr="00CB685B">
        <w:rPr>
          <w:rFonts w:ascii="Times New Roman" w:hAnsi="Times New Roman" w:cs="Times New Roman"/>
          <w:i/>
          <w:sz w:val="24"/>
          <w:szCs w:val="24"/>
          <w:lang w:val="en-US"/>
        </w:rPr>
        <w:t xml:space="preserve">nexa 2 din </w:t>
      </w:r>
      <w:r w:rsidR="00154C5A" w:rsidRPr="00CB685B">
        <w:rPr>
          <w:rFonts w:ascii="Times New Roman" w:hAnsi="Times New Roman" w:cs="Times New Roman"/>
          <w:i/>
          <w:sz w:val="24"/>
          <w:szCs w:val="24"/>
          <w:lang w:val="en-US"/>
        </w:rPr>
        <w:t>OSGG</w:t>
      </w:r>
      <w:r w:rsidR="00C40A81" w:rsidRPr="00CB685B">
        <w:rPr>
          <w:rFonts w:ascii="Times New Roman" w:hAnsi="Times New Roman" w:cs="Times New Roman"/>
          <w:i/>
          <w:vanish/>
          <w:sz w:val="24"/>
          <w:szCs w:val="24"/>
          <w:lang w:val="en-US"/>
        </w:rPr>
        <w:t>&lt;LLNK 12015   400 507501   0 55&gt;</w:t>
      </w:r>
      <w:r w:rsidR="00154C5A" w:rsidRPr="00CB685B">
        <w:rPr>
          <w:rFonts w:ascii="Times New Roman" w:hAnsi="Times New Roman" w:cs="Times New Roman"/>
          <w:i/>
          <w:vanish/>
          <w:sz w:val="24"/>
          <w:szCs w:val="24"/>
          <w:lang w:val="en-US"/>
        </w:rPr>
        <w:t>OSGG</w:t>
      </w:r>
      <w:r w:rsidR="00C40A81" w:rsidRPr="00CB685B">
        <w:rPr>
          <w:rFonts w:ascii="Times New Roman" w:hAnsi="Times New Roman" w:cs="Times New Roman"/>
          <w:i/>
          <w:sz w:val="24"/>
          <w:szCs w:val="24"/>
          <w:lang w:val="en-US"/>
        </w:rPr>
        <w:t xml:space="preserve"> nr. 400/2015</w:t>
      </w:r>
      <w:r w:rsidR="00154C5A" w:rsidRPr="00CB685B">
        <w:rPr>
          <w:rFonts w:ascii="Times New Roman" w:hAnsi="Times New Roman" w:cs="Times New Roman"/>
          <w:i/>
          <w:sz w:val="24"/>
          <w:szCs w:val="24"/>
          <w:lang w:val="en-US"/>
        </w:rPr>
        <w:t>, cu modificările și completările ulterioare</w:t>
      </w:r>
      <w:r w:rsidR="00C40A81" w:rsidRPr="00CB685B">
        <w:rPr>
          <w:rFonts w:ascii="Times New Roman" w:hAnsi="Times New Roman" w:cs="Times New Roman"/>
          <w:sz w:val="24"/>
          <w:szCs w:val="24"/>
          <w:lang w:val="en-US"/>
        </w:rPr>
        <w:t>;</w:t>
      </w:r>
    </w:p>
    <w:p w:rsidR="00D550DD" w:rsidRPr="00CB685B" w:rsidRDefault="00CB685B" w:rsidP="00C7604C">
      <w:pPr>
        <w:pStyle w:val="ListParagraph"/>
        <w:numPr>
          <w:ilvl w:val="0"/>
          <w:numId w:val="18"/>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A</w:t>
      </w:r>
      <w:r w:rsidR="00C40A81" w:rsidRPr="00CB685B">
        <w:rPr>
          <w:rFonts w:ascii="Times New Roman" w:hAnsi="Times New Roman" w:cs="Times New Roman"/>
          <w:sz w:val="24"/>
          <w:szCs w:val="24"/>
          <w:lang w:val="en-US"/>
        </w:rPr>
        <w:t xml:space="preserve">naliza </w:t>
      </w:r>
      <w:r w:rsidR="00C40A81" w:rsidRPr="00CB685B">
        <w:rPr>
          <w:rFonts w:ascii="Times New Roman" w:hAnsi="Times New Roman" w:cs="Times New Roman"/>
          <w:i/>
          <w:sz w:val="24"/>
          <w:szCs w:val="24"/>
          <w:lang w:val="en-US"/>
        </w:rPr>
        <w:t>Programului de pregătire profesională a personalului</w:t>
      </w:r>
      <w:r w:rsidR="00C40A81" w:rsidRPr="00CB685B">
        <w:rPr>
          <w:rFonts w:ascii="Times New Roman" w:hAnsi="Times New Roman" w:cs="Times New Roman"/>
          <w:sz w:val="24"/>
          <w:szCs w:val="24"/>
          <w:lang w:val="en-US"/>
        </w:rPr>
        <w:t xml:space="preserve"> pentru implementarea</w:t>
      </w:r>
      <w:r w:rsidR="00C40A81" w:rsidRPr="00CB685B">
        <w:rPr>
          <w:rFonts w:ascii="Courier New" w:hAnsi="Courier New" w:cs="Courier New"/>
          <w:lang w:val="en-US"/>
        </w:rPr>
        <w:t xml:space="preserve"> </w:t>
      </w:r>
      <w:r w:rsidR="00C40A81" w:rsidRPr="00CB685B">
        <w:rPr>
          <w:rFonts w:ascii="Times New Roman" w:hAnsi="Times New Roman" w:cs="Times New Roman"/>
          <w:sz w:val="24"/>
          <w:szCs w:val="24"/>
          <w:lang w:val="en-US"/>
        </w:rPr>
        <w:t>şi dezvoltarea sistemului de control intern managerial în cadrul entităţii publice.</w:t>
      </w:r>
    </w:p>
    <w:p w:rsidR="0008556E" w:rsidRPr="00CB685B" w:rsidRDefault="00C45DD3" w:rsidP="00CB685B">
      <w:pPr>
        <w:tabs>
          <w:tab w:val="left" w:pos="810"/>
        </w:tabs>
        <w:spacing w:line="276" w:lineRule="auto"/>
        <w:jc w:val="both"/>
        <w:rPr>
          <w:rFonts w:ascii="Times New Roman" w:hAnsi="Times New Roman" w:cs="Times New Roman"/>
          <w:sz w:val="24"/>
          <w:szCs w:val="24"/>
        </w:rPr>
      </w:pPr>
      <w:r w:rsidRPr="00CB685B">
        <w:rPr>
          <w:rFonts w:ascii="Times New Roman" w:hAnsi="Times New Roman" w:cs="Times New Roman"/>
          <w:sz w:val="24"/>
          <w:szCs w:val="24"/>
        </w:rPr>
        <w:t>Din</w:t>
      </w:r>
      <w:r w:rsidRPr="00CB685B">
        <w:rPr>
          <w:rFonts w:ascii="Times New Roman" w:hAnsi="Times New Roman" w:cs="Times New Roman"/>
          <w:i/>
          <w:sz w:val="24"/>
          <w:szCs w:val="24"/>
        </w:rPr>
        <w:t xml:space="preserve"> </w:t>
      </w:r>
      <w:r w:rsidR="00F55233" w:rsidRPr="00CB685B">
        <w:rPr>
          <w:rFonts w:ascii="Times New Roman" w:hAnsi="Times New Roman" w:cs="Times New Roman"/>
          <w:i/>
          <w:sz w:val="24"/>
          <w:szCs w:val="24"/>
        </w:rPr>
        <w:t>Centralizarea privind stadiul implementării standardelor de control intern managerial la data de 31 decembrie 201</w:t>
      </w:r>
      <w:r w:rsidR="0008556E" w:rsidRPr="00CB685B">
        <w:rPr>
          <w:rFonts w:ascii="Times New Roman" w:hAnsi="Times New Roman" w:cs="Times New Roman"/>
          <w:i/>
          <w:sz w:val="24"/>
          <w:szCs w:val="24"/>
        </w:rPr>
        <w:t>6</w:t>
      </w:r>
      <w:r w:rsidRPr="00CB685B">
        <w:rPr>
          <w:rFonts w:ascii="Times New Roman" w:hAnsi="Times New Roman" w:cs="Times New Roman"/>
          <w:i/>
          <w:sz w:val="24"/>
          <w:szCs w:val="24"/>
        </w:rPr>
        <w:t>,</w:t>
      </w:r>
      <w:r w:rsidR="00800549" w:rsidRPr="00CB685B">
        <w:rPr>
          <w:rFonts w:ascii="Times New Roman" w:hAnsi="Times New Roman" w:cs="Times New Roman"/>
          <w:i/>
          <w:sz w:val="24"/>
          <w:szCs w:val="24"/>
        </w:rPr>
        <w:t xml:space="preserve"> </w:t>
      </w:r>
      <w:r w:rsidR="00171E1C" w:rsidRPr="00CB685B">
        <w:rPr>
          <w:rFonts w:ascii="Times New Roman" w:hAnsi="Times New Roman" w:cs="Times New Roman"/>
          <w:sz w:val="24"/>
          <w:szCs w:val="24"/>
        </w:rPr>
        <w:t>prezenta</w:t>
      </w:r>
      <w:r w:rsidR="00485D9D" w:rsidRPr="00CB685B">
        <w:rPr>
          <w:rFonts w:ascii="Times New Roman" w:hAnsi="Times New Roman" w:cs="Times New Roman"/>
          <w:sz w:val="24"/>
          <w:szCs w:val="24"/>
        </w:rPr>
        <w:t xml:space="preserve">tă în </w:t>
      </w:r>
      <w:r w:rsidR="00CC2750" w:rsidRPr="00CB685B">
        <w:rPr>
          <w:rFonts w:ascii="Times New Roman" w:hAnsi="Times New Roman" w:cs="Times New Roman"/>
          <w:i/>
          <w:sz w:val="24"/>
          <w:szCs w:val="24"/>
        </w:rPr>
        <w:t>Anexa</w:t>
      </w:r>
      <w:r w:rsidR="00485D9D" w:rsidRPr="00CB685B">
        <w:rPr>
          <w:rFonts w:ascii="Times New Roman" w:hAnsi="Times New Roman" w:cs="Times New Roman"/>
          <w:i/>
          <w:sz w:val="24"/>
          <w:szCs w:val="24"/>
        </w:rPr>
        <w:t xml:space="preserve"> nr. 2 </w:t>
      </w:r>
      <w:r w:rsidR="00800549" w:rsidRPr="00CB685B">
        <w:rPr>
          <w:rFonts w:ascii="Times New Roman" w:hAnsi="Times New Roman" w:cs="Times New Roman"/>
          <w:i/>
          <w:sz w:val="24"/>
          <w:szCs w:val="24"/>
        </w:rPr>
        <w:t xml:space="preserve"> la</w:t>
      </w:r>
      <w:r w:rsidR="00CC2750" w:rsidRPr="00CB685B">
        <w:rPr>
          <w:rFonts w:ascii="Times New Roman" w:hAnsi="Times New Roman" w:cs="Times New Roman"/>
          <w:i/>
          <w:sz w:val="24"/>
          <w:szCs w:val="24"/>
        </w:rPr>
        <w:t xml:space="preserve"> R</w:t>
      </w:r>
      <w:r w:rsidR="00800549" w:rsidRPr="00CB685B">
        <w:rPr>
          <w:rFonts w:ascii="Times New Roman" w:hAnsi="Times New Roman" w:cs="Times New Roman"/>
          <w:i/>
          <w:sz w:val="24"/>
          <w:szCs w:val="24"/>
        </w:rPr>
        <w:t>aport,</w:t>
      </w:r>
      <w:r w:rsidRPr="00CB685B">
        <w:rPr>
          <w:rFonts w:ascii="Times New Roman" w:hAnsi="Times New Roman" w:cs="Times New Roman"/>
          <w:i/>
          <w:sz w:val="24"/>
          <w:szCs w:val="24"/>
        </w:rPr>
        <w:t xml:space="preserve"> </w:t>
      </w:r>
      <w:r w:rsidRPr="00CB685B">
        <w:rPr>
          <w:rFonts w:ascii="Times New Roman" w:hAnsi="Times New Roman" w:cs="Times New Roman"/>
          <w:sz w:val="24"/>
          <w:szCs w:val="24"/>
        </w:rPr>
        <w:t xml:space="preserve">rezultă că din </w:t>
      </w:r>
      <w:r w:rsidR="00CF002C" w:rsidRPr="00CB685B">
        <w:rPr>
          <w:rFonts w:ascii="Times New Roman" w:hAnsi="Times New Roman" w:cs="Times New Roman"/>
          <w:sz w:val="24"/>
          <w:szCs w:val="24"/>
        </w:rPr>
        <w:t xml:space="preserve">totalul de </w:t>
      </w:r>
      <w:r w:rsidR="0008556E" w:rsidRPr="00CB685B">
        <w:rPr>
          <w:rFonts w:ascii="Times New Roman" w:hAnsi="Times New Roman" w:cs="Times New Roman"/>
          <w:sz w:val="24"/>
          <w:szCs w:val="24"/>
        </w:rPr>
        <w:t>54</w:t>
      </w:r>
      <w:r w:rsidRPr="00CB685B">
        <w:rPr>
          <w:rFonts w:ascii="Times New Roman" w:hAnsi="Times New Roman" w:cs="Times New Roman"/>
          <w:sz w:val="24"/>
          <w:szCs w:val="24"/>
        </w:rPr>
        <w:t xml:space="preserve"> de ordonatori principali de credite, </w:t>
      </w:r>
      <w:r w:rsidR="00CC2750" w:rsidRPr="00CB685B">
        <w:rPr>
          <w:rFonts w:ascii="Times New Roman" w:hAnsi="Times New Roman" w:cs="Times New Roman"/>
          <w:sz w:val="24"/>
          <w:szCs w:val="24"/>
        </w:rPr>
        <w:t xml:space="preserve">au raportat </w:t>
      </w:r>
      <w:r w:rsidR="002D45DF" w:rsidRPr="00CB685B">
        <w:rPr>
          <w:rFonts w:ascii="Times New Roman" w:hAnsi="Times New Roman" w:cs="Times New Roman"/>
          <w:sz w:val="24"/>
          <w:szCs w:val="24"/>
        </w:rPr>
        <w:t xml:space="preserve">numai </w:t>
      </w:r>
      <w:r w:rsidR="0008556E" w:rsidRPr="00CB685B">
        <w:rPr>
          <w:rFonts w:ascii="Times New Roman" w:hAnsi="Times New Roman" w:cs="Times New Roman"/>
          <w:sz w:val="24"/>
          <w:szCs w:val="24"/>
        </w:rPr>
        <w:t>50</w:t>
      </w:r>
      <w:r w:rsidRPr="00CB685B">
        <w:rPr>
          <w:rFonts w:ascii="Times New Roman" w:hAnsi="Times New Roman" w:cs="Times New Roman"/>
          <w:sz w:val="24"/>
          <w:szCs w:val="24"/>
        </w:rPr>
        <w:t>,</w:t>
      </w:r>
      <w:r w:rsidR="00CF002C" w:rsidRPr="00CB685B">
        <w:rPr>
          <w:rFonts w:ascii="Times New Roman" w:hAnsi="Times New Roman" w:cs="Times New Roman"/>
          <w:sz w:val="24"/>
          <w:szCs w:val="24"/>
        </w:rPr>
        <w:t xml:space="preserve"> </w:t>
      </w:r>
      <w:r w:rsidR="0008556E" w:rsidRPr="00CB685B">
        <w:rPr>
          <w:rFonts w:ascii="Times New Roman" w:hAnsi="Times New Roman" w:cs="Times New Roman"/>
          <w:sz w:val="24"/>
          <w:szCs w:val="24"/>
        </w:rPr>
        <w:t>mai puțin 2 entități publice centrale care nu au transmis situațiile prevăzute de cadrul de reglemntare: Ministerul Economiei, Comerțului și Relațiilor cu Mediul de Afaceri, Ministerul pentru Consultare Publică și Dialog Civic și 2 entități publice care sunt exceptate de la raportare  (conform art.8</w:t>
      </w:r>
      <w:r w:rsidR="0008556E" w:rsidRPr="00CB685B">
        <w:rPr>
          <w:rFonts w:ascii="Times New Roman" w:hAnsi="Times New Roman" w:cs="Times New Roman"/>
          <w:sz w:val="28"/>
          <w:szCs w:val="24"/>
          <w:vertAlign w:val="superscript"/>
        </w:rPr>
        <w:t>1</w:t>
      </w:r>
      <w:r w:rsidR="0008556E" w:rsidRPr="00CB685B">
        <w:rPr>
          <w:rFonts w:ascii="Times New Roman" w:hAnsi="Times New Roman" w:cs="Times New Roman"/>
          <w:sz w:val="28"/>
          <w:szCs w:val="24"/>
        </w:rPr>
        <w:t xml:space="preserve">, </w:t>
      </w:r>
      <w:r w:rsidR="0008556E" w:rsidRPr="00CB685B">
        <w:rPr>
          <w:rFonts w:ascii="Times New Roman" w:hAnsi="Times New Roman" w:cs="Times New Roman"/>
          <w:sz w:val="24"/>
          <w:szCs w:val="24"/>
        </w:rPr>
        <w:t>alin. 3 din OSGG nr. 400/2015 cu modificările și completările ulterioare): Serviciul de Protecție și Pază și Serviciul de Telecomunicații Speciale.</w:t>
      </w:r>
    </w:p>
    <w:p w:rsidR="00CF56B0" w:rsidRPr="00CB685B" w:rsidRDefault="00CF002C" w:rsidP="00CB685B">
      <w:pPr>
        <w:tabs>
          <w:tab w:val="left" w:pos="567"/>
          <w:tab w:val="left" w:pos="630"/>
          <w:tab w:val="left" w:pos="720"/>
        </w:tabs>
        <w:spacing w:line="276" w:lineRule="auto"/>
        <w:jc w:val="both"/>
        <w:rPr>
          <w:rFonts w:ascii="Times New Roman" w:hAnsi="Times New Roman" w:cs="Times New Roman"/>
          <w:b/>
          <w:sz w:val="24"/>
          <w:szCs w:val="24"/>
        </w:rPr>
      </w:pPr>
      <w:r w:rsidRPr="00CB685B">
        <w:rPr>
          <w:rFonts w:ascii="Times New Roman" w:hAnsi="Times New Roman" w:cs="Times New Roman"/>
          <w:i/>
          <w:sz w:val="24"/>
          <w:szCs w:val="24"/>
        </w:rPr>
        <w:t>Stadi</w:t>
      </w:r>
      <w:r w:rsidR="00C45DD3" w:rsidRPr="00CB685B">
        <w:rPr>
          <w:rFonts w:ascii="Times New Roman" w:hAnsi="Times New Roman" w:cs="Times New Roman"/>
          <w:i/>
          <w:sz w:val="24"/>
          <w:szCs w:val="24"/>
        </w:rPr>
        <w:t>ul</w:t>
      </w:r>
      <w:r w:rsidRPr="00CB685B">
        <w:rPr>
          <w:rFonts w:ascii="Times New Roman" w:hAnsi="Times New Roman" w:cs="Times New Roman"/>
          <w:i/>
          <w:sz w:val="24"/>
          <w:szCs w:val="24"/>
        </w:rPr>
        <w:t xml:space="preserve"> </w:t>
      </w:r>
      <w:r w:rsidR="00F55233" w:rsidRPr="00CB685B">
        <w:rPr>
          <w:rFonts w:ascii="Times New Roman" w:hAnsi="Times New Roman" w:cs="Times New Roman"/>
          <w:i/>
          <w:sz w:val="24"/>
          <w:szCs w:val="24"/>
        </w:rPr>
        <w:t>implementării</w:t>
      </w:r>
      <w:r w:rsidRPr="00CB685B">
        <w:rPr>
          <w:rFonts w:ascii="Times New Roman" w:hAnsi="Times New Roman" w:cs="Times New Roman"/>
          <w:i/>
          <w:sz w:val="24"/>
          <w:szCs w:val="24"/>
        </w:rPr>
        <w:t xml:space="preserve"> standardelor de control intern managerial</w:t>
      </w:r>
      <w:r w:rsidR="00C45DD3" w:rsidRPr="00CB685B">
        <w:rPr>
          <w:rFonts w:ascii="Times New Roman" w:hAnsi="Times New Roman" w:cs="Times New Roman"/>
          <w:i/>
          <w:sz w:val="24"/>
          <w:szCs w:val="24"/>
        </w:rPr>
        <w:t xml:space="preserve"> la nivelul entităților publice centrale</w:t>
      </w:r>
      <w:r w:rsidR="00F15E86" w:rsidRPr="00CB685B">
        <w:rPr>
          <w:rFonts w:ascii="Times New Roman" w:hAnsi="Times New Roman" w:cs="Times New Roman"/>
          <w:i/>
          <w:sz w:val="24"/>
          <w:szCs w:val="24"/>
        </w:rPr>
        <w:t xml:space="preserve"> – aparat propriu</w:t>
      </w:r>
      <w:r w:rsidR="00C45DD3" w:rsidRPr="00CB685B">
        <w:rPr>
          <w:rFonts w:ascii="Times New Roman" w:hAnsi="Times New Roman" w:cs="Times New Roman"/>
          <w:i/>
          <w:sz w:val="24"/>
          <w:szCs w:val="24"/>
        </w:rPr>
        <w:t>,</w:t>
      </w:r>
      <w:r w:rsidRPr="00CB685B">
        <w:rPr>
          <w:rFonts w:ascii="Times New Roman" w:hAnsi="Times New Roman" w:cs="Times New Roman"/>
          <w:i/>
          <w:sz w:val="24"/>
          <w:szCs w:val="24"/>
        </w:rPr>
        <w:t xml:space="preserve"> la data de 31 decembrie 201</w:t>
      </w:r>
      <w:r w:rsidR="00E757BA" w:rsidRPr="00CB685B">
        <w:rPr>
          <w:rFonts w:ascii="Times New Roman" w:hAnsi="Times New Roman" w:cs="Times New Roman"/>
          <w:i/>
          <w:sz w:val="24"/>
          <w:szCs w:val="24"/>
        </w:rPr>
        <w:t>6</w:t>
      </w:r>
      <w:r w:rsidR="00E757BA" w:rsidRPr="00CB685B">
        <w:rPr>
          <w:rFonts w:ascii="Times New Roman" w:hAnsi="Times New Roman" w:cs="Times New Roman"/>
          <w:sz w:val="24"/>
          <w:szCs w:val="24"/>
        </w:rPr>
        <w:t xml:space="preserve"> comparativ</w:t>
      </w:r>
      <w:r w:rsidR="00E757BA" w:rsidRPr="00CB685B">
        <w:rPr>
          <w:rFonts w:ascii="Times New Roman" w:hAnsi="Times New Roman" w:cs="Times New Roman"/>
          <w:i/>
          <w:sz w:val="24"/>
          <w:szCs w:val="24"/>
        </w:rPr>
        <w:t xml:space="preserve"> cu anul 2015</w:t>
      </w:r>
      <w:r w:rsidR="00C45DD3" w:rsidRPr="00CB685B">
        <w:rPr>
          <w:rFonts w:ascii="Times New Roman" w:hAnsi="Times New Roman" w:cs="Times New Roman"/>
          <w:sz w:val="24"/>
          <w:szCs w:val="24"/>
        </w:rPr>
        <w:t>,</w:t>
      </w:r>
      <w:r w:rsidRPr="00CB685B">
        <w:rPr>
          <w:rFonts w:ascii="Times New Roman" w:hAnsi="Times New Roman" w:cs="Times New Roman"/>
          <w:sz w:val="24"/>
          <w:szCs w:val="24"/>
        </w:rPr>
        <w:t xml:space="preserve"> </w:t>
      </w:r>
      <w:r w:rsidR="00CF56B0" w:rsidRPr="00CB685B">
        <w:rPr>
          <w:rFonts w:ascii="Times New Roman" w:hAnsi="Times New Roman" w:cs="Times New Roman"/>
          <w:sz w:val="24"/>
          <w:szCs w:val="24"/>
        </w:rPr>
        <w:t>așa cum rezultă din tabelul</w:t>
      </w:r>
      <w:r w:rsidR="00CB685B">
        <w:rPr>
          <w:rFonts w:ascii="Times New Roman" w:hAnsi="Times New Roman" w:cs="Times New Roman"/>
          <w:sz w:val="24"/>
          <w:szCs w:val="24"/>
        </w:rPr>
        <w:t xml:space="preserve"> nr. 2</w:t>
      </w:r>
      <w:r w:rsidR="00CF56B0" w:rsidRPr="00CB685B">
        <w:rPr>
          <w:rFonts w:ascii="Times New Roman" w:hAnsi="Times New Roman" w:cs="Times New Roman"/>
          <w:sz w:val="24"/>
          <w:szCs w:val="24"/>
        </w:rPr>
        <w:t xml:space="preserve"> și reprezentarea grafică de mai jos:</w:t>
      </w:r>
    </w:p>
    <w:p w:rsidR="00CF002C" w:rsidRPr="00CF56B0" w:rsidRDefault="00CF56B0" w:rsidP="0040313D">
      <w:pPr>
        <w:pStyle w:val="ListParagraph"/>
        <w:tabs>
          <w:tab w:val="left" w:pos="630"/>
          <w:tab w:val="left" w:pos="720"/>
          <w:tab w:val="left" w:pos="900"/>
        </w:tabs>
        <w:spacing w:line="276" w:lineRule="auto"/>
        <w:ind w:left="450"/>
        <w:jc w:val="right"/>
        <w:rPr>
          <w:rFonts w:ascii="Times New Roman" w:hAnsi="Times New Roman" w:cs="Times New Roman"/>
          <w:b/>
          <w:sz w:val="24"/>
          <w:szCs w:val="24"/>
        </w:rPr>
      </w:pPr>
      <w:r w:rsidRPr="00CF56B0">
        <w:rPr>
          <w:rFonts w:ascii="Times New Roman" w:hAnsi="Times New Roman" w:cs="Times New Roman"/>
          <w:b/>
          <w:sz w:val="24"/>
          <w:szCs w:val="24"/>
        </w:rPr>
        <w:t>Tabel nr. 2</w:t>
      </w:r>
    </w:p>
    <w:p w:rsidR="00CB685B" w:rsidRDefault="00060E8D" w:rsidP="00CB685B">
      <w:pPr>
        <w:spacing w:after="0" w:line="276" w:lineRule="auto"/>
        <w:jc w:val="center"/>
        <w:rPr>
          <w:rFonts w:ascii="Times New Roman" w:hAnsi="Times New Roman" w:cs="Times New Roman"/>
          <w:b/>
          <w:sz w:val="24"/>
          <w:szCs w:val="24"/>
        </w:rPr>
      </w:pPr>
      <w:r w:rsidRPr="00CF56B0">
        <w:rPr>
          <w:rFonts w:ascii="Times New Roman" w:hAnsi="Times New Roman" w:cs="Times New Roman"/>
          <w:b/>
          <w:sz w:val="24"/>
          <w:szCs w:val="24"/>
        </w:rPr>
        <w:t>Stadiul implementării standardel</w:t>
      </w:r>
      <w:r w:rsidR="00CF56B0">
        <w:rPr>
          <w:rFonts w:ascii="Times New Roman" w:hAnsi="Times New Roman" w:cs="Times New Roman"/>
          <w:b/>
          <w:sz w:val="24"/>
          <w:szCs w:val="24"/>
        </w:rPr>
        <w:t>or de control intern managerial</w:t>
      </w:r>
      <w:r w:rsidRPr="00CF56B0">
        <w:rPr>
          <w:rFonts w:ascii="Times New Roman" w:hAnsi="Times New Roman" w:cs="Times New Roman"/>
          <w:b/>
          <w:sz w:val="24"/>
          <w:szCs w:val="24"/>
        </w:rPr>
        <w:t xml:space="preserve"> la nivelul </w:t>
      </w:r>
      <w:r w:rsidR="006B6861">
        <w:rPr>
          <w:rFonts w:ascii="Times New Roman" w:hAnsi="Times New Roman" w:cs="Times New Roman"/>
          <w:b/>
          <w:sz w:val="24"/>
          <w:szCs w:val="24"/>
        </w:rPr>
        <w:t xml:space="preserve">fiecărui </w:t>
      </w:r>
    </w:p>
    <w:p w:rsidR="00060E8D" w:rsidRDefault="006B6861" w:rsidP="00CB685B">
      <w:pPr>
        <w:spacing w:after="0" w:line="276" w:lineRule="auto"/>
        <w:jc w:val="center"/>
        <w:rPr>
          <w:rFonts w:ascii="Times New Roman" w:hAnsi="Times New Roman" w:cs="Times New Roman"/>
          <w:b/>
          <w:sz w:val="24"/>
          <w:szCs w:val="24"/>
        </w:rPr>
      </w:pPr>
      <w:r>
        <w:rPr>
          <w:rFonts w:ascii="Times New Roman" w:hAnsi="Times New Roman" w:cs="Times New Roman"/>
          <w:b/>
          <w:sz w:val="24"/>
          <w:szCs w:val="24"/>
        </w:rPr>
        <w:t>ordonator principal</w:t>
      </w:r>
      <w:r w:rsidR="00060E8D" w:rsidRPr="00CF56B0">
        <w:rPr>
          <w:rFonts w:ascii="Times New Roman" w:hAnsi="Times New Roman" w:cs="Times New Roman"/>
          <w:b/>
          <w:sz w:val="24"/>
          <w:szCs w:val="24"/>
        </w:rPr>
        <w:t xml:space="preserve"> de credite – aparat propriu</w:t>
      </w:r>
    </w:p>
    <w:p w:rsidR="00CB685B" w:rsidRPr="00CF56B0" w:rsidRDefault="00CB685B" w:rsidP="00CB685B">
      <w:pPr>
        <w:spacing w:after="0" w:line="276" w:lineRule="auto"/>
        <w:jc w:val="center"/>
        <w:rPr>
          <w:rFonts w:ascii="Times New Roman" w:hAnsi="Times New Roman" w:cs="Times New Roman"/>
          <w:b/>
          <w:sz w:val="24"/>
          <w:szCs w:val="24"/>
        </w:rPr>
      </w:pPr>
    </w:p>
    <w:tbl>
      <w:tblPr>
        <w:tblStyle w:val="TableGrid1"/>
        <w:tblW w:w="9493" w:type="dxa"/>
        <w:jc w:val="center"/>
        <w:tblLayout w:type="fixed"/>
        <w:tblLook w:val="04A0" w:firstRow="1" w:lastRow="0" w:firstColumn="1" w:lastColumn="0" w:noHBand="0" w:noVBand="1"/>
      </w:tblPr>
      <w:tblGrid>
        <w:gridCol w:w="562"/>
        <w:gridCol w:w="2410"/>
        <w:gridCol w:w="567"/>
        <w:gridCol w:w="567"/>
        <w:gridCol w:w="567"/>
        <w:gridCol w:w="1559"/>
        <w:gridCol w:w="567"/>
        <w:gridCol w:w="567"/>
        <w:gridCol w:w="567"/>
        <w:gridCol w:w="1560"/>
      </w:tblGrid>
      <w:tr w:rsidR="005D0D33" w:rsidRPr="005D0D33" w:rsidTr="00FE7CE5">
        <w:trPr>
          <w:tblHeader/>
          <w:jc w:val="center"/>
        </w:trPr>
        <w:tc>
          <w:tcPr>
            <w:tcW w:w="562" w:type="dxa"/>
            <w:vMerge w:val="restart"/>
            <w:shd w:val="clear" w:color="auto" w:fill="BDD6EE" w:themeFill="accent1" w:themeFillTint="66"/>
            <w:vAlign w:val="center"/>
          </w:tcPr>
          <w:p w:rsidR="005D0D33" w:rsidRPr="005D0D33" w:rsidRDefault="005D0D33" w:rsidP="005D0D33">
            <w:pPr>
              <w:spacing w:line="276" w:lineRule="auto"/>
              <w:jc w:val="both"/>
              <w:rPr>
                <w:rFonts w:ascii="Times New Roman" w:hAnsi="Times New Roman" w:cs="Times New Roman"/>
                <w:b/>
              </w:rPr>
            </w:pPr>
          </w:p>
          <w:p w:rsidR="005D0D33" w:rsidRPr="005D0D33" w:rsidRDefault="005D0D33" w:rsidP="005D0D33">
            <w:pPr>
              <w:spacing w:line="276" w:lineRule="auto"/>
              <w:jc w:val="both"/>
              <w:rPr>
                <w:rFonts w:ascii="Times New Roman" w:hAnsi="Times New Roman" w:cs="Times New Roman"/>
                <w:b/>
              </w:rPr>
            </w:pPr>
            <w:r w:rsidRPr="005D0D33">
              <w:rPr>
                <w:rFonts w:ascii="Times New Roman" w:hAnsi="Times New Roman" w:cs="Times New Roman"/>
                <w:b/>
              </w:rPr>
              <w:t>Nr. crt.</w:t>
            </w:r>
          </w:p>
        </w:tc>
        <w:tc>
          <w:tcPr>
            <w:tcW w:w="2410" w:type="dxa"/>
            <w:vMerge w:val="restart"/>
            <w:shd w:val="clear" w:color="auto" w:fill="BDD6EE" w:themeFill="accent1" w:themeFillTint="66"/>
            <w:vAlign w:val="center"/>
          </w:tcPr>
          <w:p w:rsidR="005D0D33" w:rsidRPr="005D0D33" w:rsidRDefault="005D0D33" w:rsidP="005D0D33">
            <w:pPr>
              <w:spacing w:line="276" w:lineRule="auto"/>
              <w:jc w:val="center"/>
              <w:rPr>
                <w:rFonts w:ascii="Times New Roman" w:hAnsi="Times New Roman" w:cs="Times New Roman"/>
                <w:b/>
              </w:rPr>
            </w:pPr>
          </w:p>
          <w:p w:rsidR="005D0D33" w:rsidRPr="005D0D33" w:rsidRDefault="005D0D33" w:rsidP="005D0D33">
            <w:pPr>
              <w:spacing w:line="276" w:lineRule="auto"/>
              <w:jc w:val="center"/>
              <w:rPr>
                <w:rFonts w:ascii="Times New Roman" w:hAnsi="Times New Roman" w:cs="Times New Roman"/>
                <w:b/>
              </w:rPr>
            </w:pPr>
            <w:r w:rsidRPr="005D0D33">
              <w:rPr>
                <w:rFonts w:ascii="Times New Roman" w:hAnsi="Times New Roman" w:cs="Times New Roman"/>
                <w:b/>
              </w:rPr>
              <w:t>Ordonator principal de credite</w:t>
            </w:r>
          </w:p>
          <w:p w:rsidR="005D0D33" w:rsidRPr="005D0D33" w:rsidRDefault="005D0D33" w:rsidP="005D0D33">
            <w:pPr>
              <w:spacing w:line="276" w:lineRule="auto"/>
              <w:jc w:val="center"/>
              <w:rPr>
                <w:rFonts w:ascii="Times New Roman" w:hAnsi="Times New Roman" w:cs="Times New Roman"/>
                <w:b/>
              </w:rPr>
            </w:pPr>
            <w:r w:rsidRPr="005D0D33">
              <w:rPr>
                <w:rFonts w:ascii="Times New Roman" w:hAnsi="Times New Roman" w:cs="Times New Roman"/>
                <w:b/>
              </w:rPr>
              <w:t>- aparat propriu -</w:t>
            </w:r>
          </w:p>
        </w:tc>
        <w:tc>
          <w:tcPr>
            <w:tcW w:w="3260" w:type="dxa"/>
            <w:gridSpan w:val="4"/>
            <w:shd w:val="clear" w:color="auto" w:fill="BDD6EE" w:themeFill="accent1" w:themeFillTint="66"/>
            <w:vAlign w:val="center"/>
          </w:tcPr>
          <w:p w:rsidR="005D0D33" w:rsidRPr="005D0D33" w:rsidRDefault="005D0D33" w:rsidP="005D0D33">
            <w:pPr>
              <w:spacing w:line="276" w:lineRule="auto"/>
              <w:jc w:val="center"/>
              <w:rPr>
                <w:rFonts w:ascii="Times New Roman" w:hAnsi="Times New Roman" w:cs="Times New Roman"/>
                <w:b/>
              </w:rPr>
            </w:pPr>
            <w:r w:rsidRPr="005D0D33">
              <w:rPr>
                <w:rFonts w:ascii="Times New Roman" w:hAnsi="Times New Roman" w:cs="Times New Roman"/>
                <w:b/>
              </w:rPr>
              <w:t>Anul 2015</w:t>
            </w:r>
          </w:p>
        </w:tc>
        <w:tc>
          <w:tcPr>
            <w:tcW w:w="3261" w:type="dxa"/>
            <w:gridSpan w:val="4"/>
            <w:shd w:val="clear" w:color="auto" w:fill="BDD6EE" w:themeFill="accent1" w:themeFillTint="66"/>
            <w:vAlign w:val="center"/>
          </w:tcPr>
          <w:p w:rsidR="005D0D33" w:rsidRPr="005D0D33" w:rsidRDefault="005D0D33" w:rsidP="005D0D33">
            <w:pPr>
              <w:spacing w:line="276" w:lineRule="auto"/>
              <w:jc w:val="center"/>
              <w:rPr>
                <w:rFonts w:ascii="Times New Roman" w:hAnsi="Times New Roman" w:cs="Times New Roman"/>
                <w:b/>
              </w:rPr>
            </w:pPr>
            <w:r w:rsidRPr="005D0D33">
              <w:rPr>
                <w:rFonts w:ascii="Times New Roman" w:hAnsi="Times New Roman" w:cs="Times New Roman"/>
                <w:b/>
              </w:rPr>
              <w:t>Anul 2016</w:t>
            </w:r>
          </w:p>
        </w:tc>
      </w:tr>
      <w:tr w:rsidR="005D0D33" w:rsidRPr="005D0D33" w:rsidTr="00FE7CE5">
        <w:trPr>
          <w:tblHeader/>
          <w:jc w:val="center"/>
        </w:trPr>
        <w:tc>
          <w:tcPr>
            <w:tcW w:w="562" w:type="dxa"/>
            <w:vMerge/>
            <w:shd w:val="clear" w:color="auto" w:fill="BDD6EE" w:themeFill="accent1" w:themeFillTint="66"/>
            <w:vAlign w:val="center"/>
          </w:tcPr>
          <w:p w:rsidR="005D0D33" w:rsidRPr="005D0D33" w:rsidRDefault="005D0D33" w:rsidP="005D0D33">
            <w:pPr>
              <w:spacing w:line="276" w:lineRule="auto"/>
              <w:jc w:val="both"/>
              <w:rPr>
                <w:rFonts w:ascii="Times New Roman" w:hAnsi="Times New Roman" w:cs="Times New Roman"/>
                <w:b/>
              </w:rPr>
            </w:pPr>
          </w:p>
        </w:tc>
        <w:tc>
          <w:tcPr>
            <w:tcW w:w="2410" w:type="dxa"/>
            <w:vMerge/>
            <w:shd w:val="clear" w:color="auto" w:fill="BDD6EE" w:themeFill="accent1" w:themeFillTint="66"/>
            <w:vAlign w:val="center"/>
          </w:tcPr>
          <w:p w:rsidR="005D0D33" w:rsidRPr="005D0D33" w:rsidRDefault="005D0D33" w:rsidP="005D0D33">
            <w:pPr>
              <w:spacing w:line="276" w:lineRule="auto"/>
              <w:jc w:val="center"/>
              <w:rPr>
                <w:rFonts w:ascii="Times New Roman" w:hAnsi="Times New Roman" w:cs="Times New Roman"/>
                <w:b/>
              </w:rPr>
            </w:pPr>
          </w:p>
        </w:tc>
        <w:tc>
          <w:tcPr>
            <w:tcW w:w="1701" w:type="dxa"/>
            <w:gridSpan w:val="3"/>
            <w:shd w:val="clear" w:color="auto" w:fill="BDD6EE" w:themeFill="accent1" w:themeFillTint="66"/>
            <w:vAlign w:val="center"/>
          </w:tcPr>
          <w:p w:rsidR="005D0D33" w:rsidRPr="005D0D33" w:rsidRDefault="00B61DA1" w:rsidP="00B61DA1">
            <w:pPr>
              <w:spacing w:line="276" w:lineRule="auto"/>
              <w:jc w:val="center"/>
              <w:rPr>
                <w:rFonts w:ascii="Times New Roman" w:hAnsi="Times New Roman" w:cs="Times New Roman"/>
                <w:b/>
              </w:rPr>
            </w:pPr>
            <w:r>
              <w:rPr>
                <w:rFonts w:ascii="Times New Roman" w:hAnsi="Times New Roman" w:cs="Times New Roman"/>
                <w:b/>
              </w:rPr>
              <w:t>Număr</w:t>
            </w:r>
            <w:r w:rsidR="005D0D33" w:rsidRPr="005D0D33">
              <w:rPr>
                <w:rFonts w:ascii="Times New Roman" w:hAnsi="Times New Roman" w:cs="Times New Roman"/>
                <w:b/>
              </w:rPr>
              <w:t xml:space="preserve"> standarde de control intern managerial</w:t>
            </w:r>
          </w:p>
        </w:tc>
        <w:tc>
          <w:tcPr>
            <w:tcW w:w="1559" w:type="dxa"/>
            <w:vMerge w:val="restart"/>
            <w:shd w:val="clear" w:color="auto" w:fill="BDD6EE" w:themeFill="accent1" w:themeFillTint="66"/>
            <w:vAlign w:val="center"/>
          </w:tcPr>
          <w:p w:rsidR="00B61DA1" w:rsidRDefault="00B61DA1" w:rsidP="00B61DA1">
            <w:pPr>
              <w:spacing w:line="276" w:lineRule="auto"/>
              <w:jc w:val="center"/>
              <w:rPr>
                <w:rFonts w:ascii="Times New Roman" w:hAnsi="Times New Roman" w:cs="Times New Roman"/>
                <w:b/>
              </w:rPr>
            </w:pPr>
            <w:r w:rsidRPr="005D0D33">
              <w:rPr>
                <w:rFonts w:ascii="Times New Roman" w:hAnsi="Times New Roman" w:cs="Times New Roman"/>
                <w:b/>
              </w:rPr>
              <w:t xml:space="preserve">Grad </w:t>
            </w:r>
            <w:r>
              <w:rPr>
                <w:rFonts w:ascii="Times New Roman" w:hAnsi="Times New Roman" w:cs="Times New Roman"/>
                <w:b/>
              </w:rPr>
              <w:t>implementare standarde de control</w:t>
            </w:r>
          </w:p>
          <w:p w:rsidR="005D0D33" w:rsidRPr="005D0D33" w:rsidRDefault="00B61DA1" w:rsidP="00B61DA1">
            <w:pPr>
              <w:spacing w:line="276" w:lineRule="auto"/>
              <w:jc w:val="center"/>
              <w:rPr>
                <w:rFonts w:ascii="Times New Roman" w:hAnsi="Times New Roman" w:cs="Times New Roman"/>
                <w:b/>
              </w:rPr>
            </w:pPr>
            <w:r w:rsidRPr="005D0D33">
              <w:rPr>
                <w:rFonts w:ascii="Times New Roman" w:hAnsi="Times New Roman" w:cs="Times New Roman"/>
                <w:b/>
              </w:rPr>
              <w:t>(%)</w:t>
            </w:r>
          </w:p>
        </w:tc>
        <w:tc>
          <w:tcPr>
            <w:tcW w:w="1701" w:type="dxa"/>
            <w:gridSpan w:val="3"/>
            <w:shd w:val="clear" w:color="auto" w:fill="BDD6EE" w:themeFill="accent1" w:themeFillTint="66"/>
            <w:vAlign w:val="center"/>
          </w:tcPr>
          <w:p w:rsidR="005D0D33" w:rsidRPr="005D0D33" w:rsidRDefault="005D0D33" w:rsidP="005D0D33">
            <w:pPr>
              <w:spacing w:line="276" w:lineRule="auto"/>
              <w:jc w:val="center"/>
              <w:rPr>
                <w:rFonts w:ascii="Times New Roman" w:hAnsi="Times New Roman" w:cs="Times New Roman"/>
                <w:b/>
              </w:rPr>
            </w:pPr>
            <w:r w:rsidRPr="005D0D33">
              <w:rPr>
                <w:rFonts w:ascii="Times New Roman" w:hAnsi="Times New Roman" w:cs="Times New Roman"/>
                <w:b/>
              </w:rPr>
              <w:t>Numărul standardelor de control intern managerial</w:t>
            </w:r>
          </w:p>
        </w:tc>
        <w:tc>
          <w:tcPr>
            <w:tcW w:w="1560" w:type="dxa"/>
            <w:vMerge w:val="restart"/>
            <w:shd w:val="clear" w:color="auto" w:fill="BDD6EE" w:themeFill="accent1" w:themeFillTint="66"/>
            <w:vAlign w:val="center"/>
          </w:tcPr>
          <w:p w:rsidR="00B61DA1" w:rsidRDefault="005D0D33" w:rsidP="00B61DA1">
            <w:pPr>
              <w:spacing w:line="276" w:lineRule="auto"/>
              <w:jc w:val="center"/>
              <w:rPr>
                <w:rFonts w:ascii="Times New Roman" w:hAnsi="Times New Roman" w:cs="Times New Roman"/>
                <w:b/>
              </w:rPr>
            </w:pPr>
            <w:r w:rsidRPr="005D0D33">
              <w:rPr>
                <w:rFonts w:ascii="Times New Roman" w:hAnsi="Times New Roman" w:cs="Times New Roman"/>
                <w:b/>
              </w:rPr>
              <w:t xml:space="preserve">Grad </w:t>
            </w:r>
            <w:r w:rsidR="00B61DA1">
              <w:rPr>
                <w:rFonts w:ascii="Times New Roman" w:hAnsi="Times New Roman" w:cs="Times New Roman"/>
                <w:b/>
              </w:rPr>
              <w:t>implementare</w:t>
            </w:r>
            <w:r w:rsidR="00CB685B">
              <w:rPr>
                <w:rFonts w:ascii="Times New Roman" w:hAnsi="Times New Roman" w:cs="Times New Roman"/>
                <w:b/>
              </w:rPr>
              <w:t xml:space="preserve"> </w:t>
            </w:r>
            <w:r w:rsidR="00B61DA1">
              <w:rPr>
                <w:rFonts w:ascii="Times New Roman" w:hAnsi="Times New Roman" w:cs="Times New Roman"/>
                <w:b/>
              </w:rPr>
              <w:t>standarde de control</w:t>
            </w:r>
          </w:p>
          <w:p w:rsidR="005D0D33" w:rsidRPr="005D0D33" w:rsidRDefault="005D0D33" w:rsidP="00B61DA1">
            <w:pPr>
              <w:spacing w:line="276" w:lineRule="auto"/>
              <w:jc w:val="center"/>
              <w:rPr>
                <w:rFonts w:ascii="Times New Roman" w:hAnsi="Times New Roman" w:cs="Times New Roman"/>
                <w:b/>
              </w:rPr>
            </w:pPr>
            <w:r w:rsidRPr="005D0D33">
              <w:rPr>
                <w:rFonts w:ascii="Times New Roman" w:hAnsi="Times New Roman" w:cs="Times New Roman"/>
                <w:b/>
              </w:rPr>
              <w:t>(%)</w:t>
            </w:r>
          </w:p>
        </w:tc>
      </w:tr>
      <w:tr w:rsidR="005D0D33" w:rsidRPr="005D0D33" w:rsidTr="00FE7CE5">
        <w:trPr>
          <w:jc w:val="center"/>
        </w:trPr>
        <w:tc>
          <w:tcPr>
            <w:tcW w:w="562" w:type="dxa"/>
            <w:vMerge/>
            <w:vAlign w:val="center"/>
          </w:tcPr>
          <w:p w:rsidR="005D0D33" w:rsidRPr="005D0D33" w:rsidRDefault="005D0D33" w:rsidP="005D0D33">
            <w:pPr>
              <w:spacing w:line="276" w:lineRule="auto"/>
              <w:jc w:val="both"/>
              <w:rPr>
                <w:rFonts w:ascii="Times New Roman" w:hAnsi="Times New Roman" w:cs="Times New Roman"/>
              </w:rPr>
            </w:pPr>
          </w:p>
        </w:tc>
        <w:tc>
          <w:tcPr>
            <w:tcW w:w="2410" w:type="dxa"/>
            <w:vMerge/>
            <w:vAlign w:val="center"/>
          </w:tcPr>
          <w:p w:rsidR="005D0D33" w:rsidRPr="005D0D33" w:rsidRDefault="005D0D33" w:rsidP="005D0D33">
            <w:pPr>
              <w:spacing w:line="276" w:lineRule="auto"/>
              <w:jc w:val="both"/>
              <w:rPr>
                <w:rFonts w:ascii="Times New Roman" w:hAnsi="Times New Roman" w:cs="Times New Roman"/>
              </w:rPr>
            </w:pPr>
          </w:p>
        </w:tc>
        <w:tc>
          <w:tcPr>
            <w:tcW w:w="567" w:type="dxa"/>
            <w:shd w:val="clear" w:color="auto" w:fill="BDD6EE" w:themeFill="accent1" w:themeFillTint="66"/>
            <w:vAlign w:val="center"/>
          </w:tcPr>
          <w:p w:rsidR="005D0D33" w:rsidRPr="005D0D33" w:rsidRDefault="005D0D33" w:rsidP="005D0D33">
            <w:pPr>
              <w:spacing w:line="276" w:lineRule="auto"/>
              <w:jc w:val="center"/>
              <w:rPr>
                <w:rFonts w:ascii="Times New Roman" w:hAnsi="Times New Roman" w:cs="Times New Roman"/>
                <w:b/>
              </w:rPr>
            </w:pPr>
            <w:r w:rsidRPr="005D0D33">
              <w:rPr>
                <w:rFonts w:ascii="Times New Roman" w:hAnsi="Times New Roman" w:cs="Times New Roman"/>
                <w:b/>
              </w:rPr>
              <w:t>I</w:t>
            </w:r>
          </w:p>
        </w:tc>
        <w:tc>
          <w:tcPr>
            <w:tcW w:w="567" w:type="dxa"/>
            <w:shd w:val="clear" w:color="auto" w:fill="BDD6EE" w:themeFill="accent1" w:themeFillTint="66"/>
            <w:vAlign w:val="center"/>
          </w:tcPr>
          <w:p w:rsidR="005D0D33" w:rsidRPr="005D0D33" w:rsidRDefault="005D0D33" w:rsidP="005D0D33">
            <w:pPr>
              <w:spacing w:line="276" w:lineRule="auto"/>
              <w:jc w:val="center"/>
              <w:rPr>
                <w:rFonts w:ascii="Times New Roman" w:hAnsi="Times New Roman" w:cs="Times New Roman"/>
                <w:b/>
              </w:rPr>
            </w:pPr>
            <w:r w:rsidRPr="005D0D33">
              <w:rPr>
                <w:rFonts w:ascii="Times New Roman" w:hAnsi="Times New Roman" w:cs="Times New Roman"/>
                <w:b/>
              </w:rPr>
              <w:t>PI</w:t>
            </w:r>
          </w:p>
        </w:tc>
        <w:tc>
          <w:tcPr>
            <w:tcW w:w="567" w:type="dxa"/>
            <w:shd w:val="clear" w:color="auto" w:fill="BDD6EE" w:themeFill="accent1" w:themeFillTint="66"/>
            <w:vAlign w:val="center"/>
          </w:tcPr>
          <w:p w:rsidR="005D0D33" w:rsidRPr="005D0D33" w:rsidRDefault="005D0D33" w:rsidP="005D0D33">
            <w:pPr>
              <w:spacing w:line="276" w:lineRule="auto"/>
              <w:jc w:val="center"/>
              <w:rPr>
                <w:rFonts w:ascii="Times New Roman" w:hAnsi="Times New Roman" w:cs="Times New Roman"/>
                <w:b/>
              </w:rPr>
            </w:pPr>
            <w:r w:rsidRPr="005D0D33">
              <w:rPr>
                <w:rFonts w:ascii="Times New Roman" w:hAnsi="Times New Roman" w:cs="Times New Roman"/>
                <w:b/>
              </w:rPr>
              <w:t>NI</w:t>
            </w:r>
          </w:p>
        </w:tc>
        <w:tc>
          <w:tcPr>
            <w:tcW w:w="1559" w:type="dxa"/>
            <w:vMerge/>
            <w:shd w:val="clear" w:color="auto" w:fill="BDD6EE" w:themeFill="accent1" w:themeFillTint="66"/>
            <w:vAlign w:val="center"/>
          </w:tcPr>
          <w:p w:rsidR="005D0D33" w:rsidRPr="005D0D33" w:rsidRDefault="005D0D33" w:rsidP="005D0D33">
            <w:pPr>
              <w:spacing w:line="276" w:lineRule="auto"/>
              <w:jc w:val="both"/>
              <w:rPr>
                <w:rFonts w:ascii="Times New Roman" w:hAnsi="Times New Roman" w:cs="Times New Roman"/>
              </w:rPr>
            </w:pPr>
          </w:p>
        </w:tc>
        <w:tc>
          <w:tcPr>
            <w:tcW w:w="567" w:type="dxa"/>
            <w:shd w:val="clear" w:color="auto" w:fill="BDD6EE" w:themeFill="accent1" w:themeFillTint="66"/>
            <w:vAlign w:val="center"/>
          </w:tcPr>
          <w:p w:rsidR="005D0D33" w:rsidRPr="005D0D33" w:rsidRDefault="005D0D33" w:rsidP="005D0D33">
            <w:pPr>
              <w:spacing w:line="276" w:lineRule="auto"/>
              <w:jc w:val="center"/>
              <w:rPr>
                <w:rFonts w:ascii="Times New Roman" w:hAnsi="Times New Roman" w:cs="Times New Roman"/>
                <w:b/>
              </w:rPr>
            </w:pPr>
            <w:r w:rsidRPr="005D0D33">
              <w:rPr>
                <w:rFonts w:ascii="Times New Roman" w:hAnsi="Times New Roman" w:cs="Times New Roman"/>
                <w:b/>
              </w:rPr>
              <w:t>I</w:t>
            </w:r>
          </w:p>
        </w:tc>
        <w:tc>
          <w:tcPr>
            <w:tcW w:w="567" w:type="dxa"/>
            <w:shd w:val="clear" w:color="auto" w:fill="BDD6EE" w:themeFill="accent1" w:themeFillTint="66"/>
            <w:vAlign w:val="center"/>
          </w:tcPr>
          <w:p w:rsidR="005D0D33" w:rsidRPr="005D0D33" w:rsidRDefault="005D0D33" w:rsidP="005D0D33">
            <w:pPr>
              <w:spacing w:line="276" w:lineRule="auto"/>
              <w:jc w:val="center"/>
              <w:rPr>
                <w:rFonts w:ascii="Times New Roman" w:hAnsi="Times New Roman" w:cs="Times New Roman"/>
                <w:b/>
              </w:rPr>
            </w:pPr>
            <w:r w:rsidRPr="005D0D33">
              <w:rPr>
                <w:rFonts w:ascii="Times New Roman" w:hAnsi="Times New Roman" w:cs="Times New Roman"/>
                <w:b/>
              </w:rPr>
              <w:t>PI</w:t>
            </w:r>
          </w:p>
        </w:tc>
        <w:tc>
          <w:tcPr>
            <w:tcW w:w="567" w:type="dxa"/>
            <w:shd w:val="clear" w:color="auto" w:fill="BDD6EE" w:themeFill="accent1" w:themeFillTint="66"/>
            <w:vAlign w:val="center"/>
          </w:tcPr>
          <w:p w:rsidR="005D0D33" w:rsidRPr="005D0D33" w:rsidRDefault="005D0D33" w:rsidP="005D0D33">
            <w:pPr>
              <w:spacing w:line="276" w:lineRule="auto"/>
              <w:jc w:val="center"/>
              <w:rPr>
                <w:rFonts w:ascii="Times New Roman" w:hAnsi="Times New Roman" w:cs="Times New Roman"/>
                <w:b/>
              </w:rPr>
            </w:pPr>
            <w:r w:rsidRPr="005D0D33">
              <w:rPr>
                <w:rFonts w:ascii="Times New Roman" w:hAnsi="Times New Roman" w:cs="Times New Roman"/>
                <w:b/>
              </w:rPr>
              <w:t>NI</w:t>
            </w:r>
          </w:p>
        </w:tc>
        <w:tc>
          <w:tcPr>
            <w:tcW w:w="1560" w:type="dxa"/>
            <w:vMerge/>
            <w:vAlign w:val="center"/>
          </w:tcPr>
          <w:p w:rsidR="005D0D33" w:rsidRPr="005D0D33" w:rsidRDefault="005D0D33" w:rsidP="005D0D33">
            <w:pPr>
              <w:spacing w:line="276" w:lineRule="auto"/>
              <w:jc w:val="both"/>
              <w:rPr>
                <w:rFonts w:ascii="Times New Roman" w:hAnsi="Times New Roman" w:cs="Times New Roman"/>
              </w:rPr>
            </w:pP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Curtea Constituţională</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Consiliul Concurenţei</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c>
          <w:tcPr>
            <w:tcW w:w="567" w:type="dxa"/>
            <w:shd w:val="clear" w:color="auto" w:fill="FFF2CC" w:themeFill="accent4" w:themeFillTint="33"/>
            <w:vAlign w:val="center"/>
          </w:tcPr>
          <w:p w:rsidR="005D0D33" w:rsidRPr="005D0D33" w:rsidRDefault="005B3CB3" w:rsidP="005B3CB3">
            <w:pPr>
              <w:spacing w:line="276" w:lineRule="auto"/>
              <w:jc w:val="center"/>
              <w:rPr>
                <w:rFonts w:ascii="Times New Roman" w:hAnsi="Times New Roman" w:cs="Times New Roman"/>
              </w:rPr>
            </w:pPr>
            <w:r>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Ministerul Afacerilor Interne</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c>
          <w:tcPr>
            <w:tcW w:w="567" w:type="dxa"/>
            <w:shd w:val="clear" w:color="auto" w:fill="FFF2CC" w:themeFill="accent4" w:themeFillTint="33"/>
            <w:vAlign w:val="center"/>
          </w:tcPr>
          <w:p w:rsidR="005D0D33" w:rsidRPr="005D0D33" w:rsidRDefault="005B3CB3" w:rsidP="005B3CB3">
            <w:pPr>
              <w:spacing w:line="276" w:lineRule="auto"/>
              <w:jc w:val="center"/>
              <w:rPr>
                <w:rFonts w:ascii="Times New Roman" w:hAnsi="Times New Roman" w:cs="Times New Roman"/>
              </w:rPr>
            </w:pPr>
            <w:r>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Ministerul Apărării Naţionale</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Ministerul Finanţelor Publice</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Serviciul de Protecţie şi Pază *</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c>
          <w:tcPr>
            <w:tcW w:w="567" w:type="dxa"/>
            <w:shd w:val="clear" w:color="auto" w:fill="FFF2CC" w:themeFill="accent4" w:themeFillTint="33"/>
            <w:vAlign w:val="center"/>
          </w:tcPr>
          <w:p w:rsidR="005D0D33" w:rsidRPr="005D0D33" w:rsidRDefault="00A335F3" w:rsidP="005D0D33">
            <w:pPr>
              <w:spacing w:line="276" w:lineRule="auto"/>
              <w:jc w:val="center"/>
              <w:rPr>
                <w:rFonts w:ascii="Times New Roman" w:hAnsi="Times New Roman" w:cs="Times New Roman"/>
              </w:rPr>
            </w:pPr>
            <w:r>
              <w:rPr>
                <w:rFonts w:ascii="Times New Roman" w:hAnsi="Times New Roman" w:cs="Times New Roman"/>
              </w:rPr>
              <w:t>-</w:t>
            </w:r>
          </w:p>
        </w:tc>
        <w:tc>
          <w:tcPr>
            <w:tcW w:w="567" w:type="dxa"/>
            <w:shd w:val="clear" w:color="auto" w:fill="FFF2CC" w:themeFill="accent4" w:themeFillTint="33"/>
            <w:vAlign w:val="center"/>
          </w:tcPr>
          <w:p w:rsidR="005D0D33" w:rsidRPr="005D0D33" w:rsidRDefault="00A335F3" w:rsidP="005D0D33">
            <w:pPr>
              <w:spacing w:line="276" w:lineRule="auto"/>
              <w:jc w:val="center"/>
              <w:rPr>
                <w:rFonts w:ascii="Times New Roman" w:hAnsi="Times New Roman" w:cs="Times New Roman"/>
              </w:rPr>
            </w:pPr>
            <w:r>
              <w:rPr>
                <w:rFonts w:ascii="Times New Roman" w:hAnsi="Times New Roman" w:cs="Times New Roman"/>
              </w:rPr>
              <w:t>-</w:t>
            </w:r>
          </w:p>
        </w:tc>
        <w:tc>
          <w:tcPr>
            <w:tcW w:w="567" w:type="dxa"/>
            <w:shd w:val="clear" w:color="auto" w:fill="FFF2CC" w:themeFill="accent4" w:themeFillTint="33"/>
            <w:vAlign w:val="center"/>
          </w:tcPr>
          <w:p w:rsidR="005D0D33" w:rsidRPr="005D0D33" w:rsidRDefault="00A335F3" w:rsidP="005D0D33">
            <w:pPr>
              <w:spacing w:line="276" w:lineRule="auto"/>
              <w:jc w:val="center"/>
              <w:rPr>
                <w:rFonts w:ascii="Times New Roman" w:hAnsi="Times New Roman" w:cs="Times New Roman"/>
              </w:rPr>
            </w:pPr>
            <w:r>
              <w:rPr>
                <w:rFonts w:ascii="Times New Roman" w:hAnsi="Times New Roman" w:cs="Times New Roman"/>
              </w:rPr>
              <w:t>-</w:t>
            </w:r>
          </w:p>
        </w:tc>
        <w:tc>
          <w:tcPr>
            <w:tcW w:w="1560" w:type="dxa"/>
            <w:shd w:val="clear" w:color="auto" w:fill="FFF2CC" w:themeFill="accent4" w:themeFillTint="33"/>
            <w:vAlign w:val="center"/>
          </w:tcPr>
          <w:p w:rsidR="005D0D33" w:rsidRPr="005D0D33" w:rsidRDefault="00A335F3" w:rsidP="005D0D33">
            <w:pPr>
              <w:spacing w:line="276" w:lineRule="auto"/>
              <w:jc w:val="center"/>
              <w:rPr>
                <w:rFonts w:ascii="Times New Roman" w:hAnsi="Times New Roman" w:cs="Times New Roman"/>
              </w:rPr>
            </w:pPr>
            <w:r>
              <w:rPr>
                <w:rFonts w:ascii="Times New Roman" w:hAnsi="Times New Roman" w:cs="Times New Roman"/>
              </w:rPr>
              <w:t>-</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Serviciul de Telecomunicaţii Speciale *</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c>
          <w:tcPr>
            <w:tcW w:w="567" w:type="dxa"/>
            <w:shd w:val="clear" w:color="auto" w:fill="FFF2CC" w:themeFill="accent4" w:themeFillTint="33"/>
            <w:vAlign w:val="center"/>
          </w:tcPr>
          <w:p w:rsidR="005D0D33" w:rsidRPr="005D0D33" w:rsidRDefault="00A335F3" w:rsidP="005D0D33">
            <w:pPr>
              <w:spacing w:line="276" w:lineRule="auto"/>
              <w:jc w:val="center"/>
              <w:rPr>
                <w:rFonts w:ascii="Times New Roman" w:hAnsi="Times New Roman" w:cs="Times New Roman"/>
              </w:rPr>
            </w:pPr>
            <w:r>
              <w:rPr>
                <w:rFonts w:ascii="Times New Roman" w:hAnsi="Times New Roman" w:cs="Times New Roman"/>
              </w:rPr>
              <w:t>-</w:t>
            </w:r>
          </w:p>
        </w:tc>
        <w:tc>
          <w:tcPr>
            <w:tcW w:w="567" w:type="dxa"/>
            <w:shd w:val="clear" w:color="auto" w:fill="FFF2CC" w:themeFill="accent4" w:themeFillTint="33"/>
            <w:vAlign w:val="center"/>
          </w:tcPr>
          <w:p w:rsidR="005D0D33" w:rsidRPr="005D0D33" w:rsidRDefault="00A335F3" w:rsidP="005D0D33">
            <w:pPr>
              <w:spacing w:line="276" w:lineRule="auto"/>
              <w:jc w:val="center"/>
              <w:rPr>
                <w:rFonts w:ascii="Times New Roman" w:hAnsi="Times New Roman" w:cs="Times New Roman"/>
              </w:rPr>
            </w:pPr>
            <w:r>
              <w:rPr>
                <w:rFonts w:ascii="Times New Roman" w:hAnsi="Times New Roman" w:cs="Times New Roman"/>
              </w:rPr>
              <w:t>-</w:t>
            </w:r>
          </w:p>
        </w:tc>
        <w:tc>
          <w:tcPr>
            <w:tcW w:w="567" w:type="dxa"/>
            <w:shd w:val="clear" w:color="auto" w:fill="FFF2CC" w:themeFill="accent4" w:themeFillTint="33"/>
            <w:vAlign w:val="center"/>
          </w:tcPr>
          <w:p w:rsidR="005D0D33" w:rsidRPr="005D0D33" w:rsidRDefault="00A335F3" w:rsidP="005D0D33">
            <w:pPr>
              <w:spacing w:line="276" w:lineRule="auto"/>
              <w:jc w:val="center"/>
              <w:rPr>
                <w:rFonts w:ascii="Times New Roman" w:hAnsi="Times New Roman" w:cs="Times New Roman"/>
              </w:rPr>
            </w:pPr>
            <w:r>
              <w:rPr>
                <w:rFonts w:ascii="Times New Roman" w:hAnsi="Times New Roman" w:cs="Times New Roman"/>
              </w:rPr>
              <w:t>-</w:t>
            </w:r>
          </w:p>
        </w:tc>
        <w:tc>
          <w:tcPr>
            <w:tcW w:w="1560" w:type="dxa"/>
            <w:shd w:val="clear" w:color="auto" w:fill="FFF2CC" w:themeFill="accent4" w:themeFillTint="33"/>
            <w:vAlign w:val="center"/>
          </w:tcPr>
          <w:p w:rsidR="005D0D33" w:rsidRPr="005D0D33" w:rsidRDefault="00A335F3" w:rsidP="005D0D33">
            <w:pPr>
              <w:spacing w:line="276" w:lineRule="auto"/>
              <w:jc w:val="center"/>
              <w:rPr>
                <w:rFonts w:ascii="Times New Roman" w:hAnsi="Times New Roman" w:cs="Times New Roman"/>
              </w:rPr>
            </w:pPr>
            <w:r>
              <w:rPr>
                <w:rFonts w:ascii="Times New Roman" w:hAnsi="Times New Roman" w:cs="Times New Roman"/>
              </w:rPr>
              <w:t>-</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Oficiul Naţional de Prevenire şi Combaterea Spălării Banilor</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Oficiul Registrului Naţional al Informaţiilor Secrete de Stat</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Agenţia Naţională de Presă Agerpres</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11.</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Consiliul Superior al Magistraturii</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12.</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Autoritatea Naţională de Supraveghere a Prelucrării Datelor cu Caracter Personal</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13.</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Consiliul Naţional de Soluţionare a Contesţatiilor</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14.</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Avocatul Poporului</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Secretariatul General al Guvernului</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62,50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Ministerul Dezvoltării Regionale şi Administraţiei Publice</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17.</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Ministerul Fondurilor Europene</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14</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87,50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18.</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Ministerul Justiţiei</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19.</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Ministerul Muncii, Familiei, Protecţiei Sociale şi Persoanelor Vârstnice</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20.</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Ministerul Public</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21.</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Agenţia Naţională de Integritate</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22.</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Serviciul Român de Informaţii</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23.</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Serviciul de Informaţii Externe</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24.</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Institutul Cultural Român</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25.</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Academia Română</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14</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87,50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93,75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26.</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Consiliul Naţional pentru Combaterea Discriminării</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14</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87,50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68,75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27.</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Autoritatea Electorală Permanentă</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14</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87,50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56,25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28.</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Senatul României</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13</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81,25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 xml:space="preserve"> 62,50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29.</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Înalta Curte de Casaţie şi Justiţie</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13</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81,25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14</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87,50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30.</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Ministerul Transporturilor</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13</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81,25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12</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75,00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31.</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Secretariatul de Stat pentru recunoașterea meritelor luptătorilor împotriva regimului comunist instaurat în România în perioada 1945-1989</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13</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81,25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68,75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32.</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Administraţia Prezidenţială</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12</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75,00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12</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75,00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33.</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Camera Deputaţilor</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12</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75,00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68,75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34.</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Curtea de Conturi a României</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12</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75,00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12</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75,00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35.</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Consiliul Naţional al Audiovizualului</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12</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75,00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68,75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36.</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Ministerul Agriculturii şi Dezvoltării Rurale</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12</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75,00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68,75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37.</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 xml:space="preserve">Ministerul Energiei </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12</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75,00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62,50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38.</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Autoritatea Naţională Sanitară Veterinară şi pentru Siguranţa Alimentelor</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12</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75,00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13</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81,25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39.</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Consiliul Legislativ</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68,75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68,75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40.</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Ministerul Culturii</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62,50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56,25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41.</w:t>
            </w:r>
          </w:p>
        </w:tc>
        <w:tc>
          <w:tcPr>
            <w:tcW w:w="2410" w:type="dxa"/>
            <w:shd w:val="clear" w:color="auto" w:fill="FFF2CC" w:themeFill="accent4" w:themeFillTint="33"/>
            <w:vAlign w:val="center"/>
          </w:tcPr>
          <w:p w:rsidR="005D0D33" w:rsidRPr="005D0D33" w:rsidRDefault="005D0D33" w:rsidP="005D0D33">
            <w:pPr>
              <w:tabs>
                <w:tab w:val="left" w:pos="0"/>
              </w:tabs>
              <w:spacing w:line="276" w:lineRule="auto"/>
              <w:jc w:val="both"/>
              <w:rPr>
                <w:rFonts w:ascii="Times New Roman" w:hAnsi="Times New Roman" w:cs="Times New Roman"/>
              </w:rPr>
            </w:pPr>
            <w:r w:rsidRPr="005D0D33">
              <w:rPr>
                <w:rFonts w:ascii="Times New Roman" w:hAnsi="Times New Roman" w:cs="Times New Roman"/>
              </w:rPr>
              <w:t>Societatea Română de Radiodifuziune</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62,50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62,50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42.</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Consiliul Economic şi Social</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62,50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56,25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43.</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Autoritatea pentru Administrarea Activelor Statului</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62,50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11</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68,75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44.</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Ministerul Afacerilor Externe</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56,25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56,25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45.</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Ministerul Educaţiei Naționale și Cercetării Științifice</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56,25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62,50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46.</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 xml:space="preserve">Ministerul Comunicațiilor pentru Societatea Informaţională </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56,25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56,25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47.</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Ministerul Sănătăţii</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56,25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12</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75,00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48.</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Societatea Română de Televiziune</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56,25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56,25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49.</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Autoritatea Naţională pentru Restituirea Proprietăţilor</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56,25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3</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62,50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50.</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Consiliul Naţional pentru Studierea Arhivelor Securităţii</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50,00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51.</w:t>
            </w:r>
          </w:p>
        </w:tc>
        <w:tc>
          <w:tcPr>
            <w:tcW w:w="2410" w:type="dxa"/>
            <w:shd w:val="clear" w:color="auto" w:fill="FFF2CC" w:themeFill="accent4" w:themeFillTint="33"/>
            <w:vAlign w:val="center"/>
          </w:tcPr>
          <w:p w:rsidR="005D0D33" w:rsidRPr="005D0D33" w:rsidRDefault="005D0D33" w:rsidP="005D0D33">
            <w:pPr>
              <w:tabs>
                <w:tab w:val="left" w:pos="133"/>
              </w:tabs>
              <w:spacing w:line="276" w:lineRule="auto"/>
              <w:rPr>
                <w:rFonts w:ascii="Times New Roman" w:hAnsi="Times New Roman" w:cs="Times New Roman"/>
              </w:rPr>
            </w:pPr>
            <w:r w:rsidRPr="005D0D33">
              <w:rPr>
                <w:rFonts w:ascii="Times New Roman" w:hAnsi="Times New Roman" w:cs="Times New Roman"/>
              </w:rPr>
              <w:t>Ministerul Mediului, Apelor și Pădurilor</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43,75</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8</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52.</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Ministerul Tineretului si Sportului</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14</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2</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9</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7</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56,25</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53.</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 xml:space="preserve">Ministerul Economiei, Comerțului și Relațiilor cu Mediul de Afaceri </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0,00</w:t>
            </w:r>
          </w:p>
        </w:tc>
      </w:tr>
      <w:tr w:rsidR="005D0D33" w:rsidRPr="005D0D33" w:rsidTr="00FE7CE5">
        <w:trPr>
          <w:jc w:val="center"/>
        </w:trPr>
        <w:tc>
          <w:tcPr>
            <w:tcW w:w="562"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54</w:t>
            </w:r>
          </w:p>
        </w:tc>
        <w:tc>
          <w:tcPr>
            <w:tcW w:w="2410" w:type="dxa"/>
            <w:shd w:val="clear" w:color="auto" w:fill="FFF2CC" w:themeFill="accent4" w:themeFillTint="33"/>
            <w:vAlign w:val="center"/>
          </w:tcPr>
          <w:p w:rsidR="005D0D33" w:rsidRPr="005D0D33" w:rsidRDefault="005D0D33" w:rsidP="005D0D33">
            <w:pPr>
              <w:spacing w:line="276" w:lineRule="auto"/>
              <w:jc w:val="both"/>
              <w:rPr>
                <w:rFonts w:ascii="Times New Roman" w:hAnsi="Times New Roman" w:cs="Times New Roman"/>
              </w:rPr>
            </w:pPr>
            <w:r w:rsidRPr="005D0D33">
              <w:rPr>
                <w:rFonts w:ascii="Times New Roman" w:hAnsi="Times New Roman" w:cs="Times New Roman"/>
              </w:rPr>
              <w:t xml:space="preserve">Ministerul pentru Consultare Publică și Dialog Civic </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59"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0,00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567"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w:t>
            </w:r>
          </w:p>
        </w:tc>
        <w:tc>
          <w:tcPr>
            <w:tcW w:w="1560" w:type="dxa"/>
            <w:shd w:val="clear" w:color="auto" w:fill="FFF2CC" w:themeFill="accent4" w:themeFillTint="33"/>
            <w:vAlign w:val="center"/>
          </w:tcPr>
          <w:p w:rsidR="005D0D33" w:rsidRPr="005D0D33" w:rsidRDefault="005D0D33" w:rsidP="005D0D33">
            <w:pPr>
              <w:spacing w:line="276" w:lineRule="auto"/>
              <w:jc w:val="center"/>
              <w:rPr>
                <w:rFonts w:ascii="Times New Roman" w:hAnsi="Times New Roman" w:cs="Times New Roman"/>
              </w:rPr>
            </w:pPr>
            <w:r w:rsidRPr="005D0D33">
              <w:rPr>
                <w:rFonts w:ascii="Times New Roman" w:hAnsi="Times New Roman" w:cs="Times New Roman"/>
              </w:rPr>
              <w:t>0,00</w:t>
            </w:r>
          </w:p>
        </w:tc>
      </w:tr>
      <w:tr w:rsidR="005D0D33" w:rsidRPr="005D0D33" w:rsidTr="00FE7CE5">
        <w:trPr>
          <w:jc w:val="center"/>
        </w:trPr>
        <w:tc>
          <w:tcPr>
            <w:tcW w:w="4673" w:type="dxa"/>
            <w:gridSpan w:val="5"/>
            <w:shd w:val="clear" w:color="auto" w:fill="BDD6EE" w:themeFill="accent1" w:themeFillTint="66"/>
            <w:vAlign w:val="center"/>
          </w:tcPr>
          <w:p w:rsidR="005D0D33" w:rsidRPr="00B61DA1" w:rsidRDefault="005D0D33" w:rsidP="00B61DA1">
            <w:pPr>
              <w:jc w:val="center"/>
              <w:rPr>
                <w:rFonts w:ascii="Times New Roman" w:hAnsi="Times New Roman" w:cs="Times New Roman"/>
                <w:b/>
              </w:rPr>
            </w:pPr>
            <w:r w:rsidRPr="00B61DA1">
              <w:rPr>
                <w:rFonts w:ascii="Times New Roman" w:hAnsi="Times New Roman" w:cs="Times New Roman"/>
                <w:b/>
              </w:rPr>
              <w:t xml:space="preserve">Gradul mediu de implementare a standardelor </w:t>
            </w:r>
            <w:r w:rsidR="00B61DA1">
              <w:rPr>
                <w:rFonts w:ascii="Times New Roman" w:hAnsi="Times New Roman" w:cs="Times New Roman"/>
                <w:b/>
              </w:rPr>
              <w:t>de control intern managerial</w:t>
            </w:r>
          </w:p>
        </w:tc>
        <w:tc>
          <w:tcPr>
            <w:tcW w:w="1559" w:type="dxa"/>
            <w:shd w:val="clear" w:color="auto" w:fill="BDD6EE" w:themeFill="accent1" w:themeFillTint="66"/>
            <w:vAlign w:val="center"/>
          </w:tcPr>
          <w:p w:rsidR="005D0D33" w:rsidRPr="00B61DA1" w:rsidRDefault="005D0D33" w:rsidP="00B61DA1">
            <w:pPr>
              <w:jc w:val="center"/>
              <w:rPr>
                <w:rFonts w:ascii="Times New Roman" w:hAnsi="Times New Roman" w:cs="Times New Roman"/>
                <w:b/>
              </w:rPr>
            </w:pPr>
            <w:r w:rsidRPr="00B61DA1">
              <w:rPr>
                <w:rFonts w:ascii="Times New Roman" w:hAnsi="Times New Roman" w:cs="Times New Roman"/>
                <w:b/>
              </w:rPr>
              <w:t>80,65</w:t>
            </w:r>
            <w:r w:rsidR="00B61DA1">
              <w:rPr>
                <w:rFonts w:ascii="Times New Roman" w:hAnsi="Times New Roman" w:cs="Times New Roman"/>
                <w:b/>
              </w:rPr>
              <w:t xml:space="preserve"> %</w:t>
            </w:r>
          </w:p>
        </w:tc>
        <w:tc>
          <w:tcPr>
            <w:tcW w:w="567" w:type="dxa"/>
            <w:shd w:val="clear" w:color="auto" w:fill="BDD6EE" w:themeFill="accent1" w:themeFillTint="66"/>
            <w:vAlign w:val="center"/>
          </w:tcPr>
          <w:p w:rsidR="005D0D33" w:rsidRPr="00B61DA1" w:rsidRDefault="005D0D33" w:rsidP="00B61DA1">
            <w:pPr>
              <w:jc w:val="center"/>
              <w:rPr>
                <w:rFonts w:ascii="Times New Roman" w:hAnsi="Times New Roman" w:cs="Times New Roman"/>
                <w:b/>
              </w:rPr>
            </w:pPr>
          </w:p>
        </w:tc>
        <w:tc>
          <w:tcPr>
            <w:tcW w:w="567" w:type="dxa"/>
            <w:shd w:val="clear" w:color="auto" w:fill="BDD6EE" w:themeFill="accent1" w:themeFillTint="66"/>
            <w:vAlign w:val="center"/>
          </w:tcPr>
          <w:p w:rsidR="005D0D33" w:rsidRPr="00B61DA1" w:rsidRDefault="005D0D33" w:rsidP="00B61DA1">
            <w:pPr>
              <w:jc w:val="center"/>
              <w:rPr>
                <w:rFonts w:ascii="Times New Roman" w:hAnsi="Times New Roman" w:cs="Times New Roman"/>
                <w:b/>
              </w:rPr>
            </w:pPr>
          </w:p>
        </w:tc>
        <w:tc>
          <w:tcPr>
            <w:tcW w:w="567" w:type="dxa"/>
            <w:shd w:val="clear" w:color="auto" w:fill="BDD6EE" w:themeFill="accent1" w:themeFillTint="66"/>
            <w:vAlign w:val="center"/>
          </w:tcPr>
          <w:p w:rsidR="005D0D33" w:rsidRPr="00B61DA1" w:rsidRDefault="005D0D33" w:rsidP="00B61DA1">
            <w:pPr>
              <w:jc w:val="center"/>
              <w:rPr>
                <w:rFonts w:ascii="Times New Roman" w:hAnsi="Times New Roman" w:cs="Times New Roman"/>
                <w:b/>
              </w:rPr>
            </w:pPr>
          </w:p>
        </w:tc>
        <w:tc>
          <w:tcPr>
            <w:tcW w:w="1560" w:type="dxa"/>
            <w:shd w:val="clear" w:color="auto" w:fill="BDD6EE" w:themeFill="accent1" w:themeFillTint="66"/>
            <w:vAlign w:val="center"/>
          </w:tcPr>
          <w:p w:rsidR="005D0D33" w:rsidRPr="00B61DA1" w:rsidRDefault="005D0D33" w:rsidP="00B61DA1">
            <w:pPr>
              <w:jc w:val="center"/>
              <w:rPr>
                <w:rFonts w:ascii="Times New Roman" w:hAnsi="Times New Roman" w:cs="Times New Roman"/>
                <w:b/>
              </w:rPr>
            </w:pPr>
            <w:r w:rsidRPr="00B61DA1">
              <w:rPr>
                <w:rFonts w:ascii="Times New Roman" w:hAnsi="Times New Roman" w:cs="Times New Roman"/>
                <w:b/>
              </w:rPr>
              <w:t>78,25</w:t>
            </w:r>
            <w:r w:rsidR="00B61DA1">
              <w:rPr>
                <w:rFonts w:ascii="Times New Roman" w:hAnsi="Times New Roman" w:cs="Times New Roman"/>
                <w:b/>
              </w:rPr>
              <w:t xml:space="preserve"> %</w:t>
            </w:r>
          </w:p>
        </w:tc>
      </w:tr>
    </w:tbl>
    <w:p w:rsidR="00B61DA1" w:rsidRDefault="00B61DA1" w:rsidP="00B61DA1">
      <w:pPr>
        <w:spacing w:after="0" w:line="276" w:lineRule="auto"/>
        <w:jc w:val="both"/>
        <w:rPr>
          <w:rFonts w:ascii="Times New Roman" w:hAnsi="Times New Roman" w:cs="Times New Roman"/>
          <w:i/>
          <w:sz w:val="20"/>
          <w:szCs w:val="20"/>
        </w:rPr>
      </w:pPr>
    </w:p>
    <w:p w:rsidR="00BB540B" w:rsidRDefault="00B61DA1" w:rsidP="00B61DA1">
      <w:pPr>
        <w:spacing w:after="0" w:line="276" w:lineRule="auto"/>
        <w:jc w:val="both"/>
        <w:rPr>
          <w:rFonts w:ascii="Times New Roman" w:hAnsi="Times New Roman" w:cs="Times New Roman"/>
          <w:b/>
          <w:i/>
          <w:sz w:val="20"/>
          <w:szCs w:val="20"/>
        </w:rPr>
      </w:pPr>
      <w:r w:rsidRPr="00B61DA1">
        <w:rPr>
          <w:rFonts w:ascii="Times New Roman" w:hAnsi="Times New Roman" w:cs="Times New Roman"/>
          <w:b/>
          <w:i/>
          <w:sz w:val="20"/>
          <w:szCs w:val="20"/>
        </w:rPr>
        <w:t>NOTĂ</w:t>
      </w:r>
    </w:p>
    <w:p w:rsidR="006E26F9" w:rsidRPr="00B61DA1" w:rsidRDefault="006E26F9" w:rsidP="00B61DA1">
      <w:pPr>
        <w:spacing w:after="0" w:line="276" w:lineRule="auto"/>
        <w:jc w:val="both"/>
        <w:rPr>
          <w:rFonts w:ascii="Times New Roman" w:hAnsi="Times New Roman" w:cs="Times New Roman"/>
          <w:b/>
          <w:i/>
          <w:sz w:val="20"/>
          <w:szCs w:val="20"/>
        </w:rPr>
      </w:pPr>
    </w:p>
    <w:p w:rsidR="00BB540B" w:rsidRPr="00B61DA1" w:rsidRDefault="00BB540B" w:rsidP="00B61DA1">
      <w:pPr>
        <w:spacing w:after="0" w:line="276" w:lineRule="auto"/>
        <w:ind w:left="142" w:hanging="142"/>
        <w:jc w:val="both"/>
        <w:rPr>
          <w:rFonts w:ascii="Times New Roman" w:hAnsi="Times New Roman" w:cs="Times New Roman"/>
          <w:i/>
          <w:sz w:val="20"/>
          <w:szCs w:val="20"/>
        </w:rPr>
      </w:pPr>
      <w:r w:rsidRPr="00B61DA1">
        <w:rPr>
          <w:rFonts w:ascii="Times New Roman" w:hAnsi="Times New Roman" w:cs="Times New Roman"/>
          <w:i/>
          <w:sz w:val="20"/>
          <w:szCs w:val="20"/>
        </w:rPr>
        <w:t>*</w:t>
      </w:r>
      <w:r w:rsidRPr="00B61DA1">
        <w:rPr>
          <w:i/>
          <w:sz w:val="20"/>
          <w:szCs w:val="20"/>
        </w:rPr>
        <w:t xml:space="preserve"> </w:t>
      </w:r>
      <w:r w:rsidRPr="00B61DA1">
        <w:rPr>
          <w:rFonts w:ascii="Times New Roman" w:hAnsi="Times New Roman" w:cs="Times New Roman"/>
          <w:i/>
          <w:sz w:val="20"/>
          <w:szCs w:val="20"/>
        </w:rPr>
        <w:t>Exceptată de la raportare, conform art.8</w:t>
      </w:r>
      <w:r w:rsidRPr="00FE7CE5">
        <w:rPr>
          <w:rFonts w:ascii="Times New Roman" w:hAnsi="Times New Roman" w:cs="Times New Roman"/>
          <w:i/>
          <w:sz w:val="20"/>
          <w:szCs w:val="20"/>
          <w:vertAlign w:val="superscript"/>
        </w:rPr>
        <w:t>1</w:t>
      </w:r>
      <w:r w:rsidRPr="00B61DA1">
        <w:rPr>
          <w:rFonts w:ascii="Times New Roman" w:hAnsi="Times New Roman" w:cs="Times New Roman"/>
          <w:i/>
          <w:sz w:val="20"/>
          <w:szCs w:val="20"/>
        </w:rPr>
        <w:t>, alin. 3 din OSGG nr. 400/2015 cu modificările și completările ulterioare;</w:t>
      </w:r>
    </w:p>
    <w:p w:rsidR="00BB540B" w:rsidRPr="00B61DA1" w:rsidRDefault="00BB540B" w:rsidP="00B61DA1">
      <w:pPr>
        <w:spacing w:after="0" w:line="276" w:lineRule="auto"/>
        <w:ind w:left="142" w:hanging="142"/>
        <w:jc w:val="both"/>
        <w:rPr>
          <w:rFonts w:ascii="Times New Roman" w:hAnsi="Times New Roman" w:cs="Times New Roman"/>
          <w:i/>
          <w:sz w:val="20"/>
          <w:szCs w:val="20"/>
        </w:rPr>
      </w:pPr>
      <w:r w:rsidRPr="00B61DA1">
        <w:rPr>
          <w:rFonts w:ascii="Times New Roman" w:hAnsi="Times New Roman" w:cs="Times New Roman"/>
          <w:i/>
          <w:sz w:val="20"/>
          <w:szCs w:val="20"/>
        </w:rPr>
        <w:t>*</w:t>
      </w:r>
      <w:r w:rsidRPr="00B61DA1">
        <w:rPr>
          <w:i/>
          <w:sz w:val="20"/>
          <w:szCs w:val="20"/>
        </w:rPr>
        <w:t xml:space="preserve"> </w:t>
      </w:r>
      <w:r w:rsidRPr="00B61DA1">
        <w:rPr>
          <w:rFonts w:ascii="Times New Roman" w:hAnsi="Times New Roman" w:cs="Times New Roman"/>
          <w:i/>
          <w:sz w:val="20"/>
          <w:szCs w:val="20"/>
        </w:rPr>
        <w:t>Exceptată de la raportare, conform art.8</w:t>
      </w:r>
      <w:r w:rsidRPr="00FE7CE5">
        <w:rPr>
          <w:rFonts w:ascii="Times New Roman" w:hAnsi="Times New Roman" w:cs="Times New Roman"/>
          <w:i/>
          <w:sz w:val="20"/>
          <w:szCs w:val="20"/>
          <w:vertAlign w:val="superscript"/>
        </w:rPr>
        <w:t>1</w:t>
      </w:r>
      <w:r w:rsidRPr="00B61DA1">
        <w:rPr>
          <w:rFonts w:ascii="Times New Roman" w:hAnsi="Times New Roman" w:cs="Times New Roman"/>
          <w:i/>
          <w:sz w:val="20"/>
          <w:szCs w:val="20"/>
        </w:rPr>
        <w:t>, alin. 3 din OSGG nr. 400/2015 cu modificările și completările ulterioare;</w:t>
      </w:r>
    </w:p>
    <w:p w:rsidR="00BB540B" w:rsidRPr="00B61DA1" w:rsidRDefault="00BB540B" w:rsidP="00B61DA1">
      <w:pPr>
        <w:spacing w:after="0" w:line="276" w:lineRule="auto"/>
        <w:jc w:val="both"/>
        <w:rPr>
          <w:rFonts w:ascii="Times New Roman" w:hAnsi="Times New Roman" w:cs="Times New Roman"/>
          <w:i/>
          <w:sz w:val="20"/>
          <w:szCs w:val="20"/>
        </w:rPr>
      </w:pPr>
      <w:r w:rsidRPr="00B61DA1">
        <w:rPr>
          <w:rFonts w:ascii="Times New Roman" w:hAnsi="Times New Roman" w:cs="Times New Roman"/>
          <w:i/>
          <w:sz w:val="20"/>
          <w:szCs w:val="20"/>
        </w:rPr>
        <w:t>** Ministerul Energiei, Întreprinderilor Mici și Mijlocii și Mediului de Afaceri,  în anul 2015</w:t>
      </w:r>
    </w:p>
    <w:p w:rsidR="00BB540B" w:rsidRPr="00B61DA1" w:rsidRDefault="00BB540B" w:rsidP="00B61DA1">
      <w:pPr>
        <w:spacing w:after="0" w:line="276" w:lineRule="auto"/>
        <w:jc w:val="both"/>
        <w:rPr>
          <w:rFonts w:ascii="Times New Roman" w:hAnsi="Times New Roman" w:cs="Times New Roman"/>
          <w:i/>
          <w:sz w:val="20"/>
          <w:szCs w:val="20"/>
        </w:rPr>
      </w:pPr>
      <w:r w:rsidRPr="00B61DA1">
        <w:rPr>
          <w:rFonts w:ascii="Times New Roman" w:hAnsi="Times New Roman" w:cs="Times New Roman"/>
          <w:i/>
          <w:sz w:val="20"/>
          <w:szCs w:val="20"/>
        </w:rPr>
        <w:t>** Ministerul pentru Societatea Informaţională,  în anul 2015;</w:t>
      </w:r>
    </w:p>
    <w:p w:rsidR="00BB540B" w:rsidRPr="00B61DA1" w:rsidRDefault="00BB540B" w:rsidP="00B61DA1">
      <w:pPr>
        <w:spacing w:after="0" w:line="276" w:lineRule="auto"/>
        <w:jc w:val="both"/>
        <w:rPr>
          <w:rFonts w:ascii="Times New Roman" w:hAnsi="Times New Roman" w:cs="Times New Roman"/>
          <w:i/>
          <w:sz w:val="20"/>
          <w:szCs w:val="20"/>
        </w:rPr>
      </w:pPr>
      <w:r w:rsidRPr="00B61DA1">
        <w:rPr>
          <w:rFonts w:ascii="Times New Roman" w:hAnsi="Times New Roman" w:cs="Times New Roman"/>
          <w:i/>
          <w:sz w:val="20"/>
          <w:szCs w:val="20"/>
        </w:rPr>
        <w:t>** Ministerul Economiei, Comerțului și Turismului,  în anul 2015.</w:t>
      </w:r>
    </w:p>
    <w:p w:rsidR="0040313D" w:rsidRDefault="00951E79" w:rsidP="00BB540B">
      <w:pPr>
        <w:rPr>
          <w:rFonts w:ascii="Times New Roman" w:hAnsi="Times New Roman" w:cs="Times New Roman"/>
          <w:i/>
          <w:sz w:val="24"/>
          <w:szCs w:val="24"/>
        </w:rPr>
      </w:pPr>
      <w:r>
        <w:rPr>
          <w:rFonts w:ascii="Times New Roman" w:hAnsi="Times New Roman" w:cs="Times New Roman"/>
          <w:i/>
          <w:noProof/>
          <w:sz w:val="24"/>
          <w:szCs w:val="24"/>
          <w:lang w:eastAsia="ro-RO"/>
        </w:rPr>
        <w:drawing>
          <wp:anchor distT="0" distB="0" distL="114300" distR="114300" simplePos="0" relativeHeight="251699200" behindDoc="1" locked="0" layoutInCell="1" allowOverlap="1">
            <wp:simplePos x="0" y="0"/>
            <wp:positionH relativeFrom="column">
              <wp:posOffset>-25</wp:posOffset>
            </wp:positionH>
            <wp:positionV relativeFrom="paragraph">
              <wp:posOffset>-218389</wp:posOffset>
            </wp:positionV>
            <wp:extent cx="6346190" cy="8492947"/>
            <wp:effectExtent l="0" t="0" r="0" b="3810"/>
            <wp:wrapNone/>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V relativeFrom="margin">
              <wp14:pctHeight>0</wp14:pctHeight>
            </wp14:sizeRelV>
          </wp:anchor>
        </w:drawing>
      </w:r>
      <w:r w:rsidR="004D70EC">
        <w:rPr>
          <w:rFonts w:ascii="Times New Roman" w:hAnsi="Times New Roman" w:cs="Times New Roman"/>
          <w:i/>
          <w:sz w:val="24"/>
          <w:szCs w:val="24"/>
        </w:rPr>
        <w:br w:type="page"/>
      </w:r>
    </w:p>
    <w:p w:rsidR="0040313D" w:rsidRDefault="00743DF6">
      <w:pPr>
        <w:rPr>
          <w:rFonts w:ascii="Times New Roman" w:hAnsi="Times New Roman" w:cs="Times New Roman"/>
          <w:i/>
          <w:sz w:val="24"/>
          <w:szCs w:val="24"/>
        </w:rPr>
      </w:pPr>
      <w:r>
        <w:rPr>
          <w:rFonts w:ascii="Times New Roman" w:hAnsi="Times New Roman" w:cs="Times New Roman"/>
          <w:i/>
          <w:noProof/>
          <w:sz w:val="24"/>
          <w:szCs w:val="24"/>
          <w:lang w:eastAsia="ro-RO"/>
        </w:rPr>
        <w:drawing>
          <wp:anchor distT="0" distB="0" distL="114300" distR="114300" simplePos="0" relativeHeight="251698176" behindDoc="1" locked="0" layoutInCell="1" allowOverlap="1">
            <wp:simplePos x="0" y="0"/>
            <wp:positionH relativeFrom="column">
              <wp:posOffset>957</wp:posOffset>
            </wp:positionH>
            <wp:positionV relativeFrom="paragraph">
              <wp:posOffset>-223909</wp:posOffset>
            </wp:positionV>
            <wp:extent cx="6359525" cy="8325135"/>
            <wp:effectExtent l="0" t="0" r="3175" b="0"/>
            <wp:wrapNone/>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page">
              <wp14:pctWidth>0</wp14:pctWidth>
            </wp14:sizeRelH>
            <wp14:sizeRelV relativeFrom="page">
              <wp14:pctHeight>0</wp14:pctHeight>
            </wp14:sizeRelV>
          </wp:anchor>
        </w:drawing>
      </w:r>
      <w:r w:rsidR="0040313D">
        <w:rPr>
          <w:rFonts w:ascii="Times New Roman" w:hAnsi="Times New Roman" w:cs="Times New Roman"/>
          <w:i/>
          <w:sz w:val="24"/>
          <w:szCs w:val="24"/>
        </w:rPr>
        <w:br w:type="page"/>
      </w:r>
    </w:p>
    <w:p w:rsidR="0040313D" w:rsidRDefault="00743DF6">
      <w:pPr>
        <w:rPr>
          <w:rFonts w:ascii="Times New Roman" w:hAnsi="Times New Roman" w:cs="Times New Roman"/>
          <w:i/>
          <w:sz w:val="24"/>
          <w:szCs w:val="24"/>
        </w:rPr>
      </w:pPr>
      <w:r>
        <w:rPr>
          <w:rFonts w:ascii="Times New Roman" w:hAnsi="Times New Roman" w:cs="Times New Roman"/>
          <w:i/>
          <w:noProof/>
          <w:sz w:val="24"/>
          <w:szCs w:val="24"/>
          <w:lang w:eastAsia="ro-RO"/>
        </w:rPr>
        <w:drawing>
          <wp:anchor distT="0" distB="0" distL="114300" distR="114300" simplePos="0" relativeHeight="251700224" behindDoc="1" locked="0" layoutInCell="1" allowOverlap="1">
            <wp:simplePos x="0" y="0"/>
            <wp:positionH relativeFrom="column">
              <wp:posOffset>957</wp:posOffset>
            </wp:positionH>
            <wp:positionV relativeFrom="paragraph">
              <wp:posOffset>-292147</wp:posOffset>
            </wp:positionV>
            <wp:extent cx="6334125" cy="8413844"/>
            <wp:effectExtent l="0" t="0" r="0" b="6350"/>
            <wp:wrapNone/>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V relativeFrom="margin">
              <wp14:pctHeight>0</wp14:pctHeight>
            </wp14:sizeRelV>
          </wp:anchor>
        </w:drawing>
      </w:r>
    </w:p>
    <w:p w:rsidR="0040313D" w:rsidRDefault="0040313D" w:rsidP="0040313D">
      <w:pPr>
        <w:spacing w:line="276" w:lineRule="auto"/>
        <w:rPr>
          <w:rFonts w:ascii="Times New Roman" w:hAnsi="Times New Roman" w:cs="Times New Roman"/>
          <w:i/>
          <w:sz w:val="24"/>
          <w:szCs w:val="24"/>
        </w:rPr>
      </w:pPr>
    </w:p>
    <w:p w:rsidR="006110C0" w:rsidRDefault="006110C0">
      <w:pPr>
        <w:rPr>
          <w:rFonts w:ascii="Times New Roman" w:hAnsi="Times New Roman" w:cs="Times New Roman"/>
          <w:b/>
          <w:i/>
          <w:sz w:val="24"/>
          <w:szCs w:val="24"/>
        </w:rPr>
      </w:pPr>
      <w:r>
        <w:rPr>
          <w:rFonts w:ascii="Times New Roman" w:hAnsi="Times New Roman" w:cs="Times New Roman"/>
          <w:b/>
          <w:i/>
          <w:sz w:val="24"/>
          <w:szCs w:val="24"/>
        </w:rPr>
        <w:br w:type="page"/>
      </w:r>
    </w:p>
    <w:p w:rsidR="006110C0" w:rsidRDefault="006110C0">
      <w:pPr>
        <w:rPr>
          <w:rFonts w:ascii="Times New Roman" w:hAnsi="Times New Roman" w:cs="Times New Roman"/>
          <w:b/>
          <w:i/>
          <w:sz w:val="24"/>
          <w:szCs w:val="24"/>
        </w:rPr>
      </w:pPr>
      <w:r>
        <w:rPr>
          <w:rFonts w:ascii="Times New Roman" w:hAnsi="Times New Roman" w:cs="Times New Roman"/>
          <w:i/>
          <w:noProof/>
          <w:sz w:val="24"/>
          <w:szCs w:val="24"/>
          <w:lang w:eastAsia="ro-RO"/>
        </w:rPr>
        <w:drawing>
          <wp:anchor distT="0" distB="0" distL="114300" distR="114300" simplePos="0" relativeHeight="251702272" behindDoc="1" locked="0" layoutInCell="1" allowOverlap="1" wp14:anchorId="64EB7F56" wp14:editId="3980E507">
            <wp:simplePos x="0" y="0"/>
            <wp:positionH relativeFrom="column">
              <wp:posOffset>957</wp:posOffset>
            </wp:positionH>
            <wp:positionV relativeFrom="paragraph">
              <wp:posOffset>-217084</wp:posOffset>
            </wp:positionV>
            <wp:extent cx="6339840" cy="8338782"/>
            <wp:effectExtent l="0" t="0" r="3810" b="5715"/>
            <wp:wrapNone/>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V relativeFrom="margin">
              <wp14:pctHeight>0</wp14:pctHeight>
            </wp14:sizeRelV>
          </wp:anchor>
        </w:drawing>
      </w:r>
      <w:r>
        <w:rPr>
          <w:rFonts w:ascii="Times New Roman" w:hAnsi="Times New Roman" w:cs="Times New Roman"/>
          <w:b/>
          <w:i/>
          <w:sz w:val="24"/>
          <w:szCs w:val="24"/>
        </w:rPr>
        <w:br w:type="page"/>
      </w:r>
    </w:p>
    <w:p w:rsidR="00CF002C" w:rsidRPr="006110C0" w:rsidRDefault="00CF002C" w:rsidP="006110C0">
      <w:pPr>
        <w:tabs>
          <w:tab w:val="left" w:pos="900"/>
        </w:tabs>
        <w:spacing w:line="276" w:lineRule="auto"/>
        <w:jc w:val="both"/>
        <w:rPr>
          <w:rFonts w:ascii="Times New Roman" w:hAnsi="Times New Roman" w:cs="Times New Roman"/>
          <w:sz w:val="24"/>
          <w:szCs w:val="24"/>
        </w:rPr>
      </w:pPr>
      <w:r w:rsidRPr="006110C0">
        <w:rPr>
          <w:rFonts w:ascii="Times New Roman" w:hAnsi="Times New Roman" w:cs="Times New Roman"/>
          <w:b/>
          <w:i/>
          <w:sz w:val="24"/>
          <w:szCs w:val="24"/>
        </w:rPr>
        <w:t xml:space="preserve">Din analiza stadiului implementării standardelor de control intern managerial la data de 31 decembrie </w:t>
      </w:r>
      <w:r w:rsidR="006B429B" w:rsidRPr="006110C0">
        <w:rPr>
          <w:rFonts w:ascii="Times New Roman" w:hAnsi="Times New Roman" w:cs="Times New Roman"/>
          <w:b/>
          <w:i/>
          <w:sz w:val="24"/>
          <w:szCs w:val="24"/>
        </w:rPr>
        <w:t>2016</w:t>
      </w:r>
      <w:r w:rsidRPr="006110C0">
        <w:rPr>
          <w:rFonts w:ascii="Times New Roman" w:hAnsi="Times New Roman" w:cs="Times New Roman"/>
          <w:sz w:val="24"/>
          <w:szCs w:val="24"/>
        </w:rPr>
        <w:t xml:space="preserve"> la nivelul fiecărui ordonator principal de credite al bugetului de stat</w:t>
      </w:r>
      <w:r w:rsidR="00501326" w:rsidRPr="006110C0">
        <w:rPr>
          <w:rFonts w:ascii="Times New Roman" w:hAnsi="Times New Roman" w:cs="Times New Roman"/>
          <w:sz w:val="24"/>
          <w:szCs w:val="24"/>
        </w:rPr>
        <w:t xml:space="preserve"> – aparat</w:t>
      </w:r>
      <w:r w:rsidR="005E199C" w:rsidRPr="006110C0">
        <w:rPr>
          <w:rFonts w:ascii="Times New Roman" w:hAnsi="Times New Roman" w:cs="Times New Roman"/>
          <w:sz w:val="24"/>
          <w:szCs w:val="24"/>
        </w:rPr>
        <w:t>ul</w:t>
      </w:r>
      <w:r w:rsidR="00501326" w:rsidRPr="006110C0">
        <w:rPr>
          <w:rFonts w:ascii="Times New Roman" w:hAnsi="Times New Roman" w:cs="Times New Roman"/>
          <w:sz w:val="24"/>
          <w:szCs w:val="24"/>
        </w:rPr>
        <w:t xml:space="preserve"> propriu</w:t>
      </w:r>
      <w:r w:rsidRPr="006110C0">
        <w:rPr>
          <w:rFonts w:ascii="Times New Roman" w:hAnsi="Times New Roman" w:cs="Times New Roman"/>
          <w:sz w:val="24"/>
          <w:szCs w:val="24"/>
        </w:rPr>
        <w:t xml:space="preserve">, al bugetului asigurărilor sociale de stat şi al bugetului oricărui fond special, se pot desprinde </w:t>
      </w:r>
      <w:r w:rsidRPr="006110C0">
        <w:rPr>
          <w:rFonts w:ascii="Times New Roman" w:hAnsi="Times New Roman" w:cs="Times New Roman"/>
          <w:b/>
          <w:i/>
          <w:sz w:val="24"/>
          <w:szCs w:val="24"/>
        </w:rPr>
        <w:t>o serie de concluzii</w:t>
      </w:r>
      <w:r w:rsidRPr="006110C0">
        <w:rPr>
          <w:rFonts w:ascii="Times New Roman" w:hAnsi="Times New Roman" w:cs="Times New Roman"/>
          <w:sz w:val="24"/>
          <w:szCs w:val="24"/>
        </w:rPr>
        <w:t>, dintre care cele mai relevante sunt:</w:t>
      </w:r>
    </w:p>
    <w:p w:rsidR="00CF002C" w:rsidRDefault="00CF002C" w:rsidP="006971E7">
      <w:pPr>
        <w:tabs>
          <w:tab w:val="left" w:pos="990"/>
          <w:tab w:val="left" w:pos="1080"/>
          <w:tab w:val="left" w:pos="1170"/>
        </w:tabs>
        <w:spacing w:line="276" w:lineRule="auto"/>
        <w:jc w:val="both"/>
        <w:rPr>
          <w:rFonts w:ascii="Times New Roman" w:hAnsi="Times New Roman" w:cs="Times New Roman"/>
          <w:sz w:val="24"/>
          <w:szCs w:val="24"/>
        </w:rPr>
      </w:pPr>
      <w:r w:rsidRPr="006971E7">
        <w:rPr>
          <w:rFonts w:ascii="Times New Roman" w:hAnsi="Times New Roman" w:cs="Times New Roman"/>
          <w:sz w:val="24"/>
          <w:szCs w:val="24"/>
        </w:rPr>
        <w:t xml:space="preserve">Gradul mediu de implementare al standardelor de control intern managerial, așa cum rezultă din situațiile centralizatoare, la nivelul celor </w:t>
      </w:r>
      <w:r w:rsidR="00501326" w:rsidRPr="006971E7">
        <w:rPr>
          <w:rFonts w:ascii="Times New Roman" w:hAnsi="Times New Roman" w:cs="Times New Roman"/>
          <w:sz w:val="24"/>
          <w:szCs w:val="24"/>
        </w:rPr>
        <w:t>5</w:t>
      </w:r>
      <w:r w:rsidR="006B429B" w:rsidRPr="006971E7">
        <w:rPr>
          <w:rFonts w:ascii="Times New Roman" w:hAnsi="Times New Roman" w:cs="Times New Roman"/>
          <w:sz w:val="24"/>
          <w:szCs w:val="24"/>
        </w:rPr>
        <w:t>0</w:t>
      </w:r>
      <w:r w:rsidRPr="006971E7">
        <w:rPr>
          <w:rFonts w:ascii="Times New Roman" w:hAnsi="Times New Roman" w:cs="Times New Roman"/>
          <w:sz w:val="24"/>
          <w:szCs w:val="24"/>
        </w:rPr>
        <w:t xml:space="preserve"> de ordonatori principali de credite,</w:t>
      </w:r>
      <w:r w:rsidR="006E0894" w:rsidRPr="006971E7">
        <w:rPr>
          <w:rFonts w:ascii="Times New Roman" w:hAnsi="Times New Roman" w:cs="Times New Roman"/>
          <w:sz w:val="24"/>
          <w:szCs w:val="24"/>
        </w:rPr>
        <w:t xml:space="preserve"> care au raportat</w:t>
      </w:r>
      <w:r w:rsidRPr="006971E7">
        <w:rPr>
          <w:rFonts w:ascii="Times New Roman" w:hAnsi="Times New Roman" w:cs="Times New Roman"/>
          <w:sz w:val="24"/>
          <w:szCs w:val="24"/>
        </w:rPr>
        <w:t xml:space="preserve">, la data de </w:t>
      </w:r>
      <w:r w:rsidRPr="006971E7">
        <w:rPr>
          <w:rFonts w:ascii="Times New Roman" w:hAnsi="Times New Roman" w:cs="Times New Roman"/>
          <w:i/>
          <w:sz w:val="24"/>
          <w:szCs w:val="24"/>
        </w:rPr>
        <w:t>31 decembrie 201</w:t>
      </w:r>
      <w:r w:rsidR="00B64C60" w:rsidRPr="006971E7">
        <w:rPr>
          <w:rFonts w:ascii="Times New Roman" w:hAnsi="Times New Roman" w:cs="Times New Roman"/>
          <w:i/>
          <w:sz w:val="24"/>
          <w:szCs w:val="24"/>
        </w:rPr>
        <w:t>6</w:t>
      </w:r>
      <w:r w:rsidR="00B64C60" w:rsidRPr="006971E7">
        <w:rPr>
          <w:rFonts w:ascii="Times New Roman" w:hAnsi="Times New Roman" w:cs="Times New Roman"/>
          <w:sz w:val="24"/>
          <w:szCs w:val="24"/>
        </w:rPr>
        <w:t>,</w:t>
      </w:r>
      <w:r w:rsidRPr="006971E7">
        <w:rPr>
          <w:rFonts w:ascii="Times New Roman" w:hAnsi="Times New Roman" w:cs="Times New Roman"/>
          <w:sz w:val="24"/>
          <w:szCs w:val="24"/>
        </w:rPr>
        <w:t xml:space="preserve"> </w:t>
      </w:r>
      <w:r w:rsidR="00B64C60" w:rsidRPr="006971E7">
        <w:rPr>
          <w:rFonts w:ascii="Times New Roman" w:hAnsi="Times New Roman" w:cs="Times New Roman"/>
          <w:sz w:val="24"/>
          <w:szCs w:val="24"/>
        </w:rPr>
        <w:t xml:space="preserve">comparativ </w:t>
      </w:r>
      <w:r w:rsidR="00B64C60" w:rsidRPr="006971E7">
        <w:rPr>
          <w:rFonts w:ascii="Times New Roman" w:hAnsi="Times New Roman" w:cs="Times New Roman"/>
          <w:i/>
          <w:sz w:val="24"/>
          <w:szCs w:val="24"/>
        </w:rPr>
        <w:t>cu anul 2015</w:t>
      </w:r>
      <w:r w:rsidR="00B64C60" w:rsidRPr="006971E7">
        <w:rPr>
          <w:rFonts w:ascii="Times New Roman" w:hAnsi="Times New Roman" w:cs="Times New Roman"/>
          <w:sz w:val="24"/>
          <w:szCs w:val="24"/>
        </w:rPr>
        <w:t xml:space="preserve">,  </w:t>
      </w:r>
      <w:r w:rsidRPr="006971E7">
        <w:rPr>
          <w:rFonts w:ascii="Times New Roman" w:hAnsi="Times New Roman" w:cs="Times New Roman"/>
          <w:sz w:val="24"/>
          <w:szCs w:val="24"/>
        </w:rPr>
        <w:t>este</w:t>
      </w:r>
      <w:r w:rsidR="004E65F4">
        <w:rPr>
          <w:rFonts w:ascii="Times New Roman" w:hAnsi="Times New Roman" w:cs="Times New Roman"/>
          <w:sz w:val="24"/>
          <w:szCs w:val="24"/>
        </w:rPr>
        <w:t xml:space="preserve"> dupa cum urmează</w:t>
      </w:r>
      <w:r w:rsidRPr="006971E7">
        <w:rPr>
          <w:rFonts w:ascii="Times New Roman" w:hAnsi="Times New Roman" w:cs="Times New Roman"/>
          <w:sz w:val="24"/>
          <w:szCs w:val="24"/>
        </w:rPr>
        <w:t>:</w:t>
      </w:r>
    </w:p>
    <w:p w:rsidR="004E65F4" w:rsidRPr="006971E7" w:rsidRDefault="004E65F4" w:rsidP="006971E7">
      <w:pPr>
        <w:tabs>
          <w:tab w:val="left" w:pos="990"/>
          <w:tab w:val="left" w:pos="1080"/>
          <w:tab w:val="left" w:pos="1170"/>
        </w:tabs>
        <w:spacing w:line="276" w:lineRule="auto"/>
        <w:jc w:val="both"/>
        <w:rPr>
          <w:rFonts w:ascii="Times New Roman" w:hAnsi="Times New Roman" w:cs="Times New Roman"/>
          <w:sz w:val="24"/>
          <w:szCs w:val="24"/>
        </w:rPr>
      </w:pPr>
    </w:p>
    <w:tbl>
      <w:tblPr>
        <w:tblStyle w:val="TableGrid"/>
        <w:tblW w:w="9639" w:type="dxa"/>
        <w:tblInd w:w="-5" w:type="dxa"/>
        <w:tblLook w:val="04A0" w:firstRow="1" w:lastRow="0" w:firstColumn="1" w:lastColumn="0" w:noHBand="0" w:noVBand="1"/>
      </w:tblPr>
      <w:tblGrid>
        <w:gridCol w:w="2639"/>
        <w:gridCol w:w="3457"/>
        <w:gridCol w:w="3543"/>
      </w:tblGrid>
      <w:tr w:rsidR="00B64C60" w:rsidRPr="001B2B79" w:rsidTr="006971E7">
        <w:trPr>
          <w:trHeight w:val="734"/>
        </w:trPr>
        <w:tc>
          <w:tcPr>
            <w:tcW w:w="2639" w:type="dxa"/>
            <w:shd w:val="clear" w:color="auto" w:fill="BDD6EE" w:themeFill="accent1" w:themeFillTint="66"/>
            <w:vAlign w:val="center"/>
          </w:tcPr>
          <w:p w:rsidR="00B64C60" w:rsidRPr="006971E7" w:rsidRDefault="00B64C60" w:rsidP="00E76F3A">
            <w:pPr>
              <w:pStyle w:val="ListParagraph"/>
              <w:tabs>
                <w:tab w:val="left" w:pos="990"/>
                <w:tab w:val="left" w:pos="1080"/>
                <w:tab w:val="left" w:pos="1170"/>
              </w:tabs>
              <w:spacing w:line="276" w:lineRule="auto"/>
              <w:ind w:left="0"/>
              <w:jc w:val="center"/>
              <w:rPr>
                <w:rFonts w:ascii="Times New Roman" w:hAnsi="Times New Roman" w:cs="Times New Roman"/>
                <w:b/>
                <w:sz w:val="24"/>
                <w:szCs w:val="24"/>
              </w:rPr>
            </w:pPr>
            <w:r w:rsidRPr="006971E7">
              <w:rPr>
                <w:rFonts w:ascii="Times New Roman" w:hAnsi="Times New Roman" w:cs="Times New Roman"/>
                <w:b/>
                <w:sz w:val="24"/>
                <w:szCs w:val="24"/>
              </w:rPr>
              <w:t>Standarde</w:t>
            </w:r>
          </w:p>
        </w:tc>
        <w:tc>
          <w:tcPr>
            <w:tcW w:w="3457" w:type="dxa"/>
            <w:shd w:val="clear" w:color="auto" w:fill="BDD6EE" w:themeFill="accent1" w:themeFillTint="66"/>
            <w:vAlign w:val="center"/>
          </w:tcPr>
          <w:p w:rsidR="00B64C60" w:rsidRPr="006971E7" w:rsidRDefault="00B64C60" w:rsidP="00E76F3A">
            <w:pPr>
              <w:pStyle w:val="ListParagraph"/>
              <w:tabs>
                <w:tab w:val="left" w:pos="990"/>
                <w:tab w:val="left" w:pos="1080"/>
                <w:tab w:val="left" w:pos="1170"/>
              </w:tabs>
              <w:spacing w:line="276" w:lineRule="auto"/>
              <w:ind w:left="0"/>
              <w:jc w:val="center"/>
              <w:rPr>
                <w:rFonts w:ascii="Times New Roman" w:hAnsi="Times New Roman" w:cs="Times New Roman"/>
                <w:b/>
                <w:sz w:val="24"/>
                <w:szCs w:val="24"/>
              </w:rPr>
            </w:pPr>
            <w:r w:rsidRPr="006971E7">
              <w:rPr>
                <w:rFonts w:ascii="Times New Roman" w:hAnsi="Times New Roman" w:cs="Times New Roman"/>
                <w:b/>
                <w:sz w:val="24"/>
                <w:szCs w:val="24"/>
              </w:rPr>
              <w:t>Grad implementare standarde (anul 2015)</w:t>
            </w:r>
          </w:p>
        </w:tc>
        <w:tc>
          <w:tcPr>
            <w:tcW w:w="3543" w:type="dxa"/>
            <w:shd w:val="clear" w:color="auto" w:fill="BDD6EE" w:themeFill="accent1" w:themeFillTint="66"/>
            <w:vAlign w:val="center"/>
          </w:tcPr>
          <w:p w:rsidR="00B64C60" w:rsidRPr="006971E7" w:rsidRDefault="00B64C60" w:rsidP="00E76F3A">
            <w:pPr>
              <w:pStyle w:val="ListParagraph"/>
              <w:tabs>
                <w:tab w:val="left" w:pos="990"/>
                <w:tab w:val="left" w:pos="1080"/>
                <w:tab w:val="left" w:pos="1170"/>
              </w:tabs>
              <w:spacing w:line="276" w:lineRule="auto"/>
              <w:ind w:left="0"/>
              <w:jc w:val="center"/>
              <w:rPr>
                <w:rFonts w:ascii="Times New Roman" w:hAnsi="Times New Roman" w:cs="Times New Roman"/>
                <w:b/>
                <w:sz w:val="24"/>
                <w:szCs w:val="24"/>
              </w:rPr>
            </w:pPr>
            <w:r w:rsidRPr="006971E7">
              <w:rPr>
                <w:rFonts w:ascii="Times New Roman" w:hAnsi="Times New Roman" w:cs="Times New Roman"/>
                <w:b/>
                <w:sz w:val="24"/>
                <w:szCs w:val="24"/>
              </w:rPr>
              <w:t>Grad implementare standarde (anul 2016)</w:t>
            </w:r>
          </w:p>
        </w:tc>
      </w:tr>
      <w:tr w:rsidR="00B64C60" w:rsidRPr="001B2B79" w:rsidTr="006971E7">
        <w:tc>
          <w:tcPr>
            <w:tcW w:w="2639" w:type="dxa"/>
            <w:shd w:val="clear" w:color="auto" w:fill="FFF2CC" w:themeFill="accent4" w:themeFillTint="33"/>
          </w:tcPr>
          <w:p w:rsidR="00B64C60" w:rsidRPr="001B2B79" w:rsidRDefault="00B64C60" w:rsidP="00E76F3A">
            <w:pPr>
              <w:pStyle w:val="ListParagraph"/>
              <w:tabs>
                <w:tab w:val="left" w:pos="990"/>
                <w:tab w:val="left" w:pos="1080"/>
                <w:tab w:val="left" w:pos="1170"/>
              </w:tabs>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Implementate</w:t>
            </w:r>
          </w:p>
        </w:tc>
        <w:tc>
          <w:tcPr>
            <w:tcW w:w="3457" w:type="dxa"/>
            <w:shd w:val="clear" w:color="auto" w:fill="FFF2CC" w:themeFill="accent4" w:themeFillTint="33"/>
          </w:tcPr>
          <w:p w:rsidR="00B64C60" w:rsidRPr="001B2B79" w:rsidRDefault="00B64C60" w:rsidP="00E76F3A">
            <w:pPr>
              <w:pStyle w:val="ListParagraph"/>
              <w:tabs>
                <w:tab w:val="left" w:pos="990"/>
                <w:tab w:val="left" w:pos="1080"/>
                <w:tab w:val="left" w:pos="1170"/>
              </w:tabs>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80,65 %</w:t>
            </w:r>
          </w:p>
        </w:tc>
        <w:tc>
          <w:tcPr>
            <w:tcW w:w="3543" w:type="dxa"/>
            <w:shd w:val="clear" w:color="auto" w:fill="FFF2CC" w:themeFill="accent4" w:themeFillTint="33"/>
          </w:tcPr>
          <w:p w:rsidR="00B64C60" w:rsidRPr="001B2B79" w:rsidRDefault="00B64393" w:rsidP="00E76F3A">
            <w:pPr>
              <w:pStyle w:val="ListParagraph"/>
              <w:tabs>
                <w:tab w:val="left" w:pos="990"/>
                <w:tab w:val="left" w:pos="1080"/>
                <w:tab w:val="left" w:pos="1170"/>
              </w:tabs>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78,25</w:t>
            </w:r>
            <w:r w:rsidR="00E76F3A" w:rsidRPr="001B2B79">
              <w:rPr>
                <w:rFonts w:ascii="Times New Roman" w:hAnsi="Times New Roman" w:cs="Times New Roman"/>
                <w:sz w:val="24"/>
                <w:szCs w:val="24"/>
              </w:rPr>
              <w:t xml:space="preserve"> %</w:t>
            </w:r>
          </w:p>
        </w:tc>
      </w:tr>
      <w:tr w:rsidR="00B64C60" w:rsidRPr="001B2B79" w:rsidTr="006971E7">
        <w:tc>
          <w:tcPr>
            <w:tcW w:w="2639" w:type="dxa"/>
            <w:shd w:val="clear" w:color="auto" w:fill="FFF2CC" w:themeFill="accent4" w:themeFillTint="33"/>
          </w:tcPr>
          <w:p w:rsidR="00B64C60" w:rsidRPr="001B2B79" w:rsidRDefault="00B64C60" w:rsidP="00E76F3A">
            <w:pPr>
              <w:pStyle w:val="ListParagraph"/>
              <w:tabs>
                <w:tab w:val="left" w:pos="990"/>
                <w:tab w:val="left" w:pos="1080"/>
                <w:tab w:val="left" w:pos="1170"/>
              </w:tabs>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Parțial implementate</w:t>
            </w:r>
          </w:p>
        </w:tc>
        <w:tc>
          <w:tcPr>
            <w:tcW w:w="3457" w:type="dxa"/>
            <w:shd w:val="clear" w:color="auto" w:fill="FFF2CC" w:themeFill="accent4" w:themeFillTint="33"/>
          </w:tcPr>
          <w:p w:rsidR="00B64C60" w:rsidRPr="001B2B79" w:rsidRDefault="00B64C60" w:rsidP="00E76F3A">
            <w:pPr>
              <w:pStyle w:val="ListParagraph"/>
              <w:tabs>
                <w:tab w:val="left" w:pos="990"/>
                <w:tab w:val="left" w:pos="1080"/>
                <w:tab w:val="left" w:pos="1170"/>
              </w:tabs>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16,59 %</w:t>
            </w:r>
          </w:p>
        </w:tc>
        <w:tc>
          <w:tcPr>
            <w:tcW w:w="3543" w:type="dxa"/>
            <w:shd w:val="clear" w:color="auto" w:fill="FFF2CC" w:themeFill="accent4" w:themeFillTint="33"/>
          </w:tcPr>
          <w:p w:rsidR="00B64C60" w:rsidRPr="001B2B79" w:rsidRDefault="00B64393" w:rsidP="00E76F3A">
            <w:pPr>
              <w:pStyle w:val="ListParagraph"/>
              <w:tabs>
                <w:tab w:val="left" w:pos="990"/>
                <w:tab w:val="left" w:pos="1080"/>
                <w:tab w:val="left" w:pos="1170"/>
              </w:tabs>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19,63</w:t>
            </w:r>
            <w:r w:rsidR="00E76F3A" w:rsidRPr="001B2B79">
              <w:rPr>
                <w:rFonts w:ascii="Times New Roman" w:hAnsi="Times New Roman" w:cs="Times New Roman"/>
                <w:sz w:val="24"/>
                <w:szCs w:val="24"/>
              </w:rPr>
              <w:t xml:space="preserve"> %</w:t>
            </w:r>
          </w:p>
        </w:tc>
      </w:tr>
      <w:tr w:rsidR="00B64C60" w:rsidRPr="001B2B79" w:rsidTr="006971E7">
        <w:tc>
          <w:tcPr>
            <w:tcW w:w="2639" w:type="dxa"/>
            <w:shd w:val="clear" w:color="auto" w:fill="FFF2CC" w:themeFill="accent4" w:themeFillTint="33"/>
          </w:tcPr>
          <w:p w:rsidR="00B64C60" w:rsidRPr="001B2B79" w:rsidRDefault="00B64C60" w:rsidP="00E76F3A">
            <w:pPr>
              <w:pStyle w:val="ListParagraph"/>
              <w:tabs>
                <w:tab w:val="left" w:pos="990"/>
                <w:tab w:val="left" w:pos="1080"/>
                <w:tab w:val="left" w:pos="1170"/>
              </w:tabs>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Neimplementate</w:t>
            </w:r>
          </w:p>
        </w:tc>
        <w:tc>
          <w:tcPr>
            <w:tcW w:w="3457" w:type="dxa"/>
            <w:shd w:val="clear" w:color="auto" w:fill="FFF2CC" w:themeFill="accent4" w:themeFillTint="33"/>
          </w:tcPr>
          <w:p w:rsidR="00B64C60" w:rsidRPr="001B2B79" w:rsidRDefault="00B64C60" w:rsidP="00E76F3A">
            <w:pPr>
              <w:pStyle w:val="ListParagraph"/>
              <w:tabs>
                <w:tab w:val="left" w:pos="990"/>
                <w:tab w:val="left" w:pos="1080"/>
                <w:tab w:val="left" w:pos="1170"/>
              </w:tabs>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2,76 %</w:t>
            </w:r>
          </w:p>
        </w:tc>
        <w:tc>
          <w:tcPr>
            <w:tcW w:w="3543" w:type="dxa"/>
            <w:shd w:val="clear" w:color="auto" w:fill="FFF2CC" w:themeFill="accent4" w:themeFillTint="33"/>
          </w:tcPr>
          <w:p w:rsidR="00B64C60" w:rsidRPr="001B2B79" w:rsidRDefault="00B64393" w:rsidP="00E76F3A">
            <w:pPr>
              <w:pStyle w:val="ListParagraph"/>
              <w:tabs>
                <w:tab w:val="left" w:pos="990"/>
                <w:tab w:val="left" w:pos="1080"/>
                <w:tab w:val="left" w:pos="1170"/>
              </w:tabs>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2,12</w:t>
            </w:r>
            <w:r w:rsidR="00F9284E" w:rsidRPr="001B2B79">
              <w:rPr>
                <w:rFonts w:ascii="Times New Roman" w:hAnsi="Times New Roman" w:cs="Times New Roman"/>
                <w:sz w:val="24"/>
                <w:szCs w:val="24"/>
              </w:rPr>
              <w:t xml:space="preserve"> </w:t>
            </w:r>
            <w:r w:rsidR="00E76F3A" w:rsidRPr="001B2B79">
              <w:rPr>
                <w:rFonts w:ascii="Times New Roman" w:hAnsi="Times New Roman" w:cs="Times New Roman"/>
                <w:sz w:val="24"/>
                <w:szCs w:val="24"/>
              </w:rPr>
              <w:t xml:space="preserve"> %</w:t>
            </w:r>
          </w:p>
        </w:tc>
      </w:tr>
    </w:tbl>
    <w:p w:rsidR="00B64C60" w:rsidRPr="00360F95" w:rsidRDefault="00B64C60" w:rsidP="00B64C60">
      <w:pPr>
        <w:pStyle w:val="ListParagraph"/>
        <w:tabs>
          <w:tab w:val="left" w:pos="990"/>
          <w:tab w:val="left" w:pos="1080"/>
          <w:tab w:val="left" w:pos="1170"/>
        </w:tabs>
        <w:spacing w:line="276" w:lineRule="auto"/>
        <w:ind w:left="900"/>
        <w:jc w:val="both"/>
        <w:rPr>
          <w:rFonts w:ascii="Times New Roman" w:hAnsi="Times New Roman" w:cs="Times New Roman"/>
          <w:sz w:val="24"/>
          <w:szCs w:val="24"/>
        </w:rPr>
      </w:pPr>
    </w:p>
    <w:p w:rsidR="00E76F3A" w:rsidRPr="004E65F4" w:rsidRDefault="001E6BEC" w:rsidP="004E65F4">
      <w:pPr>
        <w:tabs>
          <w:tab w:val="left" w:pos="1134"/>
        </w:tabs>
        <w:spacing w:line="276" w:lineRule="auto"/>
        <w:jc w:val="both"/>
        <w:rPr>
          <w:rFonts w:ascii="Times New Roman" w:hAnsi="Times New Roman" w:cs="Times New Roman"/>
          <w:sz w:val="24"/>
          <w:szCs w:val="24"/>
        </w:rPr>
      </w:pPr>
      <w:r w:rsidRPr="006971E7">
        <w:rPr>
          <w:rFonts w:ascii="Times New Roman" w:hAnsi="Times New Roman" w:cs="Times New Roman"/>
          <w:sz w:val="24"/>
          <w:szCs w:val="24"/>
        </w:rPr>
        <w:t>O</w:t>
      </w:r>
      <w:r w:rsidR="00CF002C" w:rsidRPr="006971E7">
        <w:rPr>
          <w:rFonts w:ascii="Times New Roman" w:hAnsi="Times New Roman" w:cs="Times New Roman"/>
          <w:sz w:val="24"/>
          <w:szCs w:val="24"/>
        </w:rPr>
        <w:t>rdonatori principali de credite care au implementat</w:t>
      </w:r>
      <w:r w:rsidRPr="006971E7">
        <w:rPr>
          <w:rFonts w:ascii="Times New Roman" w:hAnsi="Times New Roman" w:cs="Times New Roman"/>
          <w:sz w:val="24"/>
          <w:szCs w:val="24"/>
        </w:rPr>
        <w:t>e</w:t>
      </w:r>
      <w:r w:rsidR="00CF002C" w:rsidRPr="006971E7">
        <w:rPr>
          <w:rFonts w:ascii="Times New Roman" w:hAnsi="Times New Roman" w:cs="Times New Roman"/>
          <w:sz w:val="24"/>
          <w:szCs w:val="24"/>
        </w:rPr>
        <w:t xml:space="preserve"> toate cele 16 de standarde</w:t>
      </w:r>
      <w:r w:rsidR="004E65F4">
        <w:rPr>
          <w:rFonts w:ascii="Times New Roman" w:hAnsi="Times New Roman" w:cs="Times New Roman"/>
          <w:sz w:val="24"/>
          <w:szCs w:val="24"/>
        </w:rPr>
        <w:t>.</w:t>
      </w:r>
    </w:p>
    <w:tbl>
      <w:tblPr>
        <w:tblStyle w:val="TableGrid"/>
        <w:tblW w:w="9639" w:type="dxa"/>
        <w:tblInd w:w="-5" w:type="dxa"/>
        <w:tblLook w:val="04A0" w:firstRow="1" w:lastRow="0" w:firstColumn="1" w:lastColumn="0" w:noHBand="0" w:noVBand="1"/>
      </w:tblPr>
      <w:tblGrid>
        <w:gridCol w:w="976"/>
        <w:gridCol w:w="4057"/>
        <w:gridCol w:w="4606"/>
      </w:tblGrid>
      <w:tr w:rsidR="00E76F3A" w:rsidRPr="001B2B79" w:rsidTr="004E65F4">
        <w:tc>
          <w:tcPr>
            <w:tcW w:w="848" w:type="dxa"/>
            <w:shd w:val="clear" w:color="auto" w:fill="BDD6EE" w:themeFill="accent1" w:themeFillTint="66"/>
            <w:vAlign w:val="center"/>
          </w:tcPr>
          <w:p w:rsidR="00E76F3A" w:rsidRPr="004E65F4" w:rsidRDefault="00E76F3A" w:rsidP="004E65F4">
            <w:pPr>
              <w:pStyle w:val="ListParagraph"/>
              <w:tabs>
                <w:tab w:val="left" w:pos="1134"/>
              </w:tabs>
              <w:spacing w:before="120" w:line="360" w:lineRule="auto"/>
              <w:ind w:left="0"/>
              <w:jc w:val="center"/>
              <w:rPr>
                <w:rFonts w:ascii="Times New Roman" w:hAnsi="Times New Roman" w:cs="Times New Roman"/>
                <w:b/>
                <w:sz w:val="24"/>
                <w:szCs w:val="24"/>
              </w:rPr>
            </w:pPr>
            <w:r w:rsidRPr="004E65F4">
              <w:rPr>
                <w:rFonts w:ascii="Times New Roman" w:hAnsi="Times New Roman" w:cs="Times New Roman"/>
                <w:b/>
                <w:sz w:val="24"/>
                <w:szCs w:val="24"/>
              </w:rPr>
              <w:t>Nr.Crt.</w:t>
            </w:r>
          </w:p>
        </w:tc>
        <w:tc>
          <w:tcPr>
            <w:tcW w:w="4114" w:type="dxa"/>
            <w:shd w:val="clear" w:color="auto" w:fill="BDD6EE" w:themeFill="accent1" w:themeFillTint="66"/>
            <w:vAlign w:val="center"/>
          </w:tcPr>
          <w:p w:rsidR="00E76F3A" w:rsidRPr="004E65F4" w:rsidRDefault="00E76F3A" w:rsidP="004E65F4">
            <w:pPr>
              <w:pStyle w:val="ListParagraph"/>
              <w:tabs>
                <w:tab w:val="left" w:pos="1134"/>
              </w:tabs>
              <w:spacing w:before="120" w:line="360" w:lineRule="auto"/>
              <w:ind w:left="0"/>
              <w:jc w:val="center"/>
              <w:rPr>
                <w:rFonts w:ascii="Times New Roman" w:hAnsi="Times New Roman" w:cs="Times New Roman"/>
                <w:b/>
                <w:sz w:val="24"/>
                <w:szCs w:val="24"/>
              </w:rPr>
            </w:pPr>
            <w:r w:rsidRPr="004E65F4">
              <w:rPr>
                <w:rFonts w:ascii="Times New Roman" w:hAnsi="Times New Roman" w:cs="Times New Roman"/>
                <w:b/>
                <w:sz w:val="24"/>
                <w:szCs w:val="24"/>
              </w:rPr>
              <w:t>Anul 2015</w:t>
            </w:r>
          </w:p>
        </w:tc>
        <w:tc>
          <w:tcPr>
            <w:tcW w:w="4677" w:type="dxa"/>
            <w:shd w:val="clear" w:color="auto" w:fill="BDD6EE" w:themeFill="accent1" w:themeFillTint="66"/>
            <w:vAlign w:val="center"/>
          </w:tcPr>
          <w:p w:rsidR="00E76F3A" w:rsidRPr="004E65F4" w:rsidRDefault="00E76F3A" w:rsidP="004E65F4">
            <w:pPr>
              <w:pStyle w:val="ListParagraph"/>
              <w:tabs>
                <w:tab w:val="left" w:pos="1134"/>
              </w:tabs>
              <w:spacing w:before="120" w:line="360" w:lineRule="auto"/>
              <w:ind w:left="0"/>
              <w:jc w:val="center"/>
              <w:rPr>
                <w:rFonts w:ascii="Times New Roman" w:hAnsi="Times New Roman" w:cs="Times New Roman"/>
                <w:b/>
                <w:sz w:val="24"/>
                <w:szCs w:val="24"/>
              </w:rPr>
            </w:pPr>
            <w:r w:rsidRPr="004E65F4">
              <w:rPr>
                <w:rFonts w:ascii="Times New Roman" w:hAnsi="Times New Roman" w:cs="Times New Roman"/>
                <w:b/>
                <w:sz w:val="24"/>
                <w:szCs w:val="24"/>
              </w:rPr>
              <w:t>Anul 2016</w:t>
            </w:r>
          </w:p>
        </w:tc>
      </w:tr>
      <w:tr w:rsidR="003C58B3" w:rsidRPr="001B2B79" w:rsidTr="004E65F4">
        <w:tc>
          <w:tcPr>
            <w:tcW w:w="848" w:type="dxa"/>
            <w:shd w:val="clear" w:color="auto" w:fill="FFF2CC" w:themeFill="accent4" w:themeFillTint="33"/>
            <w:vAlign w:val="center"/>
          </w:tcPr>
          <w:p w:rsidR="003C58B3" w:rsidRPr="004E65F4" w:rsidRDefault="003C58B3" w:rsidP="004E65F4">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1</w:t>
            </w:r>
          </w:p>
        </w:tc>
        <w:tc>
          <w:tcPr>
            <w:tcW w:w="4114"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Curtea Constituţională</w:t>
            </w:r>
          </w:p>
        </w:tc>
        <w:tc>
          <w:tcPr>
            <w:tcW w:w="4677"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Curtea Constituţională</w:t>
            </w:r>
          </w:p>
        </w:tc>
      </w:tr>
      <w:tr w:rsidR="003C58B3" w:rsidRPr="001B2B79" w:rsidTr="004E65F4">
        <w:tc>
          <w:tcPr>
            <w:tcW w:w="848" w:type="dxa"/>
            <w:shd w:val="clear" w:color="auto" w:fill="FFF2CC" w:themeFill="accent4" w:themeFillTint="33"/>
            <w:vAlign w:val="center"/>
          </w:tcPr>
          <w:p w:rsidR="003C58B3" w:rsidRPr="004E65F4" w:rsidRDefault="003C58B3" w:rsidP="004E65F4">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2</w:t>
            </w:r>
          </w:p>
        </w:tc>
        <w:tc>
          <w:tcPr>
            <w:tcW w:w="4114"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Consiliul Concurenţei</w:t>
            </w:r>
          </w:p>
        </w:tc>
        <w:tc>
          <w:tcPr>
            <w:tcW w:w="4677"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Consiliul Concurenţei</w:t>
            </w:r>
          </w:p>
        </w:tc>
      </w:tr>
      <w:tr w:rsidR="003C58B3" w:rsidRPr="001B2B79" w:rsidTr="004E65F4">
        <w:tc>
          <w:tcPr>
            <w:tcW w:w="848" w:type="dxa"/>
            <w:shd w:val="clear" w:color="auto" w:fill="FFF2CC" w:themeFill="accent4" w:themeFillTint="33"/>
            <w:vAlign w:val="center"/>
          </w:tcPr>
          <w:p w:rsidR="003C58B3" w:rsidRPr="004E65F4" w:rsidRDefault="003C58B3" w:rsidP="004E65F4">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3</w:t>
            </w:r>
          </w:p>
        </w:tc>
        <w:tc>
          <w:tcPr>
            <w:tcW w:w="4114"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Ministerul Afacerilor Interne</w:t>
            </w:r>
          </w:p>
        </w:tc>
        <w:tc>
          <w:tcPr>
            <w:tcW w:w="4677"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Ministerul Afacerilor Interne</w:t>
            </w:r>
          </w:p>
        </w:tc>
      </w:tr>
      <w:tr w:rsidR="003C58B3" w:rsidRPr="001B2B79" w:rsidTr="004E65F4">
        <w:tc>
          <w:tcPr>
            <w:tcW w:w="848" w:type="dxa"/>
            <w:shd w:val="clear" w:color="auto" w:fill="FFF2CC" w:themeFill="accent4" w:themeFillTint="33"/>
            <w:vAlign w:val="center"/>
          </w:tcPr>
          <w:p w:rsidR="003C58B3" w:rsidRPr="004E65F4" w:rsidRDefault="003C58B3" w:rsidP="004E65F4">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4</w:t>
            </w:r>
          </w:p>
        </w:tc>
        <w:tc>
          <w:tcPr>
            <w:tcW w:w="4114"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Ministerul Apărării Naţionale</w:t>
            </w:r>
          </w:p>
        </w:tc>
        <w:tc>
          <w:tcPr>
            <w:tcW w:w="4677"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Ministerul Apărării Naţionale</w:t>
            </w:r>
          </w:p>
        </w:tc>
      </w:tr>
      <w:tr w:rsidR="003C58B3" w:rsidRPr="001B2B79" w:rsidTr="004E65F4">
        <w:tc>
          <w:tcPr>
            <w:tcW w:w="848" w:type="dxa"/>
            <w:shd w:val="clear" w:color="auto" w:fill="FFF2CC" w:themeFill="accent4" w:themeFillTint="33"/>
            <w:vAlign w:val="center"/>
          </w:tcPr>
          <w:p w:rsidR="003C58B3" w:rsidRPr="004E65F4" w:rsidRDefault="003C58B3" w:rsidP="004E65F4">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5</w:t>
            </w:r>
          </w:p>
        </w:tc>
        <w:tc>
          <w:tcPr>
            <w:tcW w:w="4114"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Ministerul Finanţelor Publice</w:t>
            </w:r>
          </w:p>
        </w:tc>
        <w:tc>
          <w:tcPr>
            <w:tcW w:w="4677"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Ministerul Finanţelor Publice</w:t>
            </w:r>
          </w:p>
        </w:tc>
      </w:tr>
      <w:tr w:rsidR="003C58B3" w:rsidRPr="001B2B79" w:rsidTr="004E65F4">
        <w:tc>
          <w:tcPr>
            <w:tcW w:w="848" w:type="dxa"/>
            <w:shd w:val="clear" w:color="auto" w:fill="FFF2CC" w:themeFill="accent4" w:themeFillTint="33"/>
            <w:vAlign w:val="center"/>
          </w:tcPr>
          <w:p w:rsidR="003C58B3" w:rsidRPr="004E65F4" w:rsidRDefault="003C58B3" w:rsidP="004E65F4">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6</w:t>
            </w:r>
          </w:p>
        </w:tc>
        <w:tc>
          <w:tcPr>
            <w:tcW w:w="4114"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Serviciul de Protecţie şi Pază</w:t>
            </w:r>
          </w:p>
        </w:tc>
        <w:tc>
          <w:tcPr>
            <w:tcW w:w="4677" w:type="dxa"/>
            <w:shd w:val="clear" w:color="auto" w:fill="FFF2CC" w:themeFill="accent4" w:themeFillTint="33"/>
            <w:vAlign w:val="center"/>
          </w:tcPr>
          <w:p w:rsidR="003C58B3" w:rsidRPr="004E65F4" w:rsidRDefault="006E26F9" w:rsidP="00212999">
            <w:pPr>
              <w:pStyle w:val="ListParagraph"/>
              <w:tabs>
                <w:tab w:val="left" w:pos="1134"/>
              </w:tabs>
              <w:spacing w:line="276" w:lineRule="auto"/>
              <w:ind w:left="0"/>
              <w:jc w:val="center"/>
              <w:rPr>
                <w:rFonts w:ascii="Times New Roman" w:hAnsi="Times New Roman" w:cs="Times New Roman"/>
                <w:b/>
                <w:i/>
              </w:rPr>
            </w:pPr>
            <w:r w:rsidRPr="004E65F4">
              <w:rPr>
                <w:rFonts w:ascii="Times New Roman" w:hAnsi="Times New Roman" w:cs="Times New Roman"/>
                <w:b/>
                <w:i/>
              </w:rPr>
              <w:t>E</w:t>
            </w:r>
            <w:r w:rsidR="00212999" w:rsidRPr="004E65F4">
              <w:rPr>
                <w:rFonts w:ascii="Times New Roman" w:hAnsi="Times New Roman" w:cs="Times New Roman"/>
                <w:b/>
                <w:i/>
              </w:rPr>
              <w:t>xcepție</w:t>
            </w:r>
            <w:r>
              <w:rPr>
                <w:rFonts w:ascii="Times New Roman" w:hAnsi="Times New Roman" w:cs="Times New Roman"/>
                <w:b/>
                <w:i/>
              </w:rPr>
              <w:t xml:space="preserve"> raportare</w:t>
            </w:r>
          </w:p>
        </w:tc>
      </w:tr>
      <w:tr w:rsidR="003C58B3" w:rsidRPr="001B2B79" w:rsidTr="004E65F4">
        <w:tc>
          <w:tcPr>
            <w:tcW w:w="848" w:type="dxa"/>
            <w:shd w:val="clear" w:color="auto" w:fill="FFF2CC" w:themeFill="accent4" w:themeFillTint="33"/>
            <w:vAlign w:val="center"/>
          </w:tcPr>
          <w:p w:rsidR="003C58B3" w:rsidRPr="004E65F4" w:rsidRDefault="003C58B3" w:rsidP="004E65F4">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7</w:t>
            </w:r>
          </w:p>
        </w:tc>
        <w:tc>
          <w:tcPr>
            <w:tcW w:w="4114"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Serviciul de Telecomunicaţii Speciale</w:t>
            </w:r>
          </w:p>
        </w:tc>
        <w:tc>
          <w:tcPr>
            <w:tcW w:w="4677" w:type="dxa"/>
            <w:shd w:val="clear" w:color="auto" w:fill="FFF2CC" w:themeFill="accent4" w:themeFillTint="33"/>
            <w:vAlign w:val="center"/>
          </w:tcPr>
          <w:p w:rsidR="003C58B3" w:rsidRPr="004E65F4" w:rsidRDefault="006E26F9" w:rsidP="00212999">
            <w:pPr>
              <w:pStyle w:val="ListParagraph"/>
              <w:tabs>
                <w:tab w:val="left" w:pos="1134"/>
              </w:tabs>
              <w:spacing w:line="276" w:lineRule="auto"/>
              <w:ind w:left="0"/>
              <w:jc w:val="center"/>
              <w:rPr>
                <w:rFonts w:ascii="Times New Roman" w:hAnsi="Times New Roman" w:cs="Times New Roman"/>
                <w:b/>
                <w:i/>
              </w:rPr>
            </w:pPr>
            <w:r w:rsidRPr="004E65F4">
              <w:rPr>
                <w:rFonts w:ascii="Times New Roman" w:hAnsi="Times New Roman" w:cs="Times New Roman"/>
                <w:b/>
                <w:i/>
              </w:rPr>
              <w:t>E</w:t>
            </w:r>
            <w:r w:rsidR="00212999" w:rsidRPr="004E65F4">
              <w:rPr>
                <w:rFonts w:ascii="Times New Roman" w:hAnsi="Times New Roman" w:cs="Times New Roman"/>
                <w:b/>
                <w:i/>
              </w:rPr>
              <w:t>xcepție</w:t>
            </w:r>
            <w:r>
              <w:rPr>
                <w:rFonts w:ascii="Times New Roman" w:hAnsi="Times New Roman" w:cs="Times New Roman"/>
                <w:b/>
                <w:i/>
              </w:rPr>
              <w:t xml:space="preserve"> raportare</w:t>
            </w:r>
          </w:p>
        </w:tc>
      </w:tr>
      <w:tr w:rsidR="003C58B3" w:rsidRPr="001B2B79" w:rsidTr="004E65F4">
        <w:tc>
          <w:tcPr>
            <w:tcW w:w="848" w:type="dxa"/>
            <w:shd w:val="clear" w:color="auto" w:fill="FFF2CC" w:themeFill="accent4" w:themeFillTint="33"/>
            <w:vAlign w:val="center"/>
          </w:tcPr>
          <w:p w:rsidR="003C58B3" w:rsidRPr="004E65F4" w:rsidRDefault="003C58B3" w:rsidP="004E65F4">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8</w:t>
            </w:r>
          </w:p>
        </w:tc>
        <w:tc>
          <w:tcPr>
            <w:tcW w:w="4114"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Oficiul Naţional de Prevenire şi Combaterea Spălării Banilor</w:t>
            </w:r>
          </w:p>
        </w:tc>
        <w:tc>
          <w:tcPr>
            <w:tcW w:w="4677"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Oficiul Naţional de Prevenire şi Combaterea Spălării Banilor</w:t>
            </w:r>
          </w:p>
        </w:tc>
      </w:tr>
      <w:tr w:rsidR="003C58B3" w:rsidRPr="001B2B79" w:rsidTr="004E65F4">
        <w:tc>
          <w:tcPr>
            <w:tcW w:w="848" w:type="dxa"/>
            <w:shd w:val="clear" w:color="auto" w:fill="FFF2CC" w:themeFill="accent4" w:themeFillTint="33"/>
            <w:vAlign w:val="center"/>
          </w:tcPr>
          <w:p w:rsidR="003C58B3" w:rsidRPr="004E65F4" w:rsidRDefault="003C58B3" w:rsidP="004E65F4">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9</w:t>
            </w:r>
          </w:p>
        </w:tc>
        <w:tc>
          <w:tcPr>
            <w:tcW w:w="4114"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Oficiul Registrului Naţional al Informaţiilor Secrete de Stat</w:t>
            </w:r>
          </w:p>
        </w:tc>
        <w:tc>
          <w:tcPr>
            <w:tcW w:w="4677"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Oficiul Registrului Naţional al Informaţiilor Secrete de Stat</w:t>
            </w:r>
          </w:p>
        </w:tc>
      </w:tr>
      <w:tr w:rsidR="003C58B3" w:rsidRPr="001B2B79" w:rsidTr="004E65F4">
        <w:tc>
          <w:tcPr>
            <w:tcW w:w="848" w:type="dxa"/>
            <w:shd w:val="clear" w:color="auto" w:fill="FFF2CC" w:themeFill="accent4" w:themeFillTint="33"/>
            <w:vAlign w:val="center"/>
          </w:tcPr>
          <w:p w:rsidR="003C58B3" w:rsidRPr="004E65F4" w:rsidRDefault="003C58B3" w:rsidP="004E65F4">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10</w:t>
            </w:r>
          </w:p>
        </w:tc>
        <w:tc>
          <w:tcPr>
            <w:tcW w:w="4114"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Agenţia Naţională de Presă Agerpres</w:t>
            </w:r>
          </w:p>
        </w:tc>
        <w:tc>
          <w:tcPr>
            <w:tcW w:w="4677"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w:t>
            </w:r>
          </w:p>
        </w:tc>
      </w:tr>
      <w:tr w:rsidR="003C58B3" w:rsidRPr="001B2B79" w:rsidTr="004E65F4">
        <w:tc>
          <w:tcPr>
            <w:tcW w:w="848" w:type="dxa"/>
            <w:shd w:val="clear" w:color="auto" w:fill="FFF2CC" w:themeFill="accent4" w:themeFillTint="33"/>
            <w:vAlign w:val="center"/>
          </w:tcPr>
          <w:p w:rsidR="003C58B3" w:rsidRPr="004E65F4" w:rsidRDefault="003C58B3" w:rsidP="004E65F4">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11</w:t>
            </w:r>
          </w:p>
        </w:tc>
        <w:tc>
          <w:tcPr>
            <w:tcW w:w="4114"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Consiliul Superior al Magistraturii</w:t>
            </w:r>
          </w:p>
        </w:tc>
        <w:tc>
          <w:tcPr>
            <w:tcW w:w="4677"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Consiliul Superior al Magistraturii</w:t>
            </w:r>
          </w:p>
        </w:tc>
      </w:tr>
      <w:tr w:rsidR="003C58B3" w:rsidRPr="001B2B79" w:rsidTr="004E65F4">
        <w:tc>
          <w:tcPr>
            <w:tcW w:w="848" w:type="dxa"/>
            <w:shd w:val="clear" w:color="auto" w:fill="FFF2CC" w:themeFill="accent4" w:themeFillTint="33"/>
            <w:vAlign w:val="center"/>
          </w:tcPr>
          <w:p w:rsidR="003C58B3" w:rsidRPr="004E65F4" w:rsidRDefault="003C58B3" w:rsidP="004E65F4">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12</w:t>
            </w:r>
          </w:p>
        </w:tc>
        <w:tc>
          <w:tcPr>
            <w:tcW w:w="4114"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Autoritatea Națională de  Supraveghere a Prelucrării Datelor cu Caracter Personal</w:t>
            </w:r>
          </w:p>
        </w:tc>
        <w:tc>
          <w:tcPr>
            <w:tcW w:w="4677"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Autoritatea Națională de  Supraveghere a Prelucrării Datelor cu Caracter Personal</w:t>
            </w:r>
          </w:p>
        </w:tc>
      </w:tr>
      <w:tr w:rsidR="003C58B3" w:rsidRPr="001B2B79" w:rsidTr="004E65F4">
        <w:tc>
          <w:tcPr>
            <w:tcW w:w="848" w:type="dxa"/>
            <w:shd w:val="clear" w:color="auto" w:fill="FFF2CC" w:themeFill="accent4" w:themeFillTint="33"/>
            <w:vAlign w:val="center"/>
          </w:tcPr>
          <w:p w:rsidR="003C58B3" w:rsidRPr="004E65F4" w:rsidRDefault="003C58B3" w:rsidP="004E65F4">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13</w:t>
            </w:r>
          </w:p>
        </w:tc>
        <w:tc>
          <w:tcPr>
            <w:tcW w:w="4114"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Consiliul Naţional de Soluţionare a Contesţatiilor</w:t>
            </w:r>
          </w:p>
        </w:tc>
        <w:tc>
          <w:tcPr>
            <w:tcW w:w="4677"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Consiliul Naţional de Soluţionare a Contesţatiilor</w:t>
            </w:r>
          </w:p>
        </w:tc>
      </w:tr>
      <w:tr w:rsidR="003C58B3" w:rsidRPr="001B2B79" w:rsidTr="004E65F4">
        <w:tc>
          <w:tcPr>
            <w:tcW w:w="848" w:type="dxa"/>
            <w:shd w:val="clear" w:color="auto" w:fill="FFF2CC" w:themeFill="accent4" w:themeFillTint="33"/>
            <w:vAlign w:val="center"/>
          </w:tcPr>
          <w:p w:rsidR="003C58B3" w:rsidRPr="004E65F4" w:rsidRDefault="003C58B3" w:rsidP="004E65F4">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14</w:t>
            </w:r>
          </w:p>
        </w:tc>
        <w:tc>
          <w:tcPr>
            <w:tcW w:w="4114"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p>
        </w:tc>
        <w:tc>
          <w:tcPr>
            <w:tcW w:w="4677"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Ministerul Muncii, Familiei, Protecţiei Sociale şi Persoanelor Vârstnice</w:t>
            </w:r>
          </w:p>
        </w:tc>
      </w:tr>
      <w:tr w:rsidR="003C58B3" w:rsidRPr="001B2B79" w:rsidTr="004E65F4">
        <w:tc>
          <w:tcPr>
            <w:tcW w:w="848" w:type="dxa"/>
            <w:shd w:val="clear" w:color="auto" w:fill="FFF2CC" w:themeFill="accent4" w:themeFillTint="33"/>
            <w:vAlign w:val="center"/>
          </w:tcPr>
          <w:p w:rsidR="003C58B3" w:rsidRPr="004E65F4" w:rsidRDefault="003C58B3" w:rsidP="004E65F4">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15</w:t>
            </w:r>
          </w:p>
        </w:tc>
        <w:tc>
          <w:tcPr>
            <w:tcW w:w="4114"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p>
        </w:tc>
        <w:tc>
          <w:tcPr>
            <w:tcW w:w="4677" w:type="dxa"/>
            <w:shd w:val="clear" w:color="auto" w:fill="FFF2CC" w:themeFill="accent4" w:themeFillTint="33"/>
            <w:vAlign w:val="center"/>
          </w:tcPr>
          <w:p w:rsidR="003C58B3" w:rsidRPr="004E65F4" w:rsidRDefault="003C58B3"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Agenţia Naţională de Integritate</w:t>
            </w:r>
          </w:p>
        </w:tc>
      </w:tr>
      <w:tr w:rsidR="00212999" w:rsidRPr="001B2B79" w:rsidTr="004E65F4">
        <w:tc>
          <w:tcPr>
            <w:tcW w:w="848" w:type="dxa"/>
            <w:shd w:val="clear" w:color="auto" w:fill="FFF2CC" w:themeFill="accent4" w:themeFillTint="33"/>
            <w:vAlign w:val="center"/>
          </w:tcPr>
          <w:p w:rsidR="00212999" w:rsidRPr="004E65F4" w:rsidRDefault="00212999" w:rsidP="004E65F4">
            <w:pPr>
              <w:pStyle w:val="ListParagraph"/>
              <w:tabs>
                <w:tab w:val="left" w:pos="1134"/>
              </w:tabs>
              <w:spacing w:line="276" w:lineRule="auto"/>
              <w:ind w:left="0"/>
              <w:jc w:val="center"/>
              <w:rPr>
                <w:rFonts w:ascii="Times New Roman" w:hAnsi="Times New Roman" w:cs="Times New Roman"/>
              </w:rPr>
            </w:pPr>
            <w:r w:rsidRPr="004E65F4">
              <w:rPr>
                <w:rFonts w:ascii="Times New Roman" w:hAnsi="Times New Roman" w:cs="Times New Roman"/>
              </w:rPr>
              <w:t>16</w:t>
            </w:r>
          </w:p>
        </w:tc>
        <w:tc>
          <w:tcPr>
            <w:tcW w:w="4114" w:type="dxa"/>
            <w:shd w:val="clear" w:color="auto" w:fill="FFF2CC" w:themeFill="accent4" w:themeFillTint="33"/>
            <w:vAlign w:val="center"/>
          </w:tcPr>
          <w:p w:rsidR="00212999" w:rsidRPr="004E65F4" w:rsidRDefault="00212999" w:rsidP="003C58B3">
            <w:pPr>
              <w:pStyle w:val="ListParagraph"/>
              <w:tabs>
                <w:tab w:val="left" w:pos="1134"/>
              </w:tabs>
              <w:spacing w:line="276" w:lineRule="auto"/>
              <w:ind w:left="0"/>
              <w:jc w:val="both"/>
              <w:rPr>
                <w:rFonts w:ascii="Times New Roman" w:hAnsi="Times New Roman" w:cs="Times New Roman"/>
              </w:rPr>
            </w:pPr>
          </w:p>
        </w:tc>
        <w:tc>
          <w:tcPr>
            <w:tcW w:w="4677" w:type="dxa"/>
            <w:shd w:val="clear" w:color="auto" w:fill="FFF2CC" w:themeFill="accent4" w:themeFillTint="33"/>
            <w:vAlign w:val="center"/>
          </w:tcPr>
          <w:p w:rsidR="00212999" w:rsidRPr="004E65F4" w:rsidRDefault="00212999" w:rsidP="003C58B3">
            <w:pPr>
              <w:pStyle w:val="ListParagraph"/>
              <w:tabs>
                <w:tab w:val="left" w:pos="1134"/>
              </w:tabs>
              <w:spacing w:line="276" w:lineRule="auto"/>
              <w:ind w:left="0"/>
              <w:jc w:val="both"/>
              <w:rPr>
                <w:rFonts w:ascii="Times New Roman" w:hAnsi="Times New Roman" w:cs="Times New Roman"/>
              </w:rPr>
            </w:pPr>
            <w:r w:rsidRPr="004E65F4">
              <w:rPr>
                <w:rFonts w:ascii="Times New Roman" w:hAnsi="Times New Roman" w:cs="Times New Roman"/>
              </w:rPr>
              <w:t>Serviciul de Informaţii Externe</w:t>
            </w:r>
          </w:p>
        </w:tc>
      </w:tr>
    </w:tbl>
    <w:p w:rsidR="001E6BEC" w:rsidRPr="004E65F4" w:rsidRDefault="008E032D" w:rsidP="004E65F4">
      <w:pPr>
        <w:spacing w:line="276" w:lineRule="auto"/>
        <w:jc w:val="both"/>
        <w:rPr>
          <w:rFonts w:ascii="Times New Roman" w:hAnsi="Times New Roman" w:cs="Times New Roman"/>
          <w:b/>
          <w:i/>
          <w:sz w:val="24"/>
          <w:szCs w:val="24"/>
        </w:rPr>
      </w:pPr>
      <w:r w:rsidRPr="004E65F4">
        <w:rPr>
          <w:rFonts w:ascii="Times New Roman" w:hAnsi="Times New Roman" w:cs="Times New Roman"/>
          <w:b/>
          <w:i/>
          <w:sz w:val="24"/>
          <w:szCs w:val="24"/>
        </w:rPr>
        <w:t>În concluzie</w:t>
      </w:r>
      <w:r w:rsidR="00FB634B" w:rsidRPr="004E65F4">
        <w:rPr>
          <w:rFonts w:ascii="Times New Roman" w:hAnsi="Times New Roman" w:cs="Times New Roman"/>
          <w:b/>
          <w:i/>
          <w:sz w:val="24"/>
          <w:szCs w:val="24"/>
        </w:rPr>
        <w:t>,</w:t>
      </w:r>
      <w:r w:rsidR="005E199C" w:rsidRPr="004E65F4">
        <w:rPr>
          <w:rFonts w:ascii="Times New Roman" w:hAnsi="Times New Roman" w:cs="Times New Roman"/>
          <w:b/>
          <w:i/>
          <w:sz w:val="24"/>
          <w:szCs w:val="24"/>
        </w:rPr>
        <w:t xml:space="preserve"> const</w:t>
      </w:r>
      <w:r w:rsidRPr="004E65F4">
        <w:rPr>
          <w:rFonts w:ascii="Times New Roman" w:hAnsi="Times New Roman" w:cs="Times New Roman"/>
          <w:b/>
          <w:i/>
          <w:sz w:val="24"/>
          <w:szCs w:val="24"/>
        </w:rPr>
        <w:t>atăm</w:t>
      </w:r>
      <w:r w:rsidR="00FB634B" w:rsidRPr="004E65F4">
        <w:rPr>
          <w:rFonts w:ascii="Times New Roman" w:hAnsi="Times New Roman" w:cs="Times New Roman"/>
          <w:b/>
          <w:i/>
          <w:sz w:val="24"/>
          <w:szCs w:val="24"/>
        </w:rPr>
        <w:t xml:space="preserve"> că din </w:t>
      </w:r>
      <w:r w:rsidRPr="004E65F4">
        <w:rPr>
          <w:rFonts w:ascii="Times New Roman" w:hAnsi="Times New Roman" w:cs="Times New Roman"/>
          <w:b/>
          <w:i/>
          <w:sz w:val="24"/>
          <w:szCs w:val="24"/>
        </w:rPr>
        <w:t xml:space="preserve">cei </w:t>
      </w:r>
      <w:r w:rsidR="00212999" w:rsidRPr="004E65F4">
        <w:rPr>
          <w:rFonts w:ascii="Times New Roman" w:hAnsi="Times New Roman" w:cs="Times New Roman"/>
          <w:b/>
          <w:i/>
          <w:sz w:val="24"/>
          <w:szCs w:val="24"/>
        </w:rPr>
        <w:t>50</w:t>
      </w:r>
      <w:r w:rsidR="00FB634B" w:rsidRPr="004E65F4">
        <w:rPr>
          <w:rFonts w:ascii="Times New Roman" w:hAnsi="Times New Roman" w:cs="Times New Roman"/>
          <w:b/>
          <w:i/>
          <w:sz w:val="24"/>
          <w:szCs w:val="24"/>
        </w:rPr>
        <w:t xml:space="preserve"> de ordonatori principali de credite, numai 13 au declarat </w:t>
      </w:r>
      <w:r w:rsidR="00E768C0" w:rsidRPr="004E65F4">
        <w:rPr>
          <w:rFonts w:ascii="Times New Roman" w:hAnsi="Times New Roman" w:cs="Times New Roman"/>
          <w:b/>
          <w:i/>
          <w:sz w:val="24"/>
          <w:szCs w:val="24"/>
        </w:rPr>
        <w:t xml:space="preserve">toate </w:t>
      </w:r>
      <w:r w:rsidR="00FB634B" w:rsidRPr="004E65F4">
        <w:rPr>
          <w:rFonts w:ascii="Times New Roman" w:hAnsi="Times New Roman" w:cs="Times New Roman"/>
          <w:b/>
          <w:i/>
          <w:sz w:val="24"/>
          <w:szCs w:val="24"/>
        </w:rPr>
        <w:t>cele 16 standarde de control intern managerial implementate</w:t>
      </w:r>
      <w:r w:rsidR="00E768C0" w:rsidRPr="004E65F4">
        <w:rPr>
          <w:rFonts w:ascii="Times New Roman" w:hAnsi="Times New Roman" w:cs="Times New Roman"/>
          <w:b/>
          <w:i/>
          <w:sz w:val="24"/>
          <w:szCs w:val="24"/>
        </w:rPr>
        <w:t xml:space="preserve">, respectiv </w:t>
      </w:r>
      <w:r w:rsidR="003C2F9E" w:rsidRPr="004E65F4">
        <w:rPr>
          <w:rFonts w:ascii="Times New Roman" w:hAnsi="Times New Roman" w:cs="Times New Roman"/>
          <w:b/>
          <w:i/>
          <w:sz w:val="24"/>
          <w:szCs w:val="24"/>
        </w:rPr>
        <w:t>2</w:t>
      </w:r>
      <w:r w:rsidR="00C500C5" w:rsidRPr="004E65F4">
        <w:rPr>
          <w:rFonts w:ascii="Times New Roman" w:hAnsi="Times New Roman" w:cs="Times New Roman"/>
          <w:b/>
          <w:i/>
          <w:sz w:val="24"/>
          <w:szCs w:val="24"/>
        </w:rPr>
        <w:t>6,00</w:t>
      </w:r>
      <w:r w:rsidR="00E768C0" w:rsidRPr="004E65F4">
        <w:rPr>
          <w:rFonts w:ascii="Times New Roman" w:hAnsi="Times New Roman" w:cs="Times New Roman"/>
          <w:b/>
          <w:i/>
          <w:sz w:val="24"/>
          <w:szCs w:val="24"/>
        </w:rPr>
        <w:t>%</w:t>
      </w:r>
      <w:r w:rsidR="00FB634B" w:rsidRPr="004E65F4">
        <w:rPr>
          <w:rFonts w:ascii="Times New Roman" w:hAnsi="Times New Roman" w:cs="Times New Roman"/>
          <w:b/>
          <w:i/>
          <w:sz w:val="24"/>
          <w:szCs w:val="24"/>
        </w:rPr>
        <w:t>.</w:t>
      </w:r>
    </w:p>
    <w:p w:rsidR="00CF002C" w:rsidRPr="006E26F9" w:rsidRDefault="008E0C67" w:rsidP="004E65F4">
      <w:pPr>
        <w:spacing w:line="276" w:lineRule="auto"/>
        <w:jc w:val="both"/>
        <w:rPr>
          <w:rFonts w:ascii="Times New Roman" w:hAnsi="Times New Roman" w:cs="Times New Roman"/>
          <w:sz w:val="24"/>
          <w:szCs w:val="24"/>
        </w:rPr>
      </w:pPr>
      <w:r w:rsidRPr="006E26F9">
        <w:rPr>
          <w:rFonts w:ascii="Times New Roman" w:hAnsi="Times New Roman" w:cs="Times New Roman"/>
          <w:sz w:val="24"/>
          <w:szCs w:val="24"/>
        </w:rPr>
        <w:t>La nivelul</w:t>
      </w:r>
      <w:r w:rsidR="00E768C0" w:rsidRPr="006E26F9">
        <w:rPr>
          <w:rFonts w:ascii="Times New Roman" w:hAnsi="Times New Roman" w:cs="Times New Roman"/>
          <w:sz w:val="24"/>
          <w:szCs w:val="24"/>
        </w:rPr>
        <w:t xml:space="preserve"> celor</w:t>
      </w:r>
      <w:r w:rsidR="00212999" w:rsidRPr="006E26F9">
        <w:rPr>
          <w:rFonts w:ascii="Times New Roman" w:hAnsi="Times New Roman" w:cs="Times New Roman"/>
          <w:sz w:val="24"/>
          <w:szCs w:val="24"/>
        </w:rPr>
        <w:t xml:space="preserve"> 50 de ordonatori principali de credite, în anul 2016</w:t>
      </w:r>
      <w:r w:rsidR="0058301B" w:rsidRPr="006E26F9">
        <w:rPr>
          <w:rFonts w:ascii="Times New Roman" w:hAnsi="Times New Roman" w:cs="Times New Roman"/>
          <w:sz w:val="24"/>
          <w:szCs w:val="24"/>
        </w:rPr>
        <w:t>,</w:t>
      </w:r>
      <w:r w:rsidR="00212999" w:rsidRPr="006E26F9">
        <w:rPr>
          <w:rFonts w:ascii="Times New Roman" w:hAnsi="Times New Roman" w:cs="Times New Roman"/>
          <w:sz w:val="24"/>
          <w:szCs w:val="24"/>
        </w:rPr>
        <w:t xml:space="preserve"> comparativ cu </w:t>
      </w:r>
      <w:r w:rsidR="00E768C0" w:rsidRPr="006E26F9">
        <w:rPr>
          <w:rFonts w:ascii="Times New Roman" w:hAnsi="Times New Roman" w:cs="Times New Roman"/>
          <w:sz w:val="24"/>
          <w:szCs w:val="24"/>
        </w:rPr>
        <w:t xml:space="preserve"> </w:t>
      </w:r>
      <w:r w:rsidR="00212999" w:rsidRPr="006E26F9">
        <w:rPr>
          <w:rFonts w:ascii="Times New Roman" w:hAnsi="Times New Roman" w:cs="Times New Roman"/>
          <w:sz w:val="24"/>
          <w:szCs w:val="24"/>
        </w:rPr>
        <w:t xml:space="preserve">cei </w:t>
      </w:r>
      <w:r w:rsidR="00E768C0" w:rsidRPr="006E26F9">
        <w:rPr>
          <w:rFonts w:ascii="Times New Roman" w:hAnsi="Times New Roman" w:cs="Times New Roman"/>
          <w:sz w:val="24"/>
          <w:szCs w:val="24"/>
        </w:rPr>
        <w:t>52</w:t>
      </w:r>
      <w:r w:rsidR="00CF002C" w:rsidRPr="006E26F9">
        <w:rPr>
          <w:rFonts w:ascii="Times New Roman" w:hAnsi="Times New Roman" w:cs="Times New Roman"/>
          <w:sz w:val="24"/>
          <w:szCs w:val="24"/>
        </w:rPr>
        <w:t xml:space="preserve"> de ordonatori principa</w:t>
      </w:r>
      <w:r w:rsidR="001E6BEC" w:rsidRPr="006E26F9">
        <w:rPr>
          <w:rFonts w:ascii="Times New Roman" w:hAnsi="Times New Roman" w:cs="Times New Roman"/>
          <w:sz w:val="24"/>
          <w:szCs w:val="24"/>
        </w:rPr>
        <w:t xml:space="preserve">li de credite, </w:t>
      </w:r>
      <w:r w:rsidR="00212999" w:rsidRPr="006E26F9">
        <w:rPr>
          <w:rFonts w:ascii="Times New Roman" w:hAnsi="Times New Roman" w:cs="Times New Roman"/>
          <w:sz w:val="24"/>
          <w:szCs w:val="24"/>
        </w:rPr>
        <w:t xml:space="preserve">în anul 2015, </w:t>
      </w:r>
      <w:r w:rsidR="00CF002C" w:rsidRPr="006E26F9">
        <w:rPr>
          <w:rFonts w:ascii="Times New Roman" w:hAnsi="Times New Roman" w:cs="Times New Roman"/>
          <w:sz w:val="24"/>
          <w:szCs w:val="24"/>
        </w:rPr>
        <w:t>gradul de implementare al standa</w:t>
      </w:r>
      <w:r w:rsidR="001E6BEC" w:rsidRPr="006E26F9">
        <w:rPr>
          <w:rFonts w:ascii="Times New Roman" w:hAnsi="Times New Roman" w:cs="Times New Roman"/>
          <w:sz w:val="24"/>
          <w:szCs w:val="24"/>
        </w:rPr>
        <w:t xml:space="preserve">rdelor de control intern </w:t>
      </w:r>
      <w:r w:rsidR="00CF002C" w:rsidRPr="006E26F9">
        <w:rPr>
          <w:rFonts w:ascii="Times New Roman" w:hAnsi="Times New Roman" w:cs="Times New Roman"/>
          <w:sz w:val="24"/>
          <w:szCs w:val="24"/>
        </w:rPr>
        <w:t>managerial, este diferențiat, astfel:</w:t>
      </w:r>
    </w:p>
    <w:tbl>
      <w:tblPr>
        <w:tblStyle w:val="TableGrid"/>
        <w:tblW w:w="9639" w:type="dxa"/>
        <w:tblInd w:w="-5" w:type="dxa"/>
        <w:tblLayout w:type="fixed"/>
        <w:tblLook w:val="04A0" w:firstRow="1" w:lastRow="0" w:firstColumn="1" w:lastColumn="0" w:noHBand="0" w:noVBand="1"/>
      </w:tblPr>
      <w:tblGrid>
        <w:gridCol w:w="1323"/>
        <w:gridCol w:w="1654"/>
        <w:gridCol w:w="1559"/>
        <w:gridCol w:w="1560"/>
        <w:gridCol w:w="1701"/>
        <w:gridCol w:w="1842"/>
      </w:tblGrid>
      <w:tr w:rsidR="000B45ED" w:rsidRPr="004E65F4" w:rsidTr="004E65F4">
        <w:tc>
          <w:tcPr>
            <w:tcW w:w="4536" w:type="dxa"/>
            <w:gridSpan w:val="3"/>
            <w:shd w:val="clear" w:color="auto" w:fill="BDD6EE" w:themeFill="accent1" w:themeFillTint="66"/>
            <w:vAlign w:val="center"/>
          </w:tcPr>
          <w:p w:rsidR="000B45ED" w:rsidRPr="004E65F4" w:rsidRDefault="000B45ED" w:rsidP="004E65F4">
            <w:pPr>
              <w:pStyle w:val="ListParagraph"/>
              <w:spacing w:before="120" w:line="360" w:lineRule="auto"/>
              <w:ind w:left="0"/>
              <w:jc w:val="center"/>
              <w:rPr>
                <w:rFonts w:ascii="Times New Roman" w:hAnsi="Times New Roman" w:cs="Times New Roman"/>
                <w:b/>
                <w:sz w:val="24"/>
                <w:szCs w:val="24"/>
              </w:rPr>
            </w:pPr>
            <w:r w:rsidRPr="004E65F4">
              <w:rPr>
                <w:rFonts w:ascii="Times New Roman" w:hAnsi="Times New Roman" w:cs="Times New Roman"/>
                <w:b/>
                <w:sz w:val="24"/>
                <w:szCs w:val="24"/>
              </w:rPr>
              <w:t>Anul 2015</w:t>
            </w:r>
          </w:p>
        </w:tc>
        <w:tc>
          <w:tcPr>
            <w:tcW w:w="5103" w:type="dxa"/>
            <w:gridSpan w:val="3"/>
            <w:shd w:val="clear" w:color="auto" w:fill="BDD6EE" w:themeFill="accent1" w:themeFillTint="66"/>
            <w:vAlign w:val="center"/>
          </w:tcPr>
          <w:p w:rsidR="000B45ED" w:rsidRPr="004E65F4" w:rsidRDefault="000B45ED" w:rsidP="004E65F4">
            <w:pPr>
              <w:pStyle w:val="ListParagraph"/>
              <w:spacing w:before="120" w:line="360" w:lineRule="auto"/>
              <w:ind w:left="0"/>
              <w:jc w:val="center"/>
              <w:rPr>
                <w:rFonts w:ascii="Times New Roman" w:hAnsi="Times New Roman" w:cs="Times New Roman"/>
                <w:b/>
                <w:sz w:val="24"/>
                <w:szCs w:val="24"/>
              </w:rPr>
            </w:pPr>
            <w:r w:rsidRPr="004E65F4">
              <w:rPr>
                <w:rFonts w:ascii="Times New Roman" w:hAnsi="Times New Roman" w:cs="Times New Roman"/>
                <w:b/>
                <w:sz w:val="24"/>
                <w:szCs w:val="24"/>
              </w:rPr>
              <w:t>Anul 2015</w:t>
            </w:r>
          </w:p>
        </w:tc>
      </w:tr>
      <w:tr w:rsidR="004E65F4" w:rsidRPr="004E65F4" w:rsidTr="004E65F4">
        <w:tc>
          <w:tcPr>
            <w:tcW w:w="1323" w:type="dxa"/>
            <w:shd w:val="clear" w:color="auto" w:fill="BDD6EE" w:themeFill="accent1" w:themeFillTint="66"/>
            <w:vAlign w:val="center"/>
          </w:tcPr>
          <w:p w:rsidR="000B45ED" w:rsidRPr="004E65F4" w:rsidRDefault="000B45ED" w:rsidP="000B45ED">
            <w:pPr>
              <w:pStyle w:val="ListParagraph"/>
              <w:spacing w:line="276" w:lineRule="auto"/>
              <w:ind w:left="0"/>
              <w:jc w:val="center"/>
              <w:rPr>
                <w:rFonts w:ascii="Times New Roman" w:hAnsi="Times New Roman" w:cs="Times New Roman"/>
                <w:b/>
                <w:sz w:val="24"/>
                <w:szCs w:val="24"/>
              </w:rPr>
            </w:pPr>
            <w:r w:rsidRPr="004E65F4">
              <w:rPr>
                <w:rFonts w:ascii="Times New Roman" w:hAnsi="Times New Roman" w:cs="Times New Roman"/>
                <w:b/>
                <w:sz w:val="24"/>
                <w:szCs w:val="24"/>
              </w:rPr>
              <w:t>Nr. ordonatori principali de credite</w:t>
            </w:r>
          </w:p>
        </w:tc>
        <w:tc>
          <w:tcPr>
            <w:tcW w:w="1654" w:type="dxa"/>
            <w:shd w:val="clear" w:color="auto" w:fill="BDD6EE" w:themeFill="accent1" w:themeFillTint="66"/>
            <w:vAlign w:val="center"/>
          </w:tcPr>
          <w:p w:rsidR="000B45ED" w:rsidRPr="004E65F4" w:rsidRDefault="000B45ED" w:rsidP="000B45ED">
            <w:pPr>
              <w:pStyle w:val="ListParagraph"/>
              <w:spacing w:line="276" w:lineRule="auto"/>
              <w:ind w:left="0"/>
              <w:jc w:val="center"/>
              <w:rPr>
                <w:rFonts w:ascii="Times New Roman" w:hAnsi="Times New Roman" w:cs="Times New Roman"/>
                <w:b/>
                <w:sz w:val="24"/>
                <w:szCs w:val="24"/>
              </w:rPr>
            </w:pPr>
            <w:r w:rsidRPr="004E65F4">
              <w:rPr>
                <w:rFonts w:ascii="Times New Roman" w:hAnsi="Times New Roman" w:cs="Times New Roman"/>
                <w:b/>
                <w:sz w:val="24"/>
                <w:szCs w:val="24"/>
              </w:rPr>
              <w:t xml:space="preserve">Procent ordonatori principali de credite (%) </w:t>
            </w:r>
          </w:p>
        </w:tc>
        <w:tc>
          <w:tcPr>
            <w:tcW w:w="1559" w:type="dxa"/>
            <w:shd w:val="clear" w:color="auto" w:fill="BDD6EE" w:themeFill="accent1" w:themeFillTint="66"/>
            <w:vAlign w:val="center"/>
          </w:tcPr>
          <w:p w:rsidR="000B45ED" w:rsidRPr="004E65F4" w:rsidRDefault="004E65F4" w:rsidP="000B45ED">
            <w:pPr>
              <w:pStyle w:val="ListParagraph"/>
              <w:spacing w:line="276" w:lineRule="auto"/>
              <w:ind w:left="0"/>
              <w:jc w:val="center"/>
              <w:rPr>
                <w:rFonts w:ascii="Times New Roman" w:hAnsi="Times New Roman" w:cs="Times New Roman"/>
                <w:b/>
                <w:sz w:val="24"/>
                <w:szCs w:val="24"/>
              </w:rPr>
            </w:pPr>
            <w:r>
              <w:rPr>
                <w:rFonts w:ascii="Times New Roman" w:hAnsi="Times New Roman" w:cs="Times New Roman"/>
                <w:b/>
                <w:sz w:val="24"/>
                <w:szCs w:val="24"/>
              </w:rPr>
              <w:t>Grad implementare standarde</w:t>
            </w:r>
            <w:r w:rsidR="000B45ED" w:rsidRPr="004E65F4">
              <w:rPr>
                <w:rFonts w:ascii="Times New Roman" w:hAnsi="Times New Roman" w:cs="Times New Roman"/>
                <w:b/>
                <w:sz w:val="24"/>
                <w:szCs w:val="24"/>
              </w:rPr>
              <w:t xml:space="preserve"> (%)</w:t>
            </w:r>
          </w:p>
        </w:tc>
        <w:tc>
          <w:tcPr>
            <w:tcW w:w="1560" w:type="dxa"/>
            <w:shd w:val="clear" w:color="auto" w:fill="BDD6EE" w:themeFill="accent1" w:themeFillTint="66"/>
            <w:vAlign w:val="center"/>
          </w:tcPr>
          <w:p w:rsidR="000B45ED" w:rsidRPr="004E65F4" w:rsidRDefault="000B45ED" w:rsidP="000B45ED">
            <w:pPr>
              <w:pStyle w:val="ListParagraph"/>
              <w:spacing w:line="276" w:lineRule="auto"/>
              <w:ind w:left="0"/>
              <w:jc w:val="center"/>
              <w:rPr>
                <w:rFonts w:ascii="Times New Roman" w:hAnsi="Times New Roman" w:cs="Times New Roman"/>
                <w:b/>
                <w:sz w:val="24"/>
                <w:szCs w:val="24"/>
              </w:rPr>
            </w:pPr>
            <w:r w:rsidRPr="004E65F4">
              <w:rPr>
                <w:rFonts w:ascii="Times New Roman" w:hAnsi="Times New Roman" w:cs="Times New Roman"/>
                <w:b/>
                <w:sz w:val="24"/>
                <w:szCs w:val="24"/>
              </w:rPr>
              <w:t>Nr. ordonatori principali de credite</w:t>
            </w:r>
          </w:p>
        </w:tc>
        <w:tc>
          <w:tcPr>
            <w:tcW w:w="1701" w:type="dxa"/>
            <w:shd w:val="clear" w:color="auto" w:fill="BDD6EE" w:themeFill="accent1" w:themeFillTint="66"/>
            <w:vAlign w:val="center"/>
          </w:tcPr>
          <w:p w:rsidR="000B45ED" w:rsidRPr="004E65F4" w:rsidRDefault="000B45ED" w:rsidP="000B45ED">
            <w:pPr>
              <w:pStyle w:val="ListParagraph"/>
              <w:spacing w:line="276" w:lineRule="auto"/>
              <w:ind w:left="0"/>
              <w:jc w:val="center"/>
              <w:rPr>
                <w:rFonts w:ascii="Times New Roman" w:hAnsi="Times New Roman" w:cs="Times New Roman"/>
                <w:b/>
                <w:sz w:val="24"/>
                <w:szCs w:val="24"/>
              </w:rPr>
            </w:pPr>
            <w:r w:rsidRPr="004E65F4">
              <w:rPr>
                <w:rFonts w:ascii="Times New Roman" w:hAnsi="Times New Roman" w:cs="Times New Roman"/>
                <w:b/>
                <w:sz w:val="24"/>
                <w:szCs w:val="24"/>
              </w:rPr>
              <w:t>Procent ordonatori principali de credite (%)</w:t>
            </w:r>
          </w:p>
        </w:tc>
        <w:tc>
          <w:tcPr>
            <w:tcW w:w="1842" w:type="dxa"/>
            <w:shd w:val="clear" w:color="auto" w:fill="BDD6EE" w:themeFill="accent1" w:themeFillTint="66"/>
            <w:vAlign w:val="center"/>
          </w:tcPr>
          <w:p w:rsidR="004E65F4" w:rsidRDefault="004E65F4" w:rsidP="004E65F4">
            <w:pPr>
              <w:pStyle w:val="ListParagraph"/>
              <w:spacing w:line="276" w:lineRule="auto"/>
              <w:ind w:left="0"/>
              <w:jc w:val="center"/>
              <w:rPr>
                <w:rFonts w:ascii="Times New Roman" w:hAnsi="Times New Roman" w:cs="Times New Roman"/>
                <w:b/>
                <w:sz w:val="24"/>
                <w:szCs w:val="24"/>
              </w:rPr>
            </w:pPr>
            <w:r>
              <w:rPr>
                <w:rFonts w:ascii="Times New Roman" w:hAnsi="Times New Roman" w:cs="Times New Roman"/>
                <w:b/>
                <w:sz w:val="24"/>
                <w:szCs w:val="24"/>
              </w:rPr>
              <w:t>Grad implementare standarde</w:t>
            </w:r>
          </w:p>
          <w:p w:rsidR="000B45ED" w:rsidRPr="004E65F4" w:rsidRDefault="000B45ED" w:rsidP="004E65F4">
            <w:pPr>
              <w:pStyle w:val="ListParagraph"/>
              <w:spacing w:line="276" w:lineRule="auto"/>
              <w:ind w:left="0"/>
              <w:jc w:val="center"/>
              <w:rPr>
                <w:rFonts w:ascii="Times New Roman" w:hAnsi="Times New Roman" w:cs="Times New Roman"/>
                <w:b/>
                <w:sz w:val="24"/>
                <w:szCs w:val="24"/>
              </w:rPr>
            </w:pPr>
            <w:r w:rsidRPr="004E65F4">
              <w:rPr>
                <w:rFonts w:ascii="Times New Roman" w:hAnsi="Times New Roman" w:cs="Times New Roman"/>
                <w:b/>
                <w:sz w:val="24"/>
                <w:szCs w:val="24"/>
              </w:rPr>
              <w:t>(%)</w:t>
            </w:r>
          </w:p>
        </w:tc>
      </w:tr>
      <w:tr w:rsidR="004E65F4" w:rsidRPr="001B2B79" w:rsidTr="004E65F4">
        <w:tc>
          <w:tcPr>
            <w:tcW w:w="1323" w:type="dxa"/>
            <w:shd w:val="clear" w:color="auto" w:fill="FFF2CC" w:themeFill="accent4" w:themeFillTint="33"/>
            <w:vAlign w:val="center"/>
          </w:tcPr>
          <w:p w:rsidR="006622BB" w:rsidRPr="001B2B79" w:rsidRDefault="006622BB" w:rsidP="006622BB">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24</w:t>
            </w:r>
          </w:p>
        </w:tc>
        <w:tc>
          <w:tcPr>
            <w:tcW w:w="1654" w:type="dxa"/>
            <w:shd w:val="clear" w:color="auto" w:fill="FFF2CC" w:themeFill="accent4" w:themeFillTint="33"/>
            <w:vAlign w:val="center"/>
          </w:tcPr>
          <w:p w:rsidR="006622BB" w:rsidRPr="001B2B79" w:rsidRDefault="006622BB" w:rsidP="006622BB">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46,16</w:t>
            </w:r>
          </w:p>
        </w:tc>
        <w:tc>
          <w:tcPr>
            <w:tcW w:w="1559" w:type="dxa"/>
            <w:shd w:val="clear" w:color="auto" w:fill="FFF2CC" w:themeFill="accent4" w:themeFillTint="33"/>
            <w:vAlign w:val="center"/>
          </w:tcPr>
          <w:p w:rsidR="006622BB" w:rsidRPr="001B2B79" w:rsidRDefault="006622BB" w:rsidP="006622BB">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&gt; 90,00</w:t>
            </w:r>
          </w:p>
        </w:tc>
        <w:tc>
          <w:tcPr>
            <w:tcW w:w="1560" w:type="dxa"/>
            <w:shd w:val="clear" w:color="auto" w:fill="FFF2CC" w:themeFill="accent4" w:themeFillTint="33"/>
            <w:vAlign w:val="center"/>
          </w:tcPr>
          <w:p w:rsidR="006622BB" w:rsidRPr="001B2B79" w:rsidRDefault="006622BB" w:rsidP="00103A19">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20</w:t>
            </w:r>
          </w:p>
        </w:tc>
        <w:tc>
          <w:tcPr>
            <w:tcW w:w="1701" w:type="dxa"/>
            <w:shd w:val="clear" w:color="auto" w:fill="FFF2CC" w:themeFill="accent4" w:themeFillTint="33"/>
            <w:vAlign w:val="center"/>
          </w:tcPr>
          <w:p w:rsidR="006622BB" w:rsidRPr="001B2B79" w:rsidRDefault="00103A19" w:rsidP="00103A19">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40,00</w:t>
            </w:r>
          </w:p>
        </w:tc>
        <w:tc>
          <w:tcPr>
            <w:tcW w:w="1842" w:type="dxa"/>
            <w:shd w:val="clear" w:color="auto" w:fill="FFF2CC" w:themeFill="accent4" w:themeFillTint="33"/>
            <w:vAlign w:val="center"/>
          </w:tcPr>
          <w:p w:rsidR="006622BB" w:rsidRPr="001B2B79" w:rsidRDefault="006622BB" w:rsidP="006622BB">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&gt; 90,00</w:t>
            </w:r>
          </w:p>
        </w:tc>
      </w:tr>
      <w:tr w:rsidR="004E65F4" w:rsidRPr="001B2B79" w:rsidTr="004E65F4">
        <w:tc>
          <w:tcPr>
            <w:tcW w:w="1323" w:type="dxa"/>
            <w:shd w:val="clear" w:color="auto" w:fill="FFF2CC" w:themeFill="accent4" w:themeFillTint="33"/>
            <w:vAlign w:val="center"/>
          </w:tcPr>
          <w:p w:rsidR="006622BB" w:rsidRPr="001B2B79" w:rsidRDefault="006622BB" w:rsidP="006622BB">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14</w:t>
            </w:r>
          </w:p>
        </w:tc>
        <w:tc>
          <w:tcPr>
            <w:tcW w:w="1654" w:type="dxa"/>
            <w:shd w:val="clear" w:color="auto" w:fill="FFF2CC" w:themeFill="accent4" w:themeFillTint="33"/>
            <w:vAlign w:val="center"/>
          </w:tcPr>
          <w:p w:rsidR="006622BB" w:rsidRPr="001B2B79" w:rsidRDefault="006622BB" w:rsidP="006622BB">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26,93</w:t>
            </w:r>
          </w:p>
        </w:tc>
        <w:tc>
          <w:tcPr>
            <w:tcW w:w="1559" w:type="dxa"/>
            <w:shd w:val="clear" w:color="auto" w:fill="FFF2CC" w:themeFill="accent4" w:themeFillTint="33"/>
            <w:vAlign w:val="center"/>
          </w:tcPr>
          <w:p w:rsidR="006622BB" w:rsidRPr="001B2B79" w:rsidRDefault="006622BB" w:rsidP="006622BB">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75,00 – 90,00</w:t>
            </w:r>
          </w:p>
        </w:tc>
        <w:tc>
          <w:tcPr>
            <w:tcW w:w="1560" w:type="dxa"/>
            <w:shd w:val="clear" w:color="auto" w:fill="FFF2CC" w:themeFill="accent4" w:themeFillTint="33"/>
            <w:vAlign w:val="center"/>
          </w:tcPr>
          <w:p w:rsidR="006622BB" w:rsidRPr="001B2B79" w:rsidRDefault="006622BB" w:rsidP="00103A19">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7</w:t>
            </w:r>
          </w:p>
        </w:tc>
        <w:tc>
          <w:tcPr>
            <w:tcW w:w="1701" w:type="dxa"/>
            <w:shd w:val="clear" w:color="auto" w:fill="FFF2CC" w:themeFill="accent4" w:themeFillTint="33"/>
            <w:vAlign w:val="center"/>
          </w:tcPr>
          <w:p w:rsidR="006622BB" w:rsidRPr="001B2B79" w:rsidRDefault="00103A19" w:rsidP="00103A19">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14,00</w:t>
            </w:r>
          </w:p>
        </w:tc>
        <w:tc>
          <w:tcPr>
            <w:tcW w:w="1842" w:type="dxa"/>
            <w:shd w:val="clear" w:color="auto" w:fill="FFF2CC" w:themeFill="accent4" w:themeFillTint="33"/>
            <w:vAlign w:val="center"/>
          </w:tcPr>
          <w:p w:rsidR="006622BB" w:rsidRPr="001B2B79" w:rsidRDefault="006622BB" w:rsidP="006622BB">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75,00 – 90,00</w:t>
            </w:r>
          </w:p>
        </w:tc>
      </w:tr>
      <w:tr w:rsidR="004E65F4" w:rsidRPr="001B2B79" w:rsidTr="004E65F4">
        <w:tc>
          <w:tcPr>
            <w:tcW w:w="1323" w:type="dxa"/>
            <w:shd w:val="clear" w:color="auto" w:fill="FFF2CC" w:themeFill="accent4" w:themeFillTint="33"/>
            <w:vAlign w:val="center"/>
          </w:tcPr>
          <w:p w:rsidR="006622BB" w:rsidRPr="001B2B79" w:rsidRDefault="006622BB" w:rsidP="006622BB">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12</w:t>
            </w:r>
          </w:p>
        </w:tc>
        <w:tc>
          <w:tcPr>
            <w:tcW w:w="1654" w:type="dxa"/>
            <w:shd w:val="clear" w:color="auto" w:fill="FFF2CC" w:themeFill="accent4" w:themeFillTint="33"/>
            <w:vAlign w:val="center"/>
          </w:tcPr>
          <w:p w:rsidR="006622BB" w:rsidRPr="001B2B79" w:rsidRDefault="006622BB" w:rsidP="006622BB">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23,07</w:t>
            </w:r>
          </w:p>
        </w:tc>
        <w:tc>
          <w:tcPr>
            <w:tcW w:w="1559" w:type="dxa"/>
            <w:shd w:val="clear" w:color="auto" w:fill="FFF2CC" w:themeFill="accent4" w:themeFillTint="33"/>
            <w:vAlign w:val="center"/>
          </w:tcPr>
          <w:p w:rsidR="006622BB" w:rsidRPr="001B2B79" w:rsidRDefault="006622BB" w:rsidP="006622BB">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50,00 - 75,00</w:t>
            </w:r>
          </w:p>
        </w:tc>
        <w:tc>
          <w:tcPr>
            <w:tcW w:w="1560" w:type="dxa"/>
            <w:shd w:val="clear" w:color="auto" w:fill="FFF2CC" w:themeFill="accent4" w:themeFillTint="33"/>
            <w:vAlign w:val="center"/>
          </w:tcPr>
          <w:p w:rsidR="006622BB" w:rsidRPr="001B2B79" w:rsidRDefault="006622BB" w:rsidP="00103A19">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2</w:t>
            </w:r>
            <w:r w:rsidR="00103A19" w:rsidRPr="001B2B79">
              <w:rPr>
                <w:rFonts w:ascii="Times New Roman" w:hAnsi="Times New Roman" w:cs="Times New Roman"/>
                <w:sz w:val="24"/>
                <w:szCs w:val="24"/>
              </w:rPr>
              <w:t>3</w:t>
            </w:r>
          </w:p>
        </w:tc>
        <w:tc>
          <w:tcPr>
            <w:tcW w:w="1701" w:type="dxa"/>
            <w:shd w:val="clear" w:color="auto" w:fill="FFF2CC" w:themeFill="accent4" w:themeFillTint="33"/>
            <w:vAlign w:val="center"/>
          </w:tcPr>
          <w:p w:rsidR="006622BB" w:rsidRPr="001B2B79" w:rsidRDefault="00103A19" w:rsidP="00103A19">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46,00</w:t>
            </w:r>
          </w:p>
        </w:tc>
        <w:tc>
          <w:tcPr>
            <w:tcW w:w="1842" w:type="dxa"/>
            <w:shd w:val="clear" w:color="auto" w:fill="FFF2CC" w:themeFill="accent4" w:themeFillTint="33"/>
            <w:vAlign w:val="center"/>
          </w:tcPr>
          <w:p w:rsidR="006622BB" w:rsidRPr="001B2B79" w:rsidRDefault="006622BB" w:rsidP="006622BB">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50,00 - 75,00</w:t>
            </w:r>
          </w:p>
        </w:tc>
      </w:tr>
      <w:tr w:rsidR="004E65F4" w:rsidRPr="001B2B79" w:rsidTr="004E65F4">
        <w:tc>
          <w:tcPr>
            <w:tcW w:w="1323" w:type="dxa"/>
            <w:shd w:val="clear" w:color="auto" w:fill="FFF2CC" w:themeFill="accent4" w:themeFillTint="33"/>
            <w:vAlign w:val="center"/>
          </w:tcPr>
          <w:p w:rsidR="006622BB" w:rsidRPr="001B2B79" w:rsidRDefault="006622BB" w:rsidP="006622BB">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2</w:t>
            </w:r>
          </w:p>
        </w:tc>
        <w:tc>
          <w:tcPr>
            <w:tcW w:w="1654" w:type="dxa"/>
            <w:shd w:val="clear" w:color="auto" w:fill="FFF2CC" w:themeFill="accent4" w:themeFillTint="33"/>
            <w:vAlign w:val="center"/>
          </w:tcPr>
          <w:p w:rsidR="006622BB" w:rsidRPr="001B2B79" w:rsidRDefault="006622BB" w:rsidP="006622BB">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3,84</w:t>
            </w:r>
          </w:p>
        </w:tc>
        <w:tc>
          <w:tcPr>
            <w:tcW w:w="1559" w:type="dxa"/>
            <w:shd w:val="clear" w:color="auto" w:fill="FFF2CC" w:themeFill="accent4" w:themeFillTint="33"/>
            <w:vAlign w:val="center"/>
          </w:tcPr>
          <w:p w:rsidR="006622BB" w:rsidRPr="001B2B79" w:rsidRDefault="006622BB" w:rsidP="006622BB">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&lt; 50,00</w:t>
            </w:r>
          </w:p>
        </w:tc>
        <w:tc>
          <w:tcPr>
            <w:tcW w:w="1560" w:type="dxa"/>
            <w:shd w:val="clear" w:color="auto" w:fill="FFF2CC" w:themeFill="accent4" w:themeFillTint="33"/>
            <w:vAlign w:val="center"/>
          </w:tcPr>
          <w:p w:rsidR="006622BB" w:rsidRPr="001B2B79" w:rsidRDefault="00103A19" w:rsidP="00103A19">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w:t>
            </w:r>
          </w:p>
        </w:tc>
        <w:tc>
          <w:tcPr>
            <w:tcW w:w="1701" w:type="dxa"/>
            <w:shd w:val="clear" w:color="auto" w:fill="FFF2CC" w:themeFill="accent4" w:themeFillTint="33"/>
            <w:vAlign w:val="center"/>
          </w:tcPr>
          <w:p w:rsidR="006622BB" w:rsidRPr="001B2B79" w:rsidRDefault="006622BB" w:rsidP="006622BB">
            <w:pPr>
              <w:pStyle w:val="ListParagraph"/>
              <w:spacing w:line="276" w:lineRule="auto"/>
              <w:ind w:left="0"/>
              <w:jc w:val="both"/>
              <w:rPr>
                <w:rFonts w:ascii="Times New Roman" w:hAnsi="Times New Roman" w:cs="Times New Roman"/>
                <w:sz w:val="24"/>
                <w:szCs w:val="24"/>
              </w:rPr>
            </w:pPr>
          </w:p>
        </w:tc>
        <w:tc>
          <w:tcPr>
            <w:tcW w:w="1842" w:type="dxa"/>
            <w:shd w:val="clear" w:color="auto" w:fill="FFF2CC" w:themeFill="accent4" w:themeFillTint="33"/>
            <w:vAlign w:val="center"/>
          </w:tcPr>
          <w:p w:rsidR="006622BB" w:rsidRPr="001B2B79" w:rsidRDefault="006622BB" w:rsidP="006622BB">
            <w:pPr>
              <w:pStyle w:val="ListParagraph"/>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&lt; 50,00</w:t>
            </w:r>
          </w:p>
        </w:tc>
      </w:tr>
    </w:tbl>
    <w:p w:rsidR="00212999" w:rsidRPr="001E6BEC" w:rsidRDefault="00212999" w:rsidP="00212999">
      <w:pPr>
        <w:pStyle w:val="ListParagraph"/>
        <w:spacing w:line="276" w:lineRule="auto"/>
        <w:ind w:left="990"/>
        <w:jc w:val="both"/>
        <w:rPr>
          <w:rFonts w:ascii="Times New Roman" w:hAnsi="Times New Roman" w:cs="Times New Roman"/>
          <w:sz w:val="24"/>
          <w:szCs w:val="24"/>
        </w:rPr>
      </w:pPr>
    </w:p>
    <w:p w:rsidR="00094403" w:rsidRPr="006E26F9" w:rsidRDefault="00FB634B" w:rsidP="004E65F4">
      <w:pPr>
        <w:jc w:val="both"/>
        <w:rPr>
          <w:rFonts w:ascii="Times New Roman" w:hAnsi="Times New Roman" w:cs="Times New Roman"/>
          <w:sz w:val="24"/>
          <w:szCs w:val="24"/>
        </w:rPr>
      </w:pPr>
      <w:r w:rsidRPr="006E26F9">
        <w:rPr>
          <w:rFonts w:ascii="Times New Roman" w:hAnsi="Times New Roman" w:cs="Times New Roman"/>
          <w:sz w:val="24"/>
          <w:szCs w:val="24"/>
        </w:rPr>
        <w:t xml:space="preserve">În continuare, </w:t>
      </w:r>
      <w:r w:rsidRPr="006E26F9">
        <w:rPr>
          <w:rFonts w:ascii="Times New Roman" w:hAnsi="Times New Roman" w:cs="Times New Roman"/>
          <w:b/>
          <w:sz w:val="24"/>
          <w:szCs w:val="24"/>
        </w:rPr>
        <w:t xml:space="preserve">DCIMRI a analizat </w:t>
      </w:r>
      <w:r w:rsidR="00CF002C" w:rsidRPr="006E26F9">
        <w:rPr>
          <w:rFonts w:ascii="Times New Roman" w:hAnsi="Times New Roman" w:cs="Times New Roman"/>
          <w:b/>
          <w:sz w:val="24"/>
          <w:szCs w:val="24"/>
        </w:rPr>
        <w:t>gradul de implementare a standardelor de control intern managerial, la nivelul ordonatorilor principali de credite – aparat propriu</w:t>
      </w:r>
      <w:r w:rsidRPr="006E26F9">
        <w:rPr>
          <w:rFonts w:ascii="Times New Roman" w:hAnsi="Times New Roman" w:cs="Times New Roman"/>
          <w:sz w:val="24"/>
          <w:szCs w:val="24"/>
        </w:rPr>
        <w:t>,</w:t>
      </w:r>
      <w:r w:rsidR="00CF002C" w:rsidRPr="006E26F9">
        <w:rPr>
          <w:rFonts w:ascii="Times New Roman" w:hAnsi="Times New Roman" w:cs="Times New Roman"/>
          <w:sz w:val="24"/>
          <w:szCs w:val="24"/>
        </w:rPr>
        <w:t xml:space="preserve"> la care standardele </w:t>
      </w:r>
      <w:r w:rsidRPr="006E26F9">
        <w:rPr>
          <w:rFonts w:ascii="Times New Roman" w:hAnsi="Times New Roman" w:cs="Times New Roman"/>
          <w:sz w:val="24"/>
          <w:szCs w:val="24"/>
        </w:rPr>
        <w:t xml:space="preserve">de control intern managerial </w:t>
      </w:r>
      <w:r w:rsidR="00CF002C" w:rsidRPr="006E26F9">
        <w:rPr>
          <w:rFonts w:ascii="Times New Roman" w:hAnsi="Times New Roman" w:cs="Times New Roman"/>
          <w:sz w:val="24"/>
          <w:szCs w:val="24"/>
        </w:rPr>
        <w:t>se află în una din cele trei situații, respectiv: implementat, parțial implementat și neimplementat</w:t>
      </w:r>
      <w:r w:rsidRPr="006E26F9">
        <w:rPr>
          <w:rFonts w:ascii="Times New Roman" w:hAnsi="Times New Roman" w:cs="Times New Roman"/>
          <w:sz w:val="24"/>
          <w:szCs w:val="24"/>
        </w:rPr>
        <w:t>,</w:t>
      </w:r>
      <w:r w:rsidRPr="006E26F9">
        <w:rPr>
          <w:rFonts w:ascii="Times New Roman" w:hAnsi="Times New Roman" w:cs="Times New Roman"/>
          <w:b/>
          <w:sz w:val="24"/>
          <w:szCs w:val="24"/>
        </w:rPr>
        <w:t xml:space="preserve"> </w:t>
      </w:r>
      <w:r w:rsidR="00094403" w:rsidRPr="006E26F9">
        <w:rPr>
          <w:rFonts w:ascii="Times New Roman" w:hAnsi="Times New Roman" w:cs="Times New Roman"/>
          <w:sz w:val="24"/>
          <w:szCs w:val="24"/>
        </w:rPr>
        <w:t xml:space="preserve">așa cum rezultă din tabelul </w:t>
      </w:r>
      <w:r w:rsidR="004E65F4" w:rsidRPr="006E26F9">
        <w:rPr>
          <w:rFonts w:ascii="Times New Roman" w:hAnsi="Times New Roman" w:cs="Times New Roman"/>
          <w:sz w:val="24"/>
          <w:szCs w:val="24"/>
        </w:rPr>
        <w:t xml:space="preserve">nr.3 </w:t>
      </w:r>
      <w:r w:rsidR="00094403" w:rsidRPr="006E26F9">
        <w:rPr>
          <w:rFonts w:ascii="Times New Roman" w:hAnsi="Times New Roman" w:cs="Times New Roman"/>
          <w:sz w:val="24"/>
          <w:szCs w:val="24"/>
        </w:rPr>
        <w:t>și r</w:t>
      </w:r>
      <w:r w:rsidR="004E65F4" w:rsidRPr="006E26F9">
        <w:rPr>
          <w:rFonts w:ascii="Times New Roman" w:hAnsi="Times New Roman" w:cs="Times New Roman"/>
          <w:sz w:val="24"/>
          <w:szCs w:val="24"/>
        </w:rPr>
        <w:t>eprezentarea grafică de mai jos.</w:t>
      </w:r>
    </w:p>
    <w:p w:rsidR="00F50B97" w:rsidRDefault="00F50B97" w:rsidP="00F50B97">
      <w:pPr>
        <w:jc w:val="both"/>
        <w:rPr>
          <w:rFonts w:ascii="Times New Roman" w:hAnsi="Times New Roman" w:cs="Times New Roman"/>
          <w:sz w:val="24"/>
          <w:szCs w:val="24"/>
        </w:rPr>
      </w:pPr>
    </w:p>
    <w:p w:rsidR="00F50B97" w:rsidRDefault="00F50B97" w:rsidP="00F50B97">
      <w:pPr>
        <w:jc w:val="both"/>
        <w:rPr>
          <w:rFonts w:ascii="Times New Roman" w:hAnsi="Times New Roman" w:cs="Times New Roman"/>
          <w:sz w:val="24"/>
          <w:szCs w:val="24"/>
        </w:rPr>
      </w:pPr>
    </w:p>
    <w:p w:rsidR="00F50B97" w:rsidRDefault="00F50B97" w:rsidP="00F50B97">
      <w:pPr>
        <w:jc w:val="both"/>
        <w:rPr>
          <w:rFonts w:ascii="Times New Roman" w:hAnsi="Times New Roman" w:cs="Times New Roman"/>
          <w:sz w:val="24"/>
          <w:szCs w:val="24"/>
        </w:rPr>
      </w:pPr>
    </w:p>
    <w:p w:rsidR="001B2B79" w:rsidRDefault="001B2B79" w:rsidP="00F50B97">
      <w:pPr>
        <w:jc w:val="both"/>
        <w:rPr>
          <w:rFonts w:ascii="Times New Roman" w:hAnsi="Times New Roman" w:cs="Times New Roman"/>
          <w:sz w:val="24"/>
          <w:szCs w:val="24"/>
        </w:rPr>
      </w:pPr>
    </w:p>
    <w:p w:rsidR="001B2B79" w:rsidRDefault="001B2B79" w:rsidP="00F50B97">
      <w:pPr>
        <w:jc w:val="both"/>
        <w:rPr>
          <w:rFonts w:ascii="Times New Roman" w:hAnsi="Times New Roman" w:cs="Times New Roman"/>
          <w:sz w:val="24"/>
          <w:szCs w:val="24"/>
        </w:rPr>
      </w:pPr>
    </w:p>
    <w:p w:rsidR="001B2B79" w:rsidRDefault="001B2B79" w:rsidP="00F50B97">
      <w:pPr>
        <w:jc w:val="both"/>
        <w:rPr>
          <w:rFonts w:ascii="Times New Roman" w:hAnsi="Times New Roman" w:cs="Times New Roman"/>
          <w:sz w:val="24"/>
          <w:szCs w:val="24"/>
        </w:rPr>
      </w:pPr>
    </w:p>
    <w:p w:rsidR="001B2B79" w:rsidRDefault="001B2B79" w:rsidP="00F50B97">
      <w:pPr>
        <w:jc w:val="both"/>
        <w:rPr>
          <w:rFonts w:ascii="Times New Roman" w:hAnsi="Times New Roman" w:cs="Times New Roman"/>
          <w:sz w:val="24"/>
          <w:szCs w:val="24"/>
        </w:rPr>
      </w:pPr>
    </w:p>
    <w:p w:rsidR="001B2B79" w:rsidRDefault="001B2B79" w:rsidP="00F50B97">
      <w:pPr>
        <w:jc w:val="both"/>
        <w:rPr>
          <w:rFonts w:ascii="Times New Roman" w:hAnsi="Times New Roman" w:cs="Times New Roman"/>
          <w:sz w:val="24"/>
          <w:szCs w:val="24"/>
        </w:rPr>
      </w:pPr>
    </w:p>
    <w:p w:rsidR="004E65F4" w:rsidRDefault="004E65F4">
      <w:pPr>
        <w:rPr>
          <w:rFonts w:ascii="Times New Roman" w:hAnsi="Times New Roman" w:cs="Times New Roman"/>
          <w:b/>
          <w:sz w:val="24"/>
          <w:szCs w:val="24"/>
        </w:rPr>
      </w:pPr>
      <w:r>
        <w:rPr>
          <w:rFonts w:ascii="Times New Roman" w:hAnsi="Times New Roman" w:cs="Times New Roman"/>
          <w:b/>
          <w:sz w:val="24"/>
          <w:szCs w:val="24"/>
        </w:rPr>
        <w:br w:type="page"/>
      </w:r>
    </w:p>
    <w:p w:rsidR="00094403" w:rsidRDefault="00457C04" w:rsidP="00094403">
      <w:pPr>
        <w:pStyle w:val="ListParagraph"/>
        <w:spacing w:line="276" w:lineRule="auto"/>
        <w:ind w:left="540"/>
        <w:jc w:val="right"/>
        <w:rPr>
          <w:rFonts w:ascii="Times New Roman" w:hAnsi="Times New Roman" w:cs="Times New Roman"/>
          <w:b/>
          <w:sz w:val="24"/>
          <w:szCs w:val="24"/>
        </w:rPr>
      </w:pPr>
      <w:r>
        <w:rPr>
          <w:rFonts w:ascii="Times New Roman" w:hAnsi="Times New Roman" w:cs="Times New Roman"/>
          <w:b/>
          <w:sz w:val="24"/>
          <w:szCs w:val="24"/>
        </w:rPr>
        <w:t>T</w:t>
      </w:r>
      <w:r w:rsidR="0077708F">
        <w:rPr>
          <w:rFonts w:ascii="Times New Roman" w:hAnsi="Times New Roman" w:cs="Times New Roman"/>
          <w:b/>
          <w:sz w:val="24"/>
          <w:szCs w:val="24"/>
        </w:rPr>
        <w:t>abel nr.</w:t>
      </w:r>
      <w:r w:rsidR="00837DFE" w:rsidRPr="00094403">
        <w:rPr>
          <w:rFonts w:ascii="Times New Roman" w:hAnsi="Times New Roman" w:cs="Times New Roman"/>
          <w:b/>
          <w:sz w:val="24"/>
          <w:szCs w:val="24"/>
        </w:rPr>
        <w:t xml:space="preserve">3 </w:t>
      </w:r>
    </w:p>
    <w:p w:rsidR="00094403" w:rsidRPr="00094403" w:rsidRDefault="00094403" w:rsidP="00094403">
      <w:pPr>
        <w:pStyle w:val="ListParagraph"/>
        <w:spacing w:line="276" w:lineRule="auto"/>
        <w:ind w:left="540"/>
        <w:jc w:val="right"/>
        <w:rPr>
          <w:rFonts w:ascii="Times New Roman" w:hAnsi="Times New Roman" w:cs="Times New Roman"/>
          <w:b/>
          <w:sz w:val="24"/>
          <w:szCs w:val="24"/>
        </w:rPr>
      </w:pPr>
    </w:p>
    <w:p w:rsidR="00837DFE" w:rsidRPr="00094403" w:rsidRDefault="00837DFE" w:rsidP="00837DFE">
      <w:pPr>
        <w:pStyle w:val="ListParagraph"/>
        <w:spacing w:line="276" w:lineRule="auto"/>
        <w:ind w:left="540"/>
        <w:jc w:val="center"/>
        <w:rPr>
          <w:rFonts w:ascii="Times New Roman" w:hAnsi="Times New Roman" w:cs="Times New Roman"/>
          <w:b/>
          <w:sz w:val="24"/>
          <w:szCs w:val="24"/>
        </w:rPr>
      </w:pPr>
      <w:r w:rsidRPr="00094403">
        <w:rPr>
          <w:rFonts w:ascii="Times New Roman" w:hAnsi="Times New Roman" w:cs="Times New Roman"/>
          <w:b/>
          <w:sz w:val="24"/>
          <w:szCs w:val="24"/>
        </w:rPr>
        <w:t>Gradul de implementare a standardelor de control intern managerial, la nivelul ordonatorilor principali de credite – aparat propriu</w:t>
      </w:r>
    </w:p>
    <w:tbl>
      <w:tblPr>
        <w:tblStyle w:val="TableGrid"/>
        <w:tblW w:w="9781" w:type="dxa"/>
        <w:tblInd w:w="-147" w:type="dxa"/>
        <w:tblLayout w:type="fixed"/>
        <w:tblLook w:val="04A0" w:firstRow="1" w:lastRow="0" w:firstColumn="1" w:lastColumn="0" w:noHBand="0" w:noVBand="1"/>
      </w:tblPr>
      <w:tblGrid>
        <w:gridCol w:w="568"/>
        <w:gridCol w:w="1842"/>
        <w:gridCol w:w="425"/>
        <w:gridCol w:w="567"/>
        <w:gridCol w:w="567"/>
        <w:gridCol w:w="709"/>
        <w:gridCol w:w="709"/>
        <w:gridCol w:w="709"/>
        <w:gridCol w:w="425"/>
        <w:gridCol w:w="567"/>
        <w:gridCol w:w="567"/>
        <w:gridCol w:w="708"/>
        <w:gridCol w:w="709"/>
        <w:gridCol w:w="709"/>
      </w:tblGrid>
      <w:tr w:rsidR="00E82616" w:rsidRPr="00E61FD1" w:rsidTr="004E65F4">
        <w:trPr>
          <w:tblHeader/>
        </w:trPr>
        <w:tc>
          <w:tcPr>
            <w:tcW w:w="568" w:type="dxa"/>
            <w:vMerge w:val="restart"/>
            <w:shd w:val="clear" w:color="auto" w:fill="BDD6EE" w:themeFill="accent1" w:themeFillTint="66"/>
            <w:textDirection w:val="btLr"/>
          </w:tcPr>
          <w:p w:rsidR="00E82616" w:rsidRPr="00E61FD1" w:rsidRDefault="00E82616" w:rsidP="00E61FD1">
            <w:pPr>
              <w:spacing w:line="276" w:lineRule="auto"/>
              <w:ind w:left="113" w:right="113"/>
              <w:jc w:val="center"/>
              <w:rPr>
                <w:rFonts w:ascii="Times New Roman" w:hAnsi="Times New Roman" w:cs="Times New Roman"/>
                <w:b/>
              </w:rPr>
            </w:pPr>
            <w:r w:rsidRPr="00E61FD1">
              <w:rPr>
                <w:rFonts w:ascii="Times New Roman" w:hAnsi="Times New Roman" w:cs="Times New Roman"/>
                <w:b/>
              </w:rPr>
              <w:t>Nr. Standard</w:t>
            </w:r>
          </w:p>
        </w:tc>
        <w:tc>
          <w:tcPr>
            <w:tcW w:w="1842" w:type="dxa"/>
            <w:vMerge w:val="restart"/>
            <w:shd w:val="clear" w:color="auto" w:fill="BDD6EE" w:themeFill="accent1" w:themeFillTint="66"/>
          </w:tcPr>
          <w:p w:rsidR="00E82616" w:rsidRPr="00E61FD1" w:rsidRDefault="00E82616" w:rsidP="00602BDC">
            <w:pPr>
              <w:spacing w:line="276" w:lineRule="auto"/>
              <w:jc w:val="center"/>
              <w:rPr>
                <w:rFonts w:ascii="Times New Roman" w:hAnsi="Times New Roman" w:cs="Times New Roman"/>
                <w:b/>
              </w:rPr>
            </w:pPr>
          </w:p>
          <w:p w:rsidR="00AB4DA0" w:rsidRPr="00E61FD1" w:rsidRDefault="00AB4DA0" w:rsidP="00602BDC">
            <w:pPr>
              <w:spacing w:line="276" w:lineRule="auto"/>
              <w:jc w:val="center"/>
              <w:rPr>
                <w:rFonts w:ascii="Times New Roman" w:hAnsi="Times New Roman" w:cs="Times New Roman"/>
                <w:b/>
              </w:rPr>
            </w:pPr>
          </w:p>
          <w:p w:rsidR="00E82616" w:rsidRPr="00E61FD1" w:rsidRDefault="00435FB3" w:rsidP="00602BDC">
            <w:pPr>
              <w:spacing w:line="276" w:lineRule="auto"/>
              <w:jc w:val="center"/>
              <w:rPr>
                <w:rFonts w:ascii="Times New Roman" w:hAnsi="Times New Roman" w:cs="Times New Roman"/>
                <w:b/>
              </w:rPr>
            </w:pPr>
            <w:r>
              <w:rPr>
                <w:rFonts w:ascii="Times New Roman" w:hAnsi="Times New Roman" w:cs="Times New Roman"/>
                <w:b/>
              </w:rPr>
              <w:t>Standard</w:t>
            </w:r>
            <w:r w:rsidR="00E82616" w:rsidRPr="00E61FD1">
              <w:rPr>
                <w:rFonts w:ascii="Times New Roman" w:hAnsi="Times New Roman" w:cs="Times New Roman"/>
                <w:b/>
              </w:rPr>
              <w:t xml:space="preserve"> de control intern managerial</w:t>
            </w:r>
          </w:p>
        </w:tc>
        <w:tc>
          <w:tcPr>
            <w:tcW w:w="3686" w:type="dxa"/>
            <w:gridSpan w:val="6"/>
            <w:shd w:val="clear" w:color="auto" w:fill="BDD6EE" w:themeFill="accent1" w:themeFillTint="66"/>
          </w:tcPr>
          <w:p w:rsidR="00E82616" w:rsidRPr="00E61FD1" w:rsidRDefault="00E82616" w:rsidP="00602BDC">
            <w:pPr>
              <w:spacing w:line="276" w:lineRule="auto"/>
              <w:jc w:val="center"/>
              <w:rPr>
                <w:rFonts w:ascii="Times New Roman" w:hAnsi="Times New Roman" w:cs="Times New Roman"/>
                <w:b/>
              </w:rPr>
            </w:pPr>
            <w:r w:rsidRPr="00E61FD1">
              <w:rPr>
                <w:rFonts w:ascii="Times New Roman" w:hAnsi="Times New Roman" w:cs="Times New Roman"/>
                <w:b/>
              </w:rPr>
              <w:t>Anul 2015</w:t>
            </w:r>
          </w:p>
        </w:tc>
        <w:tc>
          <w:tcPr>
            <w:tcW w:w="3685" w:type="dxa"/>
            <w:gridSpan w:val="6"/>
            <w:shd w:val="clear" w:color="auto" w:fill="BDD6EE" w:themeFill="accent1" w:themeFillTint="66"/>
          </w:tcPr>
          <w:p w:rsidR="00E82616" w:rsidRPr="00E61FD1" w:rsidRDefault="00E82616" w:rsidP="00602BDC">
            <w:pPr>
              <w:spacing w:line="276" w:lineRule="auto"/>
              <w:jc w:val="center"/>
              <w:rPr>
                <w:rFonts w:ascii="Times New Roman" w:hAnsi="Times New Roman" w:cs="Times New Roman"/>
                <w:b/>
              </w:rPr>
            </w:pPr>
            <w:r w:rsidRPr="00E61FD1">
              <w:rPr>
                <w:rFonts w:ascii="Times New Roman" w:hAnsi="Times New Roman" w:cs="Times New Roman"/>
                <w:b/>
              </w:rPr>
              <w:t>Anul 2016</w:t>
            </w:r>
          </w:p>
        </w:tc>
      </w:tr>
      <w:tr w:rsidR="00E82616" w:rsidRPr="00E61FD1" w:rsidTr="004E65F4">
        <w:trPr>
          <w:tblHeader/>
        </w:trPr>
        <w:tc>
          <w:tcPr>
            <w:tcW w:w="568" w:type="dxa"/>
            <w:vMerge/>
            <w:shd w:val="clear" w:color="auto" w:fill="BDD6EE" w:themeFill="accent1" w:themeFillTint="66"/>
            <w:textDirection w:val="btLr"/>
          </w:tcPr>
          <w:p w:rsidR="00E82616" w:rsidRPr="00E61FD1" w:rsidRDefault="00E82616" w:rsidP="004379B5">
            <w:pPr>
              <w:spacing w:line="276" w:lineRule="auto"/>
              <w:ind w:left="113" w:right="113"/>
              <w:jc w:val="center"/>
              <w:rPr>
                <w:rFonts w:ascii="Times New Roman" w:hAnsi="Times New Roman" w:cs="Times New Roman"/>
                <w:b/>
              </w:rPr>
            </w:pPr>
          </w:p>
        </w:tc>
        <w:tc>
          <w:tcPr>
            <w:tcW w:w="1842" w:type="dxa"/>
            <w:vMerge/>
            <w:shd w:val="clear" w:color="auto" w:fill="BDD6EE" w:themeFill="accent1" w:themeFillTint="66"/>
          </w:tcPr>
          <w:p w:rsidR="00E82616" w:rsidRPr="00E61FD1" w:rsidRDefault="00E82616" w:rsidP="00602BDC">
            <w:pPr>
              <w:spacing w:line="276" w:lineRule="auto"/>
              <w:jc w:val="center"/>
              <w:rPr>
                <w:rFonts w:ascii="Times New Roman" w:hAnsi="Times New Roman" w:cs="Times New Roman"/>
                <w:b/>
              </w:rPr>
            </w:pPr>
          </w:p>
        </w:tc>
        <w:tc>
          <w:tcPr>
            <w:tcW w:w="1559" w:type="dxa"/>
            <w:gridSpan w:val="3"/>
            <w:shd w:val="clear" w:color="auto" w:fill="BDD6EE" w:themeFill="accent1" w:themeFillTint="66"/>
            <w:vAlign w:val="center"/>
          </w:tcPr>
          <w:p w:rsidR="00E82616" w:rsidRPr="00E61FD1" w:rsidRDefault="00E82616" w:rsidP="004E65F4">
            <w:pPr>
              <w:spacing w:line="276" w:lineRule="auto"/>
              <w:jc w:val="center"/>
              <w:rPr>
                <w:rFonts w:ascii="Times New Roman" w:hAnsi="Times New Roman" w:cs="Times New Roman"/>
                <w:b/>
              </w:rPr>
            </w:pPr>
            <w:r w:rsidRPr="00E61FD1">
              <w:rPr>
                <w:rFonts w:ascii="Times New Roman" w:hAnsi="Times New Roman" w:cs="Times New Roman"/>
                <w:b/>
              </w:rPr>
              <w:t>Nr. de ordonatori principali de credite – aparat propriu</w:t>
            </w:r>
          </w:p>
        </w:tc>
        <w:tc>
          <w:tcPr>
            <w:tcW w:w="2127" w:type="dxa"/>
            <w:gridSpan w:val="3"/>
            <w:shd w:val="clear" w:color="auto" w:fill="BDD6EE" w:themeFill="accent1" w:themeFillTint="66"/>
            <w:vAlign w:val="center"/>
          </w:tcPr>
          <w:p w:rsidR="00E82616" w:rsidRPr="00E61FD1" w:rsidRDefault="00E82616" w:rsidP="004E65F4">
            <w:pPr>
              <w:spacing w:line="276" w:lineRule="auto"/>
              <w:jc w:val="center"/>
              <w:rPr>
                <w:rFonts w:ascii="Times New Roman" w:hAnsi="Times New Roman" w:cs="Times New Roman"/>
                <w:b/>
              </w:rPr>
            </w:pPr>
            <w:r w:rsidRPr="00E61FD1">
              <w:rPr>
                <w:rFonts w:ascii="Times New Roman" w:hAnsi="Times New Roman" w:cs="Times New Roman"/>
                <w:b/>
              </w:rPr>
              <w:t>Gradul de implementare (%)</w:t>
            </w:r>
          </w:p>
        </w:tc>
        <w:tc>
          <w:tcPr>
            <w:tcW w:w="1559" w:type="dxa"/>
            <w:gridSpan w:val="3"/>
            <w:shd w:val="clear" w:color="auto" w:fill="BDD6EE" w:themeFill="accent1" w:themeFillTint="66"/>
            <w:vAlign w:val="center"/>
          </w:tcPr>
          <w:p w:rsidR="00E82616" w:rsidRPr="00E61FD1" w:rsidRDefault="00E82616" w:rsidP="004E65F4">
            <w:pPr>
              <w:spacing w:line="276" w:lineRule="auto"/>
              <w:jc w:val="center"/>
              <w:rPr>
                <w:rFonts w:ascii="Times New Roman" w:hAnsi="Times New Roman" w:cs="Times New Roman"/>
                <w:b/>
              </w:rPr>
            </w:pPr>
            <w:r w:rsidRPr="00E61FD1">
              <w:rPr>
                <w:rFonts w:ascii="Times New Roman" w:hAnsi="Times New Roman" w:cs="Times New Roman"/>
                <w:b/>
              </w:rPr>
              <w:t>Nr. de ordonatori principali de credite – aparat propriu</w:t>
            </w:r>
          </w:p>
        </w:tc>
        <w:tc>
          <w:tcPr>
            <w:tcW w:w="2126" w:type="dxa"/>
            <w:gridSpan w:val="3"/>
            <w:shd w:val="clear" w:color="auto" w:fill="BDD6EE" w:themeFill="accent1" w:themeFillTint="66"/>
            <w:vAlign w:val="center"/>
          </w:tcPr>
          <w:p w:rsidR="00E82616" w:rsidRPr="00E61FD1" w:rsidRDefault="00E82616" w:rsidP="004E65F4">
            <w:pPr>
              <w:spacing w:line="276" w:lineRule="auto"/>
              <w:jc w:val="center"/>
              <w:rPr>
                <w:rFonts w:ascii="Times New Roman" w:hAnsi="Times New Roman" w:cs="Times New Roman"/>
                <w:b/>
              </w:rPr>
            </w:pPr>
            <w:r w:rsidRPr="00E61FD1">
              <w:rPr>
                <w:rFonts w:ascii="Times New Roman" w:hAnsi="Times New Roman" w:cs="Times New Roman"/>
                <w:b/>
              </w:rPr>
              <w:t>Gradul de implementare (%)</w:t>
            </w:r>
          </w:p>
        </w:tc>
      </w:tr>
      <w:tr w:rsidR="001A42F3" w:rsidRPr="00E61FD1" w:rsidTr="004E65F4">
        <w:trPr>
          <w:trHeight w:val="326"/>
          <w:tblHeader/>
        </w:trPr>
        <w:tc>
          <w:tcPr>
            <w:tcW w:w="568" w:type="dxa"/>
            <w:vMerge/>
            <w:shd w:val="clear" w:color="auto" w:fill="BDD6EE" w:themeFill="accent1" w:themeFillTint="66"/>
          </w:tcPr>
          <w:p w:rsidR="00E82616" w:rsidRPr="00E61FD1" w:rsidRDefault="00E82616" w:rsidP="00E82616">
            <w:pPr>
              <w:spacing w:line="276" w:lineRule="auto"/>
              <w:jc w:val="center"/>
              <w:rPr>
                <w:rFonts w:ascii="Times New Roman" w:hAnsi="Times New Roman" w:cs="Times New Roman"/>
                <w:b/>
              </w:rPr>
            </w:pPr>
          </w:p>
        </w:tc>
        <w:tc>
          <w:tcPr>
            <w:tcW w:w="1842" w:type="dxa"/>
            <w:vMerge/>
            <w:shd w:val="clear" w:color="auto" w:fill="BDD6EE" w:themeFill="accent1" w:themeFillTint="66"/>
          </w:tcPr>
          <w:p w:rsidR="00E82616" w:rsidRPr="00E61FD1" w:rsidRDefault="00E82616" w:rsidP="00E82616">
            <w:pPr>
              <w:spacing w:line="276" w:lineRule="auto"/>
              <w:jc w:val="center"/>
              <w:rPr>
                <w:rFonts w:ascii="Times New Roman" w:hAnsi="Times New Roman" w:cs="Times New Roman"/>
                <w:b/>
              </w:rPr>
            </w:pPr>
          </w:p>
        </w:tc>
        <w:tc>
          <w:tcPr>
            <w:tcW w:w="425" w:type="dxa"/>
            <w:shd w:val="clear" w:color="auto" w:fill="BDD6EE" w:themeFill="accent1" w:themeFillTint="66"/>
            <w:vAlign w:val="center"/>
          </w:tcPr>
          <w:p w:rsidR="00E82616" w:rsidRPr="00E61FD1" w:rsidRDefault="00E82616" w:rsidP="004E65F4">
            <w:pPr>
              <w:spacing w:line="276" w:lineRule="auto"/>
              <w:jc w:val="center"/>
              <w:rPr>
                <w:rFonts w:ascii="Times New Roman" w:hAnsi="Times New Roman" w:cs="Times New Roman"/>
                <w:b/>
              </w:rPr>
            </w:pPr>
            <w:r w:rsidRPr="00E61FD1">
              <w:rPr>
                <w:rFonts w:ascii="Times New Roman" w:hAnsi="Times New Roman" w:cs="Times New Roman"/>
                <w:b/>
              </w:rPr>
              <w:t>I</w:t>
            </w:r>
          </w:p>
        </w:tc>
        <w:tc>
          <w:tcPr>
            <w:tcW w:w="567" w:type="dxa"/>
            <w:shd w:val="clear" w:color="auto" w:fill="BDD6EE" w:themeFill="accent1" w:themeFillTint="66"/>
            <w:vAlign w:val="center"/>
          </w:tcPr>
          <w:p w:rsidR="00E82616" w:rsidRPr="00E61FD1" w:rsidRDefault="00E82616" w:rsidP="004E65F4">
            <w:pPr>
              <w:spacing w:line="276" w:lineRule="auto"/>
              <w:jc w:val="center"/>
              <w:rPr>
                <w:rFonts w:ascii="Times New Roman" w:hAnsi="Times New Roman" w:cs="Times New Roman"/>
                <w:b/>
              </w:rPr>
            </w:pPr>
            <w:r w:rsidRPr="00E61FD1">
              <w:rPr>
                <w:rFonts w:ascii="Times New Roman" w:hAnsi="Times New Roman" w:cs="Times New Roman"/>
                <w:b/>
              </w:rPr>
              <w:t>PI</w:t>
            </w:r>
          </w:p>
        </w:tc>
        <w:tc>
          <w:tcPr>
            <w:tcW w:w="567" w:type="dxa"/>
            <w:shd w:val="clear" w:color="auto" w:fill="BDD6EE" w:themeFill="accent1" w:themeFillTint="66"/>
            <w:vAlign w:val="center"/>
          </w:tcPr>
          <w:p w:rsidR="00E82616" w:rsidRPr="00E61FD1" w:rsidRDefault="00E82616" w:rsidP="004E65F4">
            <w:pPr>
              <w:spacing w:line="276" w:lineRule="auto"/>
              <w:jc w:val="center"/>
              <w:rPr>
                <w:rFonts w:ascii="Times New Roman" w:hAnsi="Times New Roman" w:cs="Times New Roman"/>
                <w:b/>
              </w:rPr>
            </w:pPr>
            <w:r w:rsidRPr="00E61FD1">
              <w:rPr>
                <w:rFonts w:ascii="Times New Roman" w:hAnsi="Times New Roman" w:cs="Times New Roman"/>
                <w:b/>
              </w:rPr>
              <w:t>NI</w:t>
            </w:r>
          </w:p>
        </w:tc>
        <w:tc>
          <w:tcPr>
            <w:tcW w:w="709" w:type="dxa"/>
            <w:shd w:val="clear" w:color="auto" w:fill="BDD6EE" w:themeFill="accent1" w:themeFillTint="66"/>
            <w:vAlign w:val="center"/>
          </w:tcPr>
          <w:p w:rsidR="00E82616" w:rsidRPr="00E61FD1" w:rsidRDefault="00E82616" w:rsidP="004E65F4">
            <w:pPr>
              <w:spacing w:line="276" w:lineRule="auto"/>
              <w:jc w:val="center"/>
              <w:rPr>
                <w:rFonts w:ascii="Times New Roman" w:hAnsi="Times New Roman" w:cs="Times New Roman"/>
                <w:b/>
              </w:rPr>
            </w:pPr>
            <w:r w:rsidRPr="00E61FD1">
              <w:rPr>
                <w:rFonts w:ascii="Times New Roman" w:hAnsi="Times New Roman" w:cs="Times New Roman"/>
                <w:b/>
              </w:rPr>
              <w:t>I</w:t>
            </w:r>
          </w:p>
        </w:tc>
        <w:tc>
          <w:tcPr>
            <w:tcW w:w="709" w:type="dxa"/>
            <w:shd w:val="clear" w:color="auto" w:fill="BDD6EE" w:themeFill="accent1" w:themeFillTint="66"/>
            <w:vAlign w:val="center"/>
          </w:tcPr>
          <w:p w:rsidR="00E82616" w:rsidRPr="00E61FD1" w:rsidRDefault="00E82616" w:rsidP="004E65F4">
            <w:pPr>
              <w:spacing w:line="276" w:lineRule="auto"/>
              <w:jc w:val="center"/>
              <w:rPr>
                <w:rFonts w:ascii="Times New Roman" w:hAnsi="Times New Roman" w:cs="Times New Roman"/>
                <w:b/>
              </w:rPr>
            </w:pPr>
            <w:r w:rsidRPr="00E61FD1">
              <w:rPr>
                <w:rFonts w:ascii="Times New Roman" w:hAnsi="Times New Roman" w:cs="Times New Roman"/>
                <w:b/>
              </w:rPr>
              <w:t>PI</w:t>
            </w:r>
          </w:p>
        </w:tc>
        <w:tc>
          <w:tcPr>
            <w:tcW w:w="709" w:type="dxa"/>
            <w:shd w:val="clear" w:color="auto" w:fill="BDD6EE" w:themeFill="accent1" w:themeFillTint="66"/>
            <w:vAlign w:val="center"/>
          </w:tcPr>
          <w:p w:rsidR="00E82616" w:rsidRPr="00E61FD1" w:rsidRDefault="00E82616" w:rsidP="004E65F4">
            <w:pPr>
              <w:spacing w:line="276" w:lineRule="auto"/>
              <w:jc w:val="center"/>
              <w:rPr>
                <w:rFonts w:ascii="Times New Roman" w:hAnsi="Times New Roman" w:cs="Times New Roman"/>
                <w:b/>
              </w:rPr>
            </w:pPr>
            <w:r w:rsidRPr="00E61FD1">
              <w:rPr>
                <w:rFonts w:ascii="Times New Roman" w:hAnsi="Times New Roman" w:cs="Times New Roman"/>
                <w:b/>
              </w:rPr>
              <w:t>NI</w:t>
            </w:r>
          </w:p>
        </w:tc>
        <w:tc>
          <w:tcPr>
            <w:tcW w:w="425" w:type="dxa"/>
            <w:shd w:val="clear" w:color="auto" w:fill="BDD6EE" w:themeFill="accent1" w:themeFillTint="66"/>
            <w:vAlign w:val="center"/>
          </w:tcPr>
          <w:p w:rsidR="00E82616" w:rsidRPr="00E61FD1" w:rsidRDefault="00E82616" w:rsidP="004E65F4">
            <w:pPr>
              <w:spacing w:line="276" w:lineRule="auto"/>
              <w:jc w:val="center"/>
              <w:rPr>
                <w:rFonts w:ascii="Times New Roman" w:hAnsi="Times New Roman" w:cs="Times New Roman"/>
                <w:b/>
              </w:rPr>
            </w:pPr>
            <w:r w:rsidRPr="00E61FD1">
              <w:rPr>
                <w:rFonts w:ascii="Times New Roman" w:hAnsi="Times New Roman" w:cs="Times New Roman"/>
                <w:b/>
              </w:rPr>
              <w:t>I</w:t>
            </w:r>
          </w:p>
        </w:tc>
        <w:tc>
          <w:tcPr>
            <w:tcW w:w="567" w:type="dxa"/>
            <w:shd w:val="clear" w:color="auto" w:fill="BDD6EE" w:themeFill="accent1" w:themeFillTint="66"/>
            <w:vAlign w:val="center"/>
          </w:tcPr>
          <w:p w:rsidR="00E82616" w:rsidRPr="00E61FD1" w:rsidRDefault="00E82616" w:rsidP="004E65F4">
            <w:pPr>
              <w:spacing w:line="276" w:lineRule="auto"/>
              <w:jc w:val="center"/>
              <w:rPr>
                <w:rFonts w:ascii="Times New Roman" w:hAnsi="Times New Roman" w:cs="Times New Roman"/>
                <w:b/>
              </w:rPr>
            </w:pPr>
            <w:r w:rsidRPr="00E61FD1">
              <w:rPr>
                <w:rFonts w:ascii="Times New Roman" w:hAnsi="Times New Roman" w:cs="Times New Roman"/>
                <w:b/>
              </w:rPr>
              <w:t>PI</w:t>
            </w:r>
          </w:p>
        </w:tc>
        <w:tc>
          <w:tcPr>
            <w:tcW w:w="567" w:type="dxa"/>
            <w:shd w:val="clear" w:color="auto" w:fill="BDD6EE" w:themeFill="accent1" w:themeFillTint="66"/>
            <w:vAlign w:val="center"/>
          </w:tcPr>
          <w:p w:rsidR="00E82616" w:rsidRPr="00E61FD1" w:rsidRDefault="00E82616" w:rsidP="004E65F4">
            <w:pPr>
              <w:spacing w:line="276" w:lineRule="auto"/>
              <w:jc w:val="center"/>
              <w:rPr>
                <w:rFonts w:ascii="Times New Roman" w:hAnsi="Times New Roman" w:cs="Times New Roman"/>
                <w:b/>
              </w:rPr>
            </w:pPr>
            <w:r w:rsidRPr="00E61FD1">
              <w:rPr>
                <w:rFonts w:ascii="Times New Roman" w:hAnsi="Times New Roman" w:cs="Times New Roman"/>
                <w:b/>
              </w:rPr>
              <w:t>NI</w:t>
            </w:r>
          </w:p>
        </w:tc>
        <w:tc>
          <w:tcPr>
            <w:tcW w:w="708" w:type="dxa"/>
            <w:shd w:val="clear" w:color="auto" w:fill="BDD6EE" w:themeFill="accent1" w:themeFillTint="66"/>
            <w:vAlign w:val="center"/>
          </w:tcPr>
          <w:p w:rsidR="00E82616" w:rsidRPr="00E61FD1" w:rsidRDefault="00E82616" w:rsidP="004E65F4">
            <w:pPr>
              <w:spacing w:line="276" w:lineRule="auto"/>
              <w:jc w:val="center"/>
              <w:rPr>
                <w:rFonts w:ascii="Times New Roman" w:hAnsi="Times New Roman" w:cs="Times New Roman"/>
                <w:b/>
              </w:rPr>
            </w:pPr>
            <w:r w:rsidRPr="00E61FD1">
              <w:rPr>
                <w:rFonts w:ascii="Times New Roman" w:hAnsi="Times New Roman" w:cs="Times New Roman"/>
                <w:b/>
              </w:rPr>
              <w:t>I</w:t>
            </w:r>
          </w:p>
        </w:tc>
        <w:tc>
          <w:tcPr>
            <w:tcW w:w="709" w:type="dxa"/>
            <w:shd w:val="clear" w:color="auto" w:fill="BDD6EE" w:themeFill="accent1" w:themeFillTint="66"/>
            <w:vAlign w:val="center"/>
          </w:tcPr>
          <w:p w:rsidR="00E82616" w:rsidRPr="00E61FD1" w:rsidRDefault="00E82616" w:rsidP="004E65F4">
            <w:pPr>
              <w:spacing w:line="276" w:lineRule="auto"/>
              <w:jc w:val="center"/>
              <w:rPr>
                <w:rFonts w:ascii="Times New Roman" w:hAnsi="Times New Roman" w:cs="Times New Roman"/>
                <w:b/>
              </w:rPr>
            </w:pPr>
            <w:r w:rsidRPr="00E61FD1">
              <w:rPr>
                <w:rFonts w:ascii="Times New Roman" w:hAnsi="Times New Roman" w:cs="Times New Roman"/>
                <w:b/>
              </w:rPr>
              <w:t>PI</w:t>
            </w:r>
          </w:p>
        </w:tc>
        <w:tc>
          <w:tcPr>
            <w:tcW w:w="709" w:type="dxa"/>
            <w:shd w:val="clear" w:color="auto" w:fill="BDD6EE" w:themeFill="accent1" w:themeFillTint="66"/>
            <w:vAlign w:val="center"/>
          </w:tcPr>
          <w:p w:rsidR="00E82616" w:rsidRPr="00E61FD1" w:rsidRDefault="00E82616" w:rsidP="004E65F4">
            <w:pPr>
              <w:spacing w:line="276" w:lineRule="auto"/>
              <w:jc w:val="center"/>
              <w:rPr>
                <w:rFonts w:ascii="Times New Roman" w:hAnsi="Times New Roman" w:cs="Times New Roman"/>
                <w:b/>
              </w:rPr>
            </w:pPr>
            <w:r w:rsidRPr="00E61FD1">
              <w:rPr>
                <w:rFonts w:ascii="Times New Roman" w:hAnsi="Times New Roman" w:cs="Times New Roman"/>
                <w:b/>
              </w:rPr>
              <w:t>NI</w:t>
            </w:r>
          </w:p>
        </w:tc>
      </w:tr>
      <w:tr w:rsidR="001A42F3" w:rsidRPr="00E61FD1" w:rsidTr="004E65F4">
        <w:tc>
          <w:tcPr>
            <w:tcW w:w="568" w:type="dxa"/>
            <w:shd w:val="clear" w:color="auto" w:fill="FFF2CC" w:themeFill="accent4" w:themeFillTint="33"/>
            <w:vAlign w:val="center"/>
          </w:tcPr>
          <w:p w:rsidR="00E82616" w:rsidRPr="00E61FD1" w:rsidRDefault="00E82616" w:rsidP="00E82616">
            <w:pPr>
              <w:spacing w:line="276" w:lineRule="auto"/>
              <w:jc w:val="center"/>
              <w:rPr>
                <w:rFonts w:ascii="Times New Roman" w:hAnsi="Times New Roman" w:cs="Times New Roman"/>
              </w:rPr>
            </w:pPr>
            <w:r w:rsidRPr="00E61FD1">
              <w:rPr>
                <w:rFonts w:ascii="Times New Roman" w:hAnsi="Times New Roman" w:cs="Times New Roman"/>
                <w:lang w:val="en-US"/>
              </w:rPr>
              <w:t>1</w:t>
            </w:r>
          </w:p>
        </w:tc>
        <w:tc>
          <w:tcPr>
            <w:tcW w:w="1842" w:type="dxa"/>
            <w:shd w:val="clear" w:color="auto" w:fill="FFF2CC" w:themeFill="accent4" w:themeFillTint="33"/>
            <w:vAlign w:val="center"/>
          </w:tcPr>
          <w:p w:rsidR="00E82616" w:rsidRPr="001A42F3" w:rsidRDefault="00E82616" w:rsidP="004E65F4">
            <w:pPr>
              <w:spacing w:line="276" w:lineRule="auto"/>
              <w:rPr>
                <w:rFonts w:ascii="Times New Roman" w:hAnsi="Times New Roman" w:cs="Times New Roman"/>
                <w:sz w:val="20"/>
                <w:szCs w:val="20"/>
              </w:rPr>
            </w:pPr>
            <w:r w:rsidRPr="001A42F3">
              <w:rPr>
                <w:rFonts w:ascii="Times New Roman" w:hAnsi="Times New Roman" w:cs="Times New Roman"/>
                <w:sz w:val="20"/>
                <w:szCs w:val="20"/>
                <w:lang w:val="en-US"/>
              </w:rPr>
              <w:t>Etica şi integritatea</w:t>
            </w:r>
            <w:r w:rsidR="001D73EA" w:rsidRPr="001A42F3">
              <w:rPr>
                <w:rFonts w:ascii="Times New Roman" w:hAnsi="Times New Roman" w:cs="Times New Roman"/>
                <w:sz w:val="20"/>
                <w:szCs w:val="20"/>
                <w:lang w:val="en-US"/>
              </w:rPr>
              <w:t xml:space="preserve"> </w:t>
            </w:r>
            <w:r w:rsidR="001D73EA" w:rsidRPr="001A42F3">
              <w:rPr>
                <w:rFonts w:ascii="Times New Roman" w:hAnsi="Times New Roman" w:cs="Times New Roman"/>
                <w:sz w:val="20"/>
                <w:szCs w:val="20"/>
              </w:rPr>
              <w:t>S1</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47</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5</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90,38</w:t>
            </w:r>
          </w:p>
        </w:tc>
        <w:tc>
          <w:tcPr>
            <w:tcW w:w="709"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9,62</w:t>
            </w:r>
          </w:p>
        </w:tc>
        <w:tc>
          <w:tcPr>
            <w:tcW w:w="709"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0,00</w:t>
            </w:r>
          </w:p>
        </w:tc>
        <w:tc>
          <w:tcPr>
            <w:tcW w:w="425"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47</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3</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0</w:t>
            </w:r>
          </w:p>
        </w:tc>
        <w:tc>
          <w:tcPr>
            <w:tcW w:w="708"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94,00</w:t>
            </w:r>
          </w:p>
        </w:tc>
        <w:tc>
          <w:tcPr>
            <w:tcW w:w="709"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6,00</w:t>
            </w:r>
          </w:p>
        </w:tc>
        <w:tc>
          <w:tcPr>
            <w:tcW w:w="709"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0,00</w:t>
            </w:r>
          </w:p>
        </w:tc>
      </w:tr>
      <w:tr w:rsidR="001A42F3" w:rsidRPr="00E61FD1" w:rsidTr="004E65F4">
        <w:tc>
          <w:tcPr>
            <w:tcW w:w="568" w:type="dxa"/>
            <w:shd w:val="clear" w:color="auto" w:fill="FFF2CC" w:themeFill="accent4" w:themeFillTint="33"/>
            <w:vAlign w:val="center"/>
          </w:tcPr>
          <w:p w:rsidR="00E82616" w:rsidRPr="00E61FD1" w:rsidRDefault="00E82616" w:rsidP="00E82616">
            <w:pPr>
              <w:spacing w:line="276" w:lineRule="auto"/>
              <w:jc w:val="center"/>
              <w:rPr>
                <w:rFonts w:ascii="Times New Roman" w:hAnsi="Times New Roman" w:cs="Times New Roman"/>
              </w:rPr>
            </w:pPr>
            <w:r w:rsidRPr="00E61FD1">
              <w:rPr>
                <w:rFonts w:ascii="Times New Roman" w:hAnsi="Times New Roman" w:cs="Times New Roman"/>
                <w:lang w:val="en-US"/>
              </w:rPr>
              <w:t>2</w:t>
            </w:r>
          </w:p>
        </w:tc>
        <w:tc>
          <w:tcPr>
            <w:tcW w:w="1842" w:type="dxa"/>
            <w:shd w:val="clear" w:color="auto" w:fill="FFF2CC" w:themeFill="accent4" w:themeFillTint="33"/>
            <w:vAlign w:val="center"/>
          </w:tcPr>
          <w:p w:rsidR="00E82616" w:rsidRPr="001A42F3" w:rsidRDefault="00E82616" w:rsidP="004E65F4">
            <w:pPr>
              <w:spacing w:line="276" w:lineRule="auto"/>
              <w:rPr>
                <w:rFonts w:ascii="Times New Roman" w:hAnsi="Times New Roman" w:cs="Times New Roman"/>
                <w:sz w:val="20"/>
                <w:szCs w:val="20"/>
              </w:rPr>
            </w:pPr>
            <w:r w:rsidRPr="001A42F3">
              <w:rPr>
                <w:rFonts w:ascii="Times New Roman" w:hAnsi="Times New Roman" w:cs="Times New Roman"/>
                <w:sz w:val="20"/>
                <w:szCs w:val="20"/>
                <w:lang w:val="en-US"/>
              </w:rPr>
              <w:t>Atribuţii, funcţii, sarcini</w:t>
            </w:r>
            <w:r w:rsidR="001D73EA" w:rsidRPr="001A42F3">
              <w:rPr>
                <w:rFonts w:ascii="Times New Roman" w:hAnsi="Times New Roman" w:cs="Times New Roman"/>
                <w:sz w:val="20"/>
                <w:szCs w:val="20"/>
              </w:rPr>
              <w:t xml:space="preserve"> S2</w:t>
            </w:r>
          </w:p>
        </w:tc>
        <w:tc>
          <w:tcPr>
            <w:tcW w:w="425"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30</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18</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4</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57,69</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34,62</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7,69</w:t>
            </w:r>
          </w:p>
        </w:tc>
        <w:tc>
          <w:tcPr>
            <w:tcW w:w="425"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26</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19</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5</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52,00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38,00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10,00</w:t>
            </w:r>
          </w:p>
        </w:tc>
      </w:tr>
      <w:tr w:rsidR="001A42F3" w:rsidRPr="00E61FD1" w:rsidTr="004E65F4">
        <w:tc>
          <w:tcPr>
            <w:tcW w:w="568" w:type="dxa"/>
            <w:shd w:val="clear" w:color="auto" w:fill="FFF2CC" w:themeFill="accent4" w:themeFillTint="33"/>
            <w:vAlign w:val="center"/>
          </w:tcPr>
          <w:p w:rsidR="00E82616" w:rsidRPr="00E61FD1" w:rsidRDefault="00E82616" w:rsidP="00E82616">
            <w:pPr>
              <w:spacing w:line="276" w:lineRule="auto"/>
              <w:jc w:val="center"/>
              <w:rPr>
                <w:rFonts w:ascii="Times New Roman" w:hAnsi="Times New Roman" w:cs="Times New Roman"/>
              </w:rPr>
            </w:pPr>
            <w:r w:rsidRPr="00E61FD1">
              <w:rPr>
                <w:rFonts w:ascii="Times New Roman" w:hAnsi="Times New Roman" w:cs="Times New Roman"/>
                <w:lang w:val="en-US"/>
              </w:rPr>
              <w:t>3</w:t>
            </w:r>
          </w:p>
        </w:tc>
        <w:tc>
          <w:tcPr>
            <w:tcW w:w="1842" w:type="dxa"/>
            <w:shd w:val="clear" w:color="auto" w:fill="FFF2CC" w:themeFill="accent4" w:themeFillTint="33"/>
            <w:vAlign w:val="center"/>
          </w:tcPr>
          <w:p w:rsidR="00E82616" w:rsidRPr="001A42F3" w:rsidRDefault="00E82616" w:rsidP="004E65F4">
            <w:pPr>
              <w:spacing w:line="276" w:lineRule="auto"/>
              <w:rPr>
                <w:rFonts w:ascii="Times New Roman" w:hAnsi="Times New Roman" w:cs="Times New Roman"/>
                <w:sz w:val="20"/>
                <w:szCs w:val="20"/>
              </w:rPr>
            </w:pPr>
            <w:r w:rsidRPr="001A42F3">
              <w:rPr>
                <w:rFonts w:ascii="Times New Roman" w:hAnsi="Times New Roman" w:cs="Times New Roman"/>
                <w:sz w:val="20"/>
                <w:szCs w:val="20"/>
                <w:lang w:val="en-US"/>
              </w:rPr>
              <w:t>Competenţa, performanţa</w:t>
            </w:r>
            <w:r w:rsidR="001D73EA" w:rsidRPr="001A42F3">
              <w:rPr>
                <w:rFonts w:ascii="Times New Roman" w:hAnsi="Times New Roman" w:cs="Times New Roman"/>
                <w:sz w:val="20"/>
                <w:szCs w:val="20"/>
                <w:lang w:val="en-US"/>
              </w:rPr>
              <w:t xml:space="preserve"> S3</w:t>
            </w:r>
          </w:p>
        </w:tc>
        <w:tc>
          <w:tcPr>
            <w:tcW w:w="425"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46</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5</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88,46</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9,62</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1,92</w:t>
            </w:r>
          </w:p>
        </w:tc>
        <w:tc>
          <w:tcPr>
            <w:tcW w:w="425"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41</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7</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2</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82,00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14,00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4,00</w:t>
            </w:r>
          </w:p>
        </w:tc>
      </w:tr>
      <w:tr w:rsidR="001A42F3" w:rsidRPr="00E61FD1" w:rsidTr="004E65F4">
        <w:tc>
          <w:tcPr>
            <w:tcW w:w="568" w:type="dxa"/>
            <w:shd w:val="clear" w:color="auto" w:fill="FFF2CC" w:themeFill="accent4" w:themeFillTint="33"/>
            <w:vAlign w:val="center"/>
          </w:tcPr>
          <w:p w:rsidR="00E82616" w:rsidRPr="00E61FD1" w:rsidRDefault="00E82616" w:rsidP="00E82616">
            <w:pPr>
              <w:spacing w:line="276" w:lineRule="auto"/>
              <w:jc w:val="center"/>
              <w:rPr>
                <w:rFonts w:ascii="Times New Roman" w:hAnsi="Times New Roman" w:cs="Times New Roman"/>
              </w:rPr>
            </w:pPr>
            <w:r w:rsidRPr="00E61FD1">
              <w:rPr>
                <w:rFonts w:ascii="Times New Roman" w:hAnsi="Times New Roman" w:cs="Times New Roman"/>
                <w:lang w:val="en-US"/>
              </w:rPr>
              <w:t>4</w:t>
            </w:r>
          </w:p>
        </w:tc>
        <w:tc>
          <w:tcPr>
            <w:tcW w:w="1842" w:type="dxa"/>
            <w:shd w:val="clear" w:color="auto" w:fill="FFF2CC" w:themeFill="accent4" w:themeFillTint="33"/>
            <w:vAlign w:val="center"/>
          </w:tcPr>
          <w:p w:rsidR="00E82616" w:rsidRPr="001A42F3" w:rsidRDefault="00E82616" w:rsidP="004E65F4">
            <w:pPr>
              <w:spacing w:line="276" w:lineRule="auto"/>
              <w:rPr>
                <w:rFonts w:ascii="Times New Roman" w:hAnsi="Times New Roman" w:cs="Times New Roman"/>
                <w:sz w:val="20"/>
                <w:szCs w:val="20"/>
              </w:rPr>
            </w:pPr>
            <w:r w:rsidRPr="001A42F3">
              <w:rPr>
                <w:rFonts w:ascii="Times New Roman" w:hAnsi="Times New Roman" w:cs="Times New Roman"/>
                <w:sz w:val="20"/>
                <w:szCs w:val="20"/>
                <w:lang w:val="en-US"/>
              </w:rPr>
              <w:t>Structura organizatorică</w:t>
            </w:r>
            <w:r w:rsidR="001D73EA" w:rsidRPr="001A42F3">
              <w:rPr>
                <w:rFonts w:ascii="Times New Roman" w:hAnsi="Times New Roman" w:cs="Times New Roman"/>
                <w:sz w:val="20"/>
                <w:szCs w:val="20"/>
                <w:lang w:val="en-US"/>
              </w:rPr>
              <w:t xml:space="preserve"> S4</w:t>
            </w:r>
          </w:p>
        </w:tc>
        <w:tc>
          <w:tcPr>
            <w:tcW w:w="425"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48</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3</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92,31</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5,77</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1,92</w:t>
            </w:r>
          </w:p>
        </w:tc>
        <w:tc>
          <w:tcPr>
            <w:tcW w:w="425"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45</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5</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0</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AB4DA0"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90,00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AB4DA0"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10,00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AB4DA0"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0,00</w:t>
            </w:r>
          </w:p>
        </w:tc>
      </w:tr>
      <w:tr w:rsidR="001A42F3" w:rsidRPr="00E61FD1" w:rsidTr="004E65F4">
        <w:tc>
          <w:tcPr>
            <w:tcW w:w="568" w:type="dxa"/>
            <w:shd w:val="clear" w:color="auto" w:fill="FFF2CC" w:themeFill="accent4" w:themeFillTint="33"/>
            <w:vAlign w:val="center"/>
          </w:tcPr>
          <w:p w:rsidR="00E82616" w:rsidRPr="00E61FD1" w:rsidRDefault="00E82616" w:rsidP="00E82616">
            <w:pPr>
              <w:spacing w:line="276" w:lineRule="auto"/>
              <w:jc w:val="center"/>
              <w:rPr>
                <w:rFonts w:ascii="Times New Roman" w:hAnsi="Times New Roman" w:cs="Times New Roman"/>
              </w:rPr>
            </w:pPr>
            <w:r w:rsidRPr="00E61FD1">
              <w:rPr>
                <w:rFonts w:ascii="Times New Roman" w:hAnsi="Times New Roman" w:cs="Times New Roman"/>
              </w:rPr>
              <w:t>5</w:t>
            </w:r>
          </w:p>
        </w:tc>
        <w:tc>
          <w:tcPr>
            <w:tcW w:w="1842" w:type="dxa"/>
            <w:shd w:val="clear" w:color="auto" w:fill="FFF2CC" w:themeFill="accent4" w:themeFillTint="33"/>
            <w:vAlign w:val="center"/>
          </w:tcPr>
          <w:p w:rsidR="00E82616" w:rsidRPr="001A42F3" w:rsidRDefault="00E82616" w:rsidP="004E65F4">
            <w:pPr>
              <w:spacing w:line="276" w:lineRule="auto"/>
              <w:rPr>
                <w:rFonts w:ascii="Times New Roman" w:hAnsi="Times New Roman" w:cs="Times New Roman"/>
                <w:sz w:val="20"/>
                <w:szCs w:val="20"/>
              </w:rPr>
            </w:pPr>
            <w:r w:rsidRPr="001A42F3">
              <w:rPr>
                <w:rFonts w:ascii="Times New Roman" w:hAnsi="Times New Roman" w:cs="Times New Roman"/>
                <w:sz w:val="20"/>
                <w:szCs w:val="20"/>
                <w:lang w:val="en-US"/>
              </w:rPr>
              <w:t>Obiective</w:t>
            </w:r>
            <w:r w:rsidR="001D73EA" w:rsidRPr="001A42F3">
              <w:rPr>
                <w:rFonts w:ascii="Times New Roman" w:hAnsi="Times New Roman" w:cs="Times New Roman"/>
                <w:sz w:val="20"/>
                <w:szCs w:val="20"/>
                <w:lang w:val="en-US"/>
              </w:rPr>
              <w:t xml:space="preserve"> S5</w:t>
            </w:r>
          </w:p>
        </w:tc>
        <w:tc>
          <w:tcPr>
            <w:tcW w:w="425"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45</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6</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86,54</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11,54</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1,92</w:t>
            </w:r>
          </w:p>
        </w:tc>
        <w:tc>
          <w:tcPr>
            <w:tcW w:w="425"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AB4DA0"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40</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AB4DA0"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9</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AB4DA0"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1</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AB4DA0"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80,00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AB4DA0"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18,00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AB4DA0"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2,00</w:t>
            </w:r>
          </w:p>
        </w:tc>
      </w:tr>
      <w:tr w:rsidR="001A42F3" w:rsidRPr="00E61FD1" w:rsidTr="004E65F4">
        <w:tc>
          <w:tcPr>
            <w:tcW w:w="568" w:type="dxa"/>
            <w:shd w:val="clear" w:color="auto" w:fill="FFF2CC" w:themeFill="accent4" w:themeFillTint="33"/>
            <w:vAlign w:val="center"/>
          </w:tcPr>
          <w:p w:rsidR="00E82616" w:rsidRPr="00E61FD1" w:rsidRDefault="00E82616" w:rsidP="00E82616">
            <w:pPr>
              <w:spacing w:line="276" w:lineRule="auto"/>
              <w:jc w:val="center"/>
              <w:rPr>
                <w:rFonts w:ascii="Times New Roman" w:hAnsi="Times New Roman" w:cs="Times New Roman"/>
              </w:rPr>
            </w:pPr>
            <w:r w:rsidRPr="00E61FD1">
              <w:rPr>
                <w:rFonts w:ascii="Times New Roman" w:hAnsi="Times New Roman" w:cs="Times New Roman"/>
                <w:lang w:val="en-US"/>
              </w:rPr>
              <w:t>6</w:t>
            </w:r>
          </w:p>
        </w:tc>
        <w:tc>
          <w:tcPr>
            <w:tcW w:w="1842" w:type="dxa"/>
            <w:shd w:val="clear" w:color="auto" w:fill="FFF2CC" w:themeFill="accent4" w:themeFillTint="33"/>
            <w:vAlign w:val="center"/>
          </w:tcPr>
          <w:p w:rsidR="00E82616" w:rsidRPr="001A42F3" w:rsidRDefault="00E82616" w:rsidP="004E65F4">
            <w:pPr>
              <w:spacing w:line="276" w:lineRule="auto"/>
              <w:rPr>
                <w:rFonts w:ascii="Times New Roman" w:hAnsi="Times New Roman" w:cs="Times New Roman"/>
                <w:sz w:val="20"/>
                <w:szCs w:val="20"/>
                <w:lang w:val="en-US"/>
              </w:rPr>
            </w:pPr>
            <w:r w:rsidRPr="001A42F3">
              <w:rPr>
                <w:rFonts w:ascii="Times New Roman" w:hAnsi="Times New Roman" w:cs="Times New Roman"/>
                <w:sz w:val="20"/>
                <w:szCs w:val="20"/>
                <w:lang w:val="en-US"/>
              </w:rPr>
              <w:t>Planificarea</w:t>
            </w:r>
            <w:r w:rsidR="001D73EA" w:rsidRPr="001A42F3">
              <w:rPr>
                <w:rFonts w:ascii="Times New Roman" w:hAnsi="Times New Roman" w:cs="Times New Roman"/>
                <w:sz w:val="20"/>
                <w:szCs w:val="20"/>
                <w:lang w:val="en-US"/>
              </w:rPr>
              <w:t xml:space="preserve"> S6</w:t>
            </w:r>
          </w:p>
        </w:tc>
        <w:tc>
          <w:tcPr>
            <w:tcW w:w="425"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44</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8</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0</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84,62</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15,38</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0,00</w:t>
            </w:r>
          </w:p>
        </w:tc>
        <w:tc>
          <w:tcPr>
            <w:tcW w:w="425"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41</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9</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0</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82,00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18,00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0,00</w:t>
            </w:r>
          </w:p>
        </w:tc>
      </w:tr>
      <w:tr w:rsidR="001A42F3" w:rsidRPr="00E61FD1" w:rsidTr="004E65F4">
        <w:tc>
          <w:tcPr>
            <w:tcW w:w="568" w:type="dxa"/>
            <w:shd w:val="clear" w:color="auto" w:fill="FFF2CC" w:themeFill="accent4" w:themeFillTint="33"/>
            <w:vAlign w:val="center"/>
          </w:tcPr>
          <w:p w:rsidR="00E82616" w:rsidRPr="00E61FD1" w:rsidRDefault="00E82616" w:rsidP="00E82616">
            <w:pPr>
              <w:spacing w:line="276" w:lineRule="auto"/>
              <w:jc w:val="center"/>
              <w:rPr>
                <w:rFonts w:ascii="Times New Roman" w:hAnsi="Times New Roman" w:cs="Times New Roman"/>
              </w:rPr>
            </w:pPr>
            <w:r w:rsidRPr="00E61FD1">
              <w:rPr>
                <w:rFonts w:ascii="Times New Roman" w:hAnsi="Times New Roman" w:cs="Times New Roman"/>
                <w:lang w:val="en-US"/>
              </w:rPr>
              <w:t>7</w:t>
            </w:r>
          </w:p>
        </w:tc>
        <w:tc>
          <w:tcPr>
            <w:tcW w:w="1842" w:type="dxa"/>
            <w:shd w:val="clear" w:color="auto" w:fill="FFF2CC" w:themeFill="accent4" w:themeFillTint="33"/>
            <w:vAlign w:val="center"/>
          </w:tcPr>
          <w:p w:rsidR="00E82616" w:rsidRPr="001A42F3" w:rsidRDefault="00E82616" w:rsidP="004E65F4">
            <w:pPr>
              <w:spacing w:line="276" w:lineRule="auto"/>
              <w:rPr>
                <w:rFonts w:ascii="Times New Roman" w:hAnsi="Times New Roman" w:cs="Times New Roman"/>
                <w:sz w:val="20"/>
                <w:szCs w:val="20"/>
              </w:rPr>
            </w:pPr>
            <w:r w:rsidRPr="001A42F3">
              <w:rPr>
                <w:rFonts w:ascii="Times New Roman" w:hAnsi="Times New Roman" w:cs="Times New Roman"/>
                <w:sz w:val="20"/>
                <w:szCs w:val="20"/>
                <w:lang w:val="en-US"/>
              </w:rPr>
              <w:t>Monitorizarea performanţelor</w:t>
            </w:r>
            <w:r w:rsidR="001D73EA" w:rsidRPr="001A42F3">
              <w:rPr>
                <w:rFonts w:ascii="Times New Roman" w:hAnsi="Times New Roman" w:cs="Times New Roman"/>
                <w:sz w:val="20"/>
                <w:szCs w:val="20"/>
                <w:lang w:val="en-US"/>
              </w:rPr>
              <w:t xml:space="preserve"> S7</w:t>
            </w:r>
          </w:p>
        </w:tc>
        <w:tc>
          <w:tcPr>
            <w:tcW w:w="425"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39</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10</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3</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75,00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19,23</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5,77</w:t>
            </w:r>
          </w:p>
        </w:tc>
        <w:tc>
          <w:tcPr>
            <w:tcW w:w="425"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39</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10</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1</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78,00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20,00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2,00</w:t>
            </w:r>
          </w:p>
        </w:tc>
      </w:tr>
      <w:tr w:rsidR="001A42F3" w:rsidRPr="00E61FD1" w:rsidTr="004E65F4">
        <w:tc>
          <w:tcPr>
            <w:tcW w:w="568" w:type="dxa"/>
            <w:shd w:val="clear" w:color="auto" w:fill="FFF2CC" w:themeFill="accent4" w:themeFillTint="33"/>
            <w:vAlign w:val="center"/>
          </w:tcPr>
          <w:p w:rsidR="00E82616" w:rsidRPr="00E61FD1" w:rsidRDefault="00E82616" w:rsidP="00E82616">
            <w:pPr>
              <w:spacing w:line="276" w:lineRule="auto"/>
              <w:jc w:val="center"/>
              <w:rPr>
                <w:rFonts w:ascii="Times New Roman" w:hAnsi="Times New Roman" w:cs="Times New Roman"/>
              </w:rPr>
            </w:pPr>
            <w:r w:rsidRPr="00E61FD1">
              <w:rPr>
                <w:rFonts w:ascii="Times New Roman" w:hAnsi="Times New Roman" w:cs="Times New Roman"/>
                <w:lang w:val="en-US"/>
              </w:rPr>
              <w:t>8</w:t>
            </w:r>
          </w:p>
        </w:tc>
        <w:tc>
          <w:tcPr>
            <w:tcW w:w="1842" w:type="dxa"/>
            <w:shd w:val="clear" w:color="auto" w:fill="FFF2CC" w:themeFill="accent4" w:themeFillTint="33"/>
            <w:vAlign w:val="center"/>
          </w:tcPr>
          <w:p w:rsidR="00E82616" w:rsidRPr="001A42F3" w:rsidRDefault="00E82616" w:rsidP="00E61FD1">
            <w:pPr>
              <w:tabs>
                <w:tab w:val="left" w:pos="975"/>
              </w:tabs>
              <w:spacing w:line="276" w:lineRule="auto"/>
              <w:rPr>
                <w:rFonts w:ascii="Times New Roman" w:hAnsi="Times New Roman" w:cs="Times New Roman"/>
                <w:sz w:val="20"/>
                <w:szCs w:val="20"/>
                <w:lang w:val="en-US"/>
              </w:rPr>
            </w:pPr>
            <w:r w:rsidRPr="001A42F3">
              <w:rPr>
                <w:rFonts w:ascii="Times New Roman" w:hAnsi="Times New Roman" w:cs="Times New Roman"/>
                <w:sz w:val="20"/>
                <w:szCs w:val="20"/>
                <w:lang w:val="en-US"/>
              </w:rPr>
              <w:t>Managementul riscului</w:t>
            </w:r>
            <w:r w:rsidR="004E65F4">
              <w:rPr>
                <w:rFonts w:ascii="Times New Roman" w:hAnsi="Times New Roman" w:cs="Times New Roman"/>
                <w:sz w:val="20"/>
                <w:szCs w:val="20"/>
                <w:lang w:val="en-US"/>
              </w:rPr>
              <w:t xml:space="preserve"> </w:t>
            </w:r>
            <w:r w:rsidR="001D73EA" w:rsidRPr="001A42F3">
              <w:rPr>
                <w:rFonts w:ascii="Times New Roman" w:hAnsi="Times New Roman" w:cs="Times New Roman"/>
                <w:sz w:val="20"/>
                <w:szCs w:val="20"/>
                <w:lang w:val="en-US"/>
              </w:rPr>
              <w:t>S8</w:t>
            </w:r>
          </w:p>
        </w:tc>
        <w:tc>
          <w:tcPr>
            <w:tcW w:w="425"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36</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11</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5</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69,23</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21,15</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9,62</w:t>
            </w:r>
          </w:p>
        </w:tc>
        <w:tc>
          <w:tcPr>
            <w:tcW w:w="425"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35</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14</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1</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70,00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28,00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2,00</w:t>
            </w:r>
          </w:p>
        </w:tc>
      </w:tr>
      <w:tr w:rsidR="001A42F3" w:rsidRPr="00E61FD1" w:rsidTr="004E65F4">
        <w:tc>
          <w:tcPr>
            <w:tcW w:w="568" w:type="dxa"/>
            <w:shd w:val="clear" w:color="auto" w:fill="FFF2CC" w:themeFill="accent4" w:themeFillTint="33"/>
            <w:vAlign w:val="center"/>
          </w:tcPr>
          <w:p w:rsidR="00E82616" w:rsidRPr="00E61FD1" w:rsidRDefault="00E82616" w:rsidP="00E82616">
            <w:pPr>
              <w:spacing w:line="276" w:lineRule="auto"/>
              <w:jc w:val="center"/>
              <w:rPr>
                <w:rFonts w:ascii="Times New Roman" w:hAnsi="Times New Roman" w:cs="Times New Roman"/>
              </w:rPr>
            </w:pPr>
            <w:r w:rsidRPr="00E61FD1">
              <w:rPr>
                <w:rFonts w:ascii="Times New Roman" w:hAnsi="Times New Roman" w:cs="Times New Roman"/>
                <w:lang w:val="en-US"/>
              </w:rPr>
              <w:t>9</w:t>
            </w:r>
          </w:p>
        </w:tc>
        <w:tc>
          <w:tcPr>
            <w:tcW w:w="1842" w:type="dxa"/>
            <w:shd w:val="clear" w:color="auto" w:fill="FFF2CC" w:themeFill="accent4" w:themeFillTint="33"/>
            <w:vAlign w:val="center"/>
          </w:tcPr>
          <w:p w:rsidR="00E82616" w:rsidRPr="001A42F3" w:rsidRDefault="00E82616" w:rsidP="004E65F4">
            <w:pPr>
              <w:spacing w:line="276" w:lineRule="auto"/>
              <w:rPr>
                <w:rFonts w:ascii="Times New Roman" w:hAnsi="Times New Roman" w:cs="Times New Roman"/>
                <w:sz w:val="20"/>
                <w:szCs w:val="20"/>
                <w:lang w:val="en-US"/>
              </w:rPr>
            </w:pPr>
            <w:r w:rsidRPr="001A42F3">
              <w:rPr>
                <w:rFonts w:ascii="Times New Roman" w:hAnsi="Times New Roman" w:cs="Times New Roman"/>
                <w:sz w:val="20"/>
                <w:szCs w:val="20"/>
                <w:lang w:val="en-US"/>
              </w:rPr>
              <w:t>Proceduri</w:t>
            </w:r>
            <w:r w:rsidR="001D73EA" w:rsidRPr="001A42F3">
              <w:rPr>
                <w:rFonts w:ascii="Times New Roman" w:hAnsi="Times New Roman" w:cs="Times New Roman"/>
                <w:sz w:val="20"/>
                <w:szCs w:val="20"/>
                <w:lang w:val="en-US"/>
              </w:rPr>
              <w:t xml:space="preserve"> S9</w:t>
            </w:r>
          </w:p>
        </w:tc>
        <w:tc>
          <w:tcPr>
            <w:tcW w:w="425"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33</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18</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63,46</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34,62</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1,92</w:t>
            </w:r>
          </w:p>
        </w:tc>
        <w:tc>
          <w:tcPr>
            <w:tcW w:w="425"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26</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21</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3</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52,00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42,00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6,00</w:t>
            </w:r>
          </w:p>
        </w:tc>
      </w:tr>
      <w:tr w:rsidR="001A42F3" w:rsidRPr="00E61FD1" w:rsidTr="004E65F4">
        <w:tc>
          <w:tcPr>
            <w:tcW w:w="568" w:type="dxa"/>
            <w:shd w:val="clear" w:color="auto" w:fill="FFF2CC" w:themeFill="accent4" w:themeFillTint="33"/>
            <w:vAlign w:val="center"/>
          </w:tcPr>
          <w:p w:rsidR="00E82616" w:rsidRPr="00E61FD1" w:rsidRDefault="00E82616" w:rsidP="00E82616">
            <w:pPr>
              <w:spacing w:line="276" w:lineRule="auto"/>
              <w:jc w:val="center"/>
              <w:rPr>
                <w:rFonts w:ascii="Times New Roman" w:hAnsi="Times New Roman" w:cs="Times New Roman"/>
              </w:rPr>
            </w:pPr>
            <w:r w:rsidRPr="00E61FD1">
              <w:rPr>
                <w:rFonts w:ascii="Times New Roman" w:hAnsi="Times New Roman" w:cs="Times New Roman"/>
                <w:lang w:val="en-US"/>
              </w:rPr>
              <w:t>10</w:t>
            </w:r>
          </w:p>
        </w:tc>
        <w:tc>
          <w:tcPr>
            <w:tcW w:w="1842" w:type="dxa"/>
            <w:shd w:val="clear" w:color="auto" w:fill="FFF2CC" w:themeFill="accent4" w:themeFillTint="33"/>
            <w:vAlign w:val="center"/>
          </w:tcPr>
          <w:p w:rsidR="00E82616" w:rsidRPr="001A42F3" w:rsidRDefault="00E82616" w:rsidP="004E65F4">
            <w:pPr>
              <w:spacing w:line="276" w:lineRule="auto"/>
              <w:rPr>
                <w:rFonts w:ascii="Times New Roman" w:hAnsi="Times New Roman" w:cs="Times New Roman"/>
                <w:sz w:val="20"/>
                <w:szCs w:val="20"/>
                <w:lang w:val="en-US"/>
              </w:rPr>
            </w:pPr>
            <w:r w:rsidRPr="001A42F3">
              <w:rPr>
                <w:rFonts w:ascii="Times New Roman" w:hAnsi="Times New Roman" w:cs="Times New Roman"/>
                <w:sz w:val="20"/>
                <w:szCs w:val="20"/>
                <w:lang w:val="en-US"/>
              </w:rPr>
              <w:t>Supravegherea</w:t>
            </w:r>
            <w:r w:rsidR="001D73EA" w:rsidRPr="001A42F3">
              <w:rPr>
                <w:rFonts w:ascii="Times New Roman" w:hAnsi="Times New Roman" w:cs="Times New Roman"/>
                <w:sz w:val="20"/>
                <w:szCs w:val="20"/>
                <w:lang w:val="en-US"/>
              </w:rPr>
              <w:t xml:space="preserve"> S10</w:t>
            </w:r>
          </w:p>
        </w:tc>
        <w:tc>
          <w:tcPr>
            <w:tcW w:w="425"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40</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10</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2</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76,92</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19,23</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3,85</w:t>
            </w:r>
          </w:p>
        </w:tc>
        <w:tc>
          <w:tcPr>
            <w:tcW w:w="425"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38</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12</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0</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76,00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24,00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0,00</w:t>
            </w:r>
          </w:p>
        </w:tc>
      </w:tr>
      <w:tr w:rsidR="001A42F3" w:rsidRPr="00E61FD1" w:rsidTr="004E65F4">
        <w:tc>
          <w:tcPr>
            <w:tcW w:w="568" w:type="dxa"/>
            <w:shd w:val="clear" w:color="auto" w:fill="FFF2CC" w:themeFill="accent4" w:themeFillTint="33"/>
            <w:vAlign w:val="center"/>
          </w:tcPr>
          <w:p w:rsidR="00E82616" w:rsidRPr="00E61FD1" w:rsidRDefault="00E82616" w:rsidP="00E82616">
            <w:pPr>
              <w:spacing w:line="276" w:lineRule="auto"/>
              <w:jc w:val="center"/>
              <w:rPr>
                <w:rFonts w:ascii="Times New Roman" w:hAnsi="Times New Roman" w:cs="Times New Roman"/>
              </w:rPr>
            </w:pPr>
            <w:r w:rsidRPr="00E61FD1">
              <w:rPr>
                <w:rFonts w:ascii="Times New Roman" w:hAnsi="Times New Roman" w:cs="Times New Roman"/>
                <w:lang w:val="en-US"/>
              </w:rPr>
              <w:t>11</w:t>
            </w:r>
          </w:p>
        </w:tc>
        <w:tc>
          <w:tcPr>
            <w:tcW w:w="1842" w:type="dxa"/>
            <w:shd w:val="clear" w:color="auto" w:fill="FFF2CC" w:themeFill="accent4" w:themeFillTint="33"/>
            <w:vAlign w:val="center"/>
          </w:tcPr>
          <w:p w:rsidR="00E82616" w:rsidRPr="001A42F3" w:rsidRDefault="00E82616" w:rsidP="004E65F4">
            <w:pPr>
              <w:spacing w:line="276" w:lineRule="auto"/>
              <w:rPr>
                <w:rFonts w:ascii="Times New Roman" w:hAnsi="Times New Roman" w:cs="Times New Roman"/>
                <w:sz w:val="20"/>
                <w:szCs w:val="20"/>
              </w:rPr>
            </w:pPr>
            <w:r w:rsidRPr="001A42F3">
              <w:rPr>
                <w:rFonts w:ascii="Times New Roman" w:hAnsi="Times New Roman" w:cs="Times New Roman"/>
                <w:sz w:val="20"/>
                <w:szCs w:val="20"/>
                <w:lang w:val="en-US"/>
              </w:rPr>
              <w:t>Continuitatea activităţii</w:t>
            </w:r>
            <w:r w:rsidR="001D73EA" w:rsidRPr="001A42F3">
              <w:rPr>
                <w:rFonts w:ascii="Times New Roman" w:hAnsi="Times New Roman" w:cs="Times New Roman"/>
                <w:sz w:val="20"/>
                <w:szCs w:val="20"/>
                <w:lang w:val="en-US"/>
              </w:rPr>
              <w:t xml:space="preserve"> S11</w:t>
            </w:r>
          </w:p>
        </w:tc>
        <w:tc>
          <w:tcPr>
            <w:tcW w:w="425"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35</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14</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3</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67,31</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26,92</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5,77</w:t>
            </w:r>
          </w:p>
        </w:tc>
        <w:tc>
          <w:tcPr>
            <w:tcW w:w="425"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30</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18</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2</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60,00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36,00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4,00</w:t>
            </w:r>
          </w:p>
        </w:tc>
      </w:tr>
      <w:tr w:rsidR="001A42F3" w:rsidRPr="00E61FD1" w:rsidTr="004E65F4">
        <w:tc>
          <w:tcPr>
            <w:tcW w:w="568" w:type="dxa"/>
            <w:shd w:val="clear" w:color="auto" w:fill="FFF2CC" w:themeFill="accent4" w:themeFillTint="33"/>
            <w:vAlign w:val="center"/>
          </w:tcPr>
          <w:p w:rsidR="00E82616" w:rsidRPr="00E61FD1" w:rsidRDefault="00E82616" w:rsidP="00E82616">
            <w:pPr>
              <w:spacing w:line="276" w:lineRule="auto"/>
              <w:jc w:val="center"/>
              <w:rPr>
                <w:rFonts w:ascii="Times New Roman" w:hAnsi="Times New Roman" w:cs="Times New Roman"/>
              </w:rPr>
            </w:pPr>
            <w:r w:rsidRPr="00E61FD1">
              <w:rPr>
                <w:rFonts w:ascii="Times New Roman" w:hAnsi="Times New Roman" w:cs="Times New Roman"/>
                <w:lang w:val="en-US"/>
              </w:rPr>
              <w:t>12</w:t>
            </w:r>
          </w:p>
        </w:tc>
        <w:tc>
          <w:tcPr>
            <w:tcW w:w="1842" w:type="dxa"/>
            <w:shd w:val="clear" w:color="auto" w:fill="FFF2CC" w:themeFill="accent4" w:themeFillTint="33"/>
            <w:vAlign w:val="center"/>
          </w:tcPr>
          <w:p w:rsidR="00E82616" w:rsidRPr="001A42F3" w:rsidRDefault="00E82616" w:rsidP="004E65F4">
            <w:pPr>
              <w:spacing w:line="276" w:lineRule="auto"/>
              <w:rPr>
                <w:rFonts w:ascii="Times New Roman" w:hAnsi="Times New Roman" w:cs="Times New Roman"/>
                <w:sz w:val="20"/>
                <w:szCs w:val="20"/>
              </w:rPr>
            </w:pPr>
            <w:r w:rsidRPr="001A42F3">
              <w:rPr>
                <w:rFonts w:ascii="Times New Roman" w:hAnsi="Times New Roman" w:cs="Times New Roman"/>
                <w:sz w:val="20"/>
                <w:szCs w:val="20"/>
                <w:lang w:val="en-US"/>
              </w:rPr>
              <w:t>Informarea şi comunicarea</w:t>
            </w:r>
            <w:r w:rsidR="001D73EA" w:rsidRPr="001A42F3">
              <w:rPr>
                <w:rFonts w:ascii="Times New Roman" w:hAnsi="Times New Roman" w:cs="Times New Roman"/>
                <w:sz w:val="20"/>
                <w:szCs w:val="20"/>
                <w:lang w:val="en-US"/>
              </w:rPr>
              <w:t xml:space="preserve"> S12</w:t>
            </w:r>
          </w:p>
        </w:tc>
        <w:tc>
          <w:tcPr>
            <w:tcW w:w="425"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49</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2</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94,23</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3,85</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1,92</w:t>
            </w:r>
          </w:p>
        </w:tc>
        <w:tc>
          <w:tcPr>
            <w:tcW w:w="425"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46</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4</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0</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92,00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8,00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0,00</w:t>
            </w:r>
          </w:p>
        </w:tc>
      </w:tr>
      <w:tr w:rsidR="001A42F3" w:rsidRPr="00E61FD1" w:rsidTr="004E65F4">
        <w:tc>
          <w:tcPr>
            <w:tcW w:w="568" w:type="dxa"/>
            <w:shd w:val="clear" w:color="auto" w:fill="FFF2CC" w:themeFill="accent4" w:themeFillTint="33"/>
            <w:vAlign w:val="center"/>
          </w:tcPr>
          <w:p w:rsidR="00E82616" w:rsidRPr="00E61FD1" w:rsidRDefault="00E82616" w:rsidP="00E82616">
            <w:pPr>
              <w:spacing w:line="276" w:lineRule="auto"/>
              <w:jc w:val="center"/>
              <w:rPr>
                <w:rFonts w:ascii="Times New Roman" w:hAnsi="Times New Roman" w:cs="Times New Roman"/>
              </w:rPr>
            </w:pPr>
            <w:r w:rsidRPr="00E61FD1">
              <w:rPr>
                <w:rFonts w:ascii="Times New Roman" w:hAnsi="Times New Roman" w:cs="Times New Roman"/>
                <w:lang w:val="en-US"/>
              </w:rPr>
              <w:t>13</w:t>
            </w:r>
          </w:p>
        </w:tc>
        <w:tc>
          <w:tcPr>
            <w:tcW w:w="1842" w:type="dxa"/>
            <w:shd w:val="clear" w:color="auto" w:fill="FFF2CC" w:themeFill="accent4" w:themeFillTint="33"/>
            <w:vAlign w:val="center"/>
          </w:tcPr>
          <w:p w:rsidR="00E82616" w:rsidRPr="001A42F3" w:rsidRDefault="00E82616" w:rsidP="004E65F4">
            <w:pPr>
              <w:spacing w:line="276" w:lineRule="auto"/>
              <w:rPr>
                <w:rFonts w:ascii="Times New Roman" w:hAnsi="Times New Roman" w:cs="Times New Roman"/>
                <w:sz w:val="20"/>
                <w:szCs w:val="20"/>
                <w:lang w:val="en-US"/>
              </w:rPr>
            </w:pPr>
            <w:r w:rsidRPr="001A42F3">
              <w:rPr>
                <w:rFonts w:ascii="Times New Roman" w:hAnsi="Times New Roman" w:cs="Times New Roman"/>
                <w:sz w:val="20"/>
                <w:szCs w:val="20"/>
                <w:lang w:val="en-US"/>
              </w:rPr>
              <w:t>Gestionarea documentelor</w:t>
            </w:r>
            <w:r w:rsidR="001D73EA" w:rsidRPr="001A42F3">
              <w:rPr>
                <w:rFonts w:ascii="Times New Roman" w:hAnsi="Times New Roman" w:cs="Times New Roman"/>
                <w:sz w:val="20"/>
                <w:szCs w:val="20"/>
                <w:lang w:val="en-US"/>
              </w:rPr>
              <w:t xml:space="preserve"> S1</w:t>
            </w:r>
            <w:r w:rsidR="001A42F3" w:rsidRPr="001A42F3">
              <w:rPr>
                <w:rFonts w:ascii="Times New Roman" w:hAnsi="Times New Roman" w:cs="Times New Roman"/>
                <w:sz w:val="20"/>
                <w:szCs w:val="20"/>
                <w:lang w:val="en-US"/>
              </w:rPr>
              <w:t>3</w:t>
            </w:r>
          </w:p>
        </w:tc>
        <w:tc>
          <w:tcPr>
            <w:tcW w:w="425"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38</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14</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0</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73,08</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26,92</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0,00</w:t>
            </w:r>
          </w:p>
        </w:tc>
        <w:tc>
          <w:tcPr>
            <w:tcW w:w="425"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33</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16</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1</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66,00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32,00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2,00</w:t>
            </w:r>
          </w:p>
        </w:tc>
      </w:tr>
      <w:tr w:rsidR="001A42F3" w:rsidRPr="00E61FD1" w:rsidTr="004E65F4">
        <w:trPr>
          <w:trHeight w:val="574"/>
        </w:trPr>
        <w:tc>
          <w:tcPr>
            <w:tcW w:w="568" w:type="dxa"/>
            <w:shd w:val="clear" w:color="auto" w:fill="FFF2CC" w:themeFill="accent4" w:themeFillTint="33"/>
            <w:vAlign w:val="center"/>
          </w:tcPr>
          <w:p w:rsidR="00E82616" w:rsidRPr="00E61FD1" w:rsidRDefault="00E82616" w:rsidP="00E82616">
            <w:pPr>
              <w:tabs>
                <w:tab w:val="left" w:pos="2010"/>
              </w:tabs>
              <w:spacing w:line="276" w:lineRule="auto"/>
              <w:jc w:val="center"/>
              <w:rPr>
                <w:rFonts w:ascii="Times New Roman" w:hAnsi="Times New Roman" w:cs="Times New Roman"/>
              </w:rPr>
            </w:pPr>
            <w:r w:rsidRPr="00E61FD1">
              <w:rPr>
                <w:rFonts w:ascii="Times New Roman" w:hAnsi="Times New Roman" w:cs="Times New Roman"/>
                <w:lang w:val="en-US"/>
              </w:rPr>
              <w:t>14</w:t>
            </w:r>
            <w:r w:rsidRPr="00E61FD1">
              <w:rPr>
                <w:rFonts w:ascii="Courier New" w:hAnsi="Courier New" w:cs="Courier New"/>
                <w:lang w:val="en-US"/>
              </w:rPr>
              <w:t xml:space="preserve"> </w:t>
            </w:r>
          </w:p>
        </w:tc>
        <w:tc>
          <w:tcPr>
            <w:tcW w:w="1842" w:type="dxa"/>
            <w:shd w:val="clear" w:color="auto" w:fill="FFF2CC" w:themeFill="accent4" w:themeFillTint="33"/>
            <w:vAlign w:val="center"/>
          </w:tcPr>
          <w:p w:rsidR="00E82616" w:rsidRPr="001A42F3" w:rsidRDefault="00E82616" w:rsidP="004E65F4">
            <w:pPr>
              <w:spacing w:line="276" w:lineRule="auto"/>
              <w:rPr>
                <w:rFonts w:ascii="Times New Roman" w:hAnsi="Times New Roman" w:cs="Times New Roman"/>
                <w:sz w:val="20"/>
                <w:szCs w:val="20"/>
              </w:rPr>
            </w:pPr>
            <w:r w:rsidRPr="001A42F3">
              <w:rPr>
                <w:rFonts w:ascii="Times New Roman" w:hAnsi="Times New Roman" w:cs="Times New Roman"/>
                <w:sz w:val="20"/>
                <w:szCs w:val="20"/>
                <w:lang w:val="en-US"/>
              </w:rPr>
              <w:t>Raportarea contabilă şi financiară</w:t>
            </w:r>
            <w:r w:rsidR="001D73EA" w:rsidRPr="001A42F3">
              <w:rPr>
                <w:rFonts w:ascii="Times New Roman" w:hAnsi="Times New Roman" w:cs="Times New Roman"/>
                <w:sz w:val="20"/>
                <w:szCs w:val="20"/>
                <w:lang w:val="en-US"/>
              </w:rPr>
              <w:t xml:space="preserve"> S1</w:t>
            </w:r>
            <w:r w:rsidR="001A42F3" w:rsidRPr="001A42F3">
              <w:rPr>
                <w:rFonts w:ascii="Times New Roman" w:hAnsi="Times New Roman" w:cs="Times New Roman"/>
                <w:sz w:val="20"/>
                <w:szCs w:val="20"/>
                <w:lang w:val="en-US"/>
              </w:rPr>
              <w:t>4</w:t>
            </w:r>
          </w:p>
        </w:tc>
        <w:tc>
          <w:tcPr>
            <w:tcW w:w="425"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47</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5</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0</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90,38</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9,62</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0,00</w:t>
            </w:r>
          </w:p>
        </w:tc>
        <w:tc>
          <w:tcPr>
            <w:tcW w:w="425"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47</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3</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0</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94,00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6,00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0,00</w:t>
            </w:r>
          </w:p>
        </w:tc>
      </w:tr>
      <w:tr w:rsidR="001A42F3" w:rsidRPr="00E61FD1" w:rsidTr="004E65F4">
        <w:tc>
          <w:tcPr>
            <w:tcW w:w="568" w:type="dxa"/>
            <w:shd w:val="clear" w:color="auto" w:fill="FFF2CC" w:themeFill="accent4" w:themeFillTint="33"/>
            <w:vAlign w:val="center"/>
          </w:tcPr>
          <w:p w:rsidR="00E82616" w:rsidRPr="00E61FD1" w:rsidRDefault="00E82616" w:rsidP="00E82616">
            <w:pPr>
              <w:spacing w:line="276" w:lineRule="auto"/>
              <w:jc w:val="center"/>
              <w:rPr>
                <w:rFonts w:ascii="Times New Roman" w:hAnsi="Times New Roman" w:cs="Times New Roman"/>
              </w:rPr>
            </w:pPr>
            <w:r w:rsidRPr="00E61FD1">
              <w:rPr>
                <w:rFonts w:ascii="Times New Roman" w:hAnsi="Times New Roman" w:cs="Times New Roman"/>
                <w:lang w:val="en-US"/>
              </w:rPr>
              <w:t>15</w:t>
            </w:r>
          </w:p>
        </w:tc>
        <w:tc>
          <w:tcPr>
            <w:tcW w:w="1842" w:type="dxa"/>
            <w:shd w:val="clear" w:color="auto" w:fill="FFF2CC" w:themeFill="accent4" w:themeFillTint="33"/>
            <w:vAlign w:val="center"/>
          </w:tcPr>
          <w:p w:rsidR="00E82616" w:rsidRPr="001A42F3" w:rsidRDefault="00E82616" w:rsidP="004E65F4">
            <w:pPr>
              <w:spacing w:line="276" w:lineRule="auto"/>
              <w:rPr>
                <w:rFonts w:ascii="Times New Roman" w:hAnsi="Times New Roman" w:cs="Times New Roman"/>
                <w:sz w:val="20"/>
                <w:szCs w:val="20"/>
              </w:rPr>
            </w:pPr>
            <w:r w:rsidRPr="001A42F3">
              <w:rPr>
                <w:rFonts w:ascii="Times New Roman" w:hAnsi="Times New Roman" w:cs="Times New Roman"/>
                <w:sz w:val="20"/>
                <w:szCs w:val="20"/>
                <w:lang w:val="en-US"/>
              </w:rPr>
              <w:t>Evaluarea sistemului de control intern managerial</w:t>
            </w:r>
            <w:r w:rsidR="001A42F3" w:rsidRPr="001A42F3">
              <w:rPr>
                <w:rFonts w:ascii="Times New Roman" w:hAnsi="Times New Roman" w:cs="Times New Roman"/>
                <w:sz w:val="20"/>
                <w:szCs w:val="20"/>
              </w:rPr>
              <w:t xml:space="preserve"> S15</w:t>
            </w:r>
          </w:p>
        </w:tc>
        <w:tc>
          <w:tcPr>
            <w:tcW w:w="425"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47</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5</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0</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90,38</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9,62</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0,00</w:t>
            </w:r>
          </w:p>
        </w:tc>
        <w:tc>
          <w:tcPr>
            <w:tcW w:w="425"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46</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4</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0</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92,00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8,00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0,00</w:t>
            </w:r>
          </w:p>
        </w:tc>
      </w:tr>
      <w:tr w:rsidR="001A42F3" w:rsidRPr="00E61FD1" w:rsidTr="004E65F4">
        <w:tc>
          <w:tcPr>
            <w:tcW w:w="568" w:type="dxa"/>
            <w:shd w:val="clear" w:color="auto" w:fill="FFF2CC" w:themeFill="accent4" w:themeFillTint="33"/>
            <w:vAlign w:val="center"/>
          </w:tcPr>
          <w:p w:rsidR="00E82616" w:rsidRPr="00E61FD1" w:rsidRDefault="00E82616" w:rsidP="00E82616">
            <w:pPr>
              <w:spacing w:line="276" w:lineRule="auto"/>
              <w:jc w:val="center"/>
              <w:rPr>
                <w:rFonts w:ascii="Times New Roman" w:hAnsi="Times New Roman" w:cs="Times New Roman"/>
              </w:rPr>
            </w:pPr>
            <w:r w:rsidRPr="00E61FD1">
              <w:rPr>
                <w:rFonts w:ascii="Times New Roman" w:hAnsi="Times New Roman" w:cs="Times New Roman"/>
                <w:lang w:val="en-US"/>
              </w:rPr>
              <w:t>16</w:t>
            </w:r>
          </w:p>
        </w:tc>
        <w:tc>
          <w:tcPr>
            <w:tcW w:w="1842" w:type="dxa"/>
            <w:shd w:val="clear" w:color="auto" w:fill="FFF2CC" w:themeFill="accent4" w:themeFillTint="33"/>
            <w:vAlign w:val="center"/>
          </w:tcPr>
          <w:p w:rsidR="00E82616" w:rsidRPr="001A42F3" w:rsidRDefault="00E82616" w:rsidP="004E65F4">
            <w:pPr>
              <w:spacing w:line="276" w:lineRule="auto"/>
              <w:rPr>
                <w:rFonts w:ascii="Times New Roman" w:hAnsi="Times New Roman" w:cs="Times New Roman"/>
                <w:sz w:val="20"/>
                <w:szCs w:val="20"/>
                <w:lang w:val="en-US"/>
              </w:rPr>
            </w:pPr>
            <w:r w:rsidRPr="001A42F3">
              <w:rPr>
                <w:rFonts w:ascii="Times New Roman" w:hAnsi="Times New Roman" w:cs="Times New Roman"/>
                <w:sz w:val="20"/>
                <w:szCs w:val="20"/>
                <w:lang w:val="en-US"/>
              </w:rPr>
              <w:t>Auditul intern</w:t>
            </w:r>
            <w:r w:rsidR="001A42F3" w:rsidRPr="001A42F3">
              <w:rPr>
                <w:rFonts w:ascii="Times New Roman" w:hAnsi="Times New Roman" w:cs="Times New Roman"/>
                <w:sz w:val="20"/>
                <w:szCs w:val="20"/>
                <w:lang w:val="en-US"/>
              </w:rPr>
              <w:t xml:space="preserve"> S16</w:t>
            </w:r>
          </w:p>
        </w:tc>
        <w:tc>
          <w:tcPr>
            <w:tcW w:w="425"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47</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4</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90,38</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7,69</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E82616" w:rsidP="001A42F3">
            <w:pPr>
              <w:spacing w:line="276" w:lineRule="auto"/>
              <w:jc w:val="right"/>
              <w:rPr>
                <w:rFonts w:ascii="Times New Roman" w:hAnsi="Times New Roman" w:cs="Times New Roman"/>
                <w:b/>
                <w:sz w:val="20"/>
                <w:szCs w:val="20"/>
              </w:rPr>
            </w:pPr>
            <w:r w:rsidRPr="001A42F3">
              <w:rPr>
                <w:rFonts w:ascii="Times New Roman" w:hAnsi="Times New Roman" w:cs="Times New Roman"/>
                <w:sz w:val="20"/>
                <w:szCs w:val="20"/>
              </w:rPr>
              <w:t>1,92</w:t>
            </w:r>
          </w:p>
        </w:tc>
        <w:tc>
          <w:tcPr>
            <w:tcW w:w="425"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46</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3</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1</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92,00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6,00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E82616" w:rsidRPr="001A42F3" w:rsidRDefault="006355B8" w:rsidP="001A42F3">
            <w:pPr>
              <w:spacing w:line="276" w:lineRule="auto"/>
              <w:jc w:val="right"/>
              <w:rPr>
                <w:rFonts w:ascii="Times New Roman" w:hAnsi="Times New Roman" w:cs="Times New Roman"/>
                <w:sz w:val="20"/>
                <w:szCs w:val="20"/>
              </w:rPr>
            </w:pPr>
            <w:r w:rsidRPr="001A42F3">
              <w:rPr>
                <w:rFonts w:ascii="Times New Roman" w:hAnsi="Times New Roman" w:cs="Times New Roman"/>
                <w:sz w:val="20"/>
                <w:szCs w:val="20"/>
              </w:rPr>
              <w:t>2,00</w:t>
            </w:r>
          </w:p>
        </w:tc>
      </w:tr>
    </w:tbl>
    <w:p w:rsidR="00FA0686" w:rsidRPr="001B2B79" w:rsidRDefault="00FA0686" w:rsidP="00602BDC">
      <w:pPr>
        <w:spacing w:line="276" w:lineRule="auto"/>
        <w:ind w:firstLine="708"/>
        <w:jc w:val="both"/>
        <w:rPr>
          <w:rFonts w:ascii="Times New Roman" w:hAnsi="Times New Roman" w:cs="Times New Roman"/>
          <w:i/>
          <w:sz w:val="24"/>
          <w:szCs w:val="24"/>
        </w:rPr>
      </w:pPr>
    </w:p>
    <w:p w:rsidR="00C50B15" w:rsidRDefault="00C50B15" w:rsidP="00C50B15">
      <w:r>
        <w:rPr>
          <w:noProof/>
          <w:lang w:eastAsia="ro-RO"/>
        </w:rPr>
        <w:drawing>
          <wp:inline distT="0" distB="0" distL="0" distR="0">
            <wp:extent cx="6267450" cy="8288121"/>
            <wp:effectExtent l="0" t="0" r="0" b="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9183D" w:rsidRDefault="0049183D">
      <w:pPr>
        <w:rPr>
          <w:rFonts w:ascii="Times New Roman" w:hAnsi="Times New Roman" w:cs="Times New Roman"/>
          <w:sz w:val="24"/>
          <w:szCs w:val="24"/>
        </w:rPr>
      </w:pPr>
    </w:p>
    <w:p w:rsidR="00C50B15" w:rsidRDefault="0049183D">
      <w:pPr>
        <w:rPr>
          <w:rFonts w:ascii="Times New Roman" w:hAnsi="Times New Roman" w:cs="Times New Roman"/>
          <w:sz w:val="24"/>
          <w:szCs w:val="24"/>
        </w:rPr>
      </w:pPr>
      <w:r>
        <w:rPr>
          <w:noProof/>
          <w:lang w:eastAsia="ro-RO"/>
        </w:rPr>
        <w:drawing>
          <wp:anchor distT="0" distB="0" distL="114300" distR="114300" simplePos="0" relativeHeight="251705344" behindDoc="1" locked="0" layoutInCell="1" allowOverlap="1" wp14:anchorId="158B148F" wp14:editId="13A06DBF">
            <wp:simplePos x="0" y="0"/>
            <wp:positionH relativeFrom="column">
              <wp:posOffset>0</wp:posOffset>
            </wp:positionH>
            <wp:positionV relativeFrom="paragraph">
              <wp:posOffset>-225756</wp:posOffset>
            </wp:positionV>
            <wp:extent cx="6369050" cy="8496300"/>
            <wp:effectExtent l="0" t="0" r="0" b="0"/>
            <wp:wrapNone/>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p>
    <w:p w:rsidR="00C50B15" w:rsidRDefault="001A42F3">
      <w:pPr>
        <w:rPr>
          <w:rFonts w:ascii="Times New Roman" w:hAnsi="Times New Roman" w:cs="Times New Roman"/>
          <w:sz w:val="24"/>
          <w:szCs w:val="24"/>
        </w:rPr>
      </w:pPr>
      <w:r>
        <w:rPr>
          <w:noProof/>
          <w:lang w:eastAsia="ro-RO"/>
        </w:rPr>
        <w:drawing>
          <wp:inline distT="0" distB="0" distL="0" distR="0" wp14:anchorId="158F99A1" wp14:editId="4105661E">
            <wp:extent cx="6353033" cy="8181833"/>
            <wp:effectExtent l="0" t="0" r="0" b="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8067E5" w:rsidRDefault="008067E5" w:rsidP="008067E5">
      <w:pPr>
        <w:rPr>
          <w:rFonts w:ascii="Times New Roman" w:hAnsi="Times New Roman" w:cs="Times New Roman"/>
          <w:sz w:val="24"/>
          <w:szCs w:val="24"/>
        </w:rPr>
      </w:pPr>
      <w:r>
        <w:rPr>
          <w:noProof/>
          <w:lang w:eastAsia="ro-RO"/>
        </w:rPr>
        <w:drawing>
          <wp:inline distT="0" distB="0" distL="0" distR="0" wp14:anchorId="2A7D5BDF" wp14:editId="263A4B03">
            <wp:extent cx="6341745" cy="8202305"/>
            <wp:effectExtent l="0" t="0" r="1905" b="8255"/>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8067E5" w:rsidRDefault="008067E5">
      <w:pPr>
        <w:rPr>
          <w:rFonts w:ascii="Times New Roman" w:hAnsi="Times New Roman" w:cs="Times New Roman"/>
          <w:sz w:val="24"/>
          <w:szCs w:val="24"/>
        </w:rPr>
      </w:pPr>
      <w:r>
        <w:rPr>
          <w:noProof/>
          <w:lang w:eastAsia="ro-RO"/>
        </w:rPr>
        <w:drawing>
          <wp:inline distT="0" distB="0" distL="0" distR="0" wp14:anchorId="69264A5D" wp14:editId="7CFFD415">
            <wp:extent cx="6370955" cy="8215953"/>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Pr>
          <w:rFonts w:ascii="Times New Roman" w:hAnsi="Times New Roman" w:cs="Times New Roman"/>
          <w:sz w:val="24"/>
          <w:szCs w:val="24"/>
        </w:rPr>
        <w:br w:type="page"/>
      </w:r>
    </w:p>
    <w:p w:rsidR="008067E5" w:rsidRDefault="00693A75" w:rsidP="00C50B15">
      <w:pPr>
        <w:spacing w:line="276" w:lineRule="auto"/>
        <w:jc w:val="both"/>
        <w:rPr>
          <w:rFonts w:ascii="Times New Roman" w:hAnsi="Times New Roman" w:cs="Times New Roman"/>
          <w:sz w:val="24"/>
          <w:szCs w:val="24"/>
        </w:rPr>
      </w:pPr>
      <w:r>
        <w:rPr>
          <w:noProof/>
          <w:lang w:eastAsia="ro-RO"/>
        </w:rPr>
        <w:drawing>
          <wp:inline distT="0" distB="0" distL="0" distR="0" wp14:anchorId="7C2F7287" wp14:editId="4349A4F2">
            <wp:extent cx="6291072" cy="8317382"/>
            <wp:effectExtent l="0" t="0" r="0" b="762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094403" w:rsidRPr="00094403" w:rsidRDefault="00094403" w:rsidP="00C50B15">
      <w:pPr>
        <w:spacing w:line="276" w:lineRule="auto"/>
        <w:jc w:val="both"/>
        <w:rPr>
          <w:rFonts w:ascii="Times New Roman" w:hAnsi="Times New Roman" w:cs="Times New Roman"/>
          <w:sz w:val="24"/>
          <w:szCs w:val="24"/>
        </w:rPr>
      </w:pPr>
      <w:r>
        <w:rPr>
          <w:rFonts w:ascii="Times New Roman" w:hAnsi="Times New Roman" w:cs="Times New Roman"/>
          <w:sz w:val="24"/>
          <w:szCs w:val="24"/>
        </w:rPr>
        <w:t>Tabelul cu standardele de control intern managerial implementate</w:t>
      </w:r>
      <w:r w:rsidR="00AF4B8F">
        <w:rPr>
          <w:rFonts w:ascii="Times New Roman" w:hAnsi="Times New Roman" w:cs="Times New Roman"/>
          <w:sz w:val="24"/>
          <w:szCs w:val="24"/>
        </w:rPr>
        <w:t>, parțial implementate și neimplementate</w:t>
      </w:r>
      <w:r>
        <w:rPr>
          <w:rFonts w:ascii="Times New Roman" w:hAnsi="Times New Roman" w:cs="Times New Roman"/>
          <w:sz w:val="24"/>
          <w:szCs w:val="24"/>
        </w:rPr>
        <w:t xml:space="preserve"> la nivelul ordonatorilor principali de credite este prezentat în </w:t>
      </w:r>
      <w:r w:rsidRPr="00094403">
        <w:rPr>
          <w:rFonts w:ascii="Times New Roman" w:hAnsi="Times New Roman" w:cs="Times New Roman"/>
          <w:i/>
          <w:sz w:val="24"/>
          <w:szCs w:val="24"/>
        </w:rPr>
        <w:t>Anexa nr. 2 la Raport</w:t>
      </w:r>
      <w:r>
        <w:rPr>
          <w:rFonts w:ascii="Times New Roman" w:hAnsi="Times New Roman" w:cs="Times New Roman"/>
          <w:sz w:val="24"/>
          <w:szCs w:val="24"/>
        </w:rPr>
        <w:t>.</w:t>
      </w:r>
    </w:p>
    <w:p w:rsidR="00CF002C" w:rsidRDefault="00CF002C" w:rsidP="00C50B15">
      <w:pPr>
        <w:spacing w:line="276" w:lineRule="auto"/>
        <w:jc w:val="both"/>
        <w:rPr>
          <w:rFonts w:ascii="Times New Roman" w:hAnsi="Times New Roman" w:cs="Times New Roman"/>
          <w:sz w:val="24"/>
          <w:szCs w:val="24"/>
        </w:rPr>
      </w:pPr>
      <w:r w:rsidRPr="006E0894">
        <w:rPr>
          <w:rFonts w:ascii="Times New Roman" w:hAnsi="Times New Roman" w:cs="Times New Roman"/>
          <w:i/>
          <w:sz w:val="24"/>
          <w:szCs w:val="24"/>
        </w:rPr>
        <w:t>Stadiul implementări</w:t>
      </w:r>
      <w:r w:rsidR="00CC1648" w:rsidRPr="006E0894">
        <w:rPr>
          <w:rFonts w:ascii="Times New Roman" w:hAnsi="Times New Roman" w:cs="Times New Roman"/>
          <w:i/>
          <w:sz w:val="24"/>
          <w:szCs w:val="24"/>
        </w:rPr>
        <w:t xml:space="preserve">i standardelor de control intern </w:t>
      </w:r>
      <w:r w:rsidRPr="006E0894">
        <w:rPr>
          <w:rFonts w:ascii="Times New Roman" w:hAnsi="Times New Roman" w:cs="Times New Roman"/>
          <w:i/>
          <w:sz w:val="24"/>
          <w:szCs w:val="24"/>
        </w:rPr>
        <w:t>managerial</w:t>
      </w:r>
      <w:r w:rsidRPr="00903537">
        <w:rPr>
          <w:rFonts w:ascii="Times New Roman" w:hAnsi="Times New Roman" w:cs="Times New Roman"/>
          <w:sz w:val="24"/>
          <w:szCs w:val="24"/>
        </w:rPr>
        <w:t xml:space="preserve">, </w:t>
      </w:r>
      <w:r w:rsidR="004C214C" w:rsidRPr="001B2B79">
        <w:rPr>
          <w:rFonts w:ascii="Times New Roman" w:hAnsi="Times New Roman" w:cs="Times New Roman"/>
          <w:sz w:val="24"/>
          <w:szCs w:val="24"/>
        </w:rPr>
        <w:t xml:space="preserve">aferent </w:t>
      </w:r>
      <w:r w:rsidR="004C214C" w:rsidRPr="001B2B79">
        <w:rPr>
          <w:rFonts w:ascii="Times New Roman" w:hAnsi="Times New Roman" w:cs="Times New Roman"/>
          <w:i/>
          <w:sz w:val="24"/>
          <w:szCs w:val="24"/>
        </w:rPr>
        <w:t>anului 2016</w:t>
      </w:r>
      <w:r w:rsidR="004C214C" w:rsidRPr="001B2B79">
        <w:rPr>
          <w:rFonts w:ascii="Times New Roman" w:hAnsi="Times New Roman" w:cs="Times New Roman"/>
          <w:sz w:val="24"/>
          <w:szCs w:val="24"/>
        </w:rPr>
        <w:t xml:space="preserve"> </w:t>
      </w:r>
      <w:r w:rsidRPr="001B2B79">
        <w:rPr>
          <w:rFonts w:ascii="Times New Roman" w:hAnsi="Times New Roman" w:cs="Times New Roman"/>
          <w:sz w:val="24"/>
          <w:szCs w:val="24"/>
        </w:rPr>
        <w:t xml:space="preserve">pentru cei </w:t>
      </w:r>
      <w:r w:rsidR="004C214C" w:rsidRPr="001B2B79">
        <w:rPr>
          <w:rFonts w:ascii="Times New Roman" w:hAnsi="Times New Roman" w:cs="Times New Roman"/>
          <w:sz w:val="24"/>
          <w:szCs w:val="24"/>
        </w:rPr>
        <w:t>50</w:t>
      </w:r>
      <w:r w:rsidRPr="001B2B79">
        <w:rPr>
          <w:rFonts w:ascii="Times New Roman" w:hAnsi="Times New Roman" w:cs="Times New Roman"/>
          <w:sz w:val="24"/>
          <w:szCs w:val="24"/>
        </w:rPr>
        <w:t xml:space="preserve"> de ordonatori principali de credite</w:t>
      </w:r>
      <w:r w:rsidR="00CC1648" w:rsidRPr="001B2B79">
        <w:rPr>
          <w:rFonts w:ascii="Times New Roman" w:hAnsi="Times New Roman" w:cs="Times New Roman"/>
          <w:sz w:val="24"/>
          <w:szCs w:val="24"/>
        </w:rPr>
        <w:t xml:space="preserve"> </w:t>
      </w:r>
      <w:r w:rsidRPr="001B2B79">
        <w:rPr>
          <w:rFonts w:ascii="Times New Roman" w:hAnsi="Times New Roman" w:cs="Times New Roman"/>
          <w:sz w:val="24"/>
          <w:szCs w:val="24"/>
        </w:rPr>
        <w:t>-</w:t>
      </w:r>
      <w:r w:rsidR="00CC1648" w:rsidRPr="001B2B79">
        <w:rPr>
          <w:rFonts w:ascii="Times New Roman" w:hAnsi="Times New Roman" w:cs="Times New Roman"/>
          <w:sz w:val="24"/>
          <w:szCs w:val="24"/>
        </w:rPr>
        <w:t xml:space="preserve"> </w:t>
      </w:r>
      <w:r w:rsidRPr="001B2B79">
        <w:rPr>
          <w:rFonts w:ascii="Times New Roman" w:hAnsi="Times New Roman" w:cs="Times New Roman"/>
          <w:i/>
          <w:sz w:val="24"/>
          <w:szCs w:val="24"/>
        </w:rPr>
        <w:t>aparat propriu,</w:t>
      </w:r>
      <w:r w:rsidRPr="001B2B79">
        <w:rPr>
          <w:rFonts w:ascii="Times New Roman" w:hAnsi="Times New Roman" w:cs="Times New Roman"/>
          <w:sz w:val="24"/>
          <w:szCs w:val="24"/>
        </w:rPr>
        <w:t xml:space="preserve"> </w:t>
      </w:r>
      <w:r w:rsidR="004C214C" w:rsidRPr="001B2B79">
        <w:rPr>
          <w:rFonts w:ascii="Times New Roman" w:hAnsi="Times New Roman" w:cs="Times New Roman"/>
          <w:sz w:val="24"/>
          <w:szCs w:val="24"/>
        </w:rPr>
        <w:t xml:space="preserve">comparativ cu cei 52 de ordonatori principali de credite - </w:t>
      </w:r>
      <w:r w:rsidR="004C214C" w:rsidRPr="001B2B79">
        <w:rPr>
          <w:rFonts w:ascii="Times New Roman" w:hAnsi="Times New Roman" w:cs="Times New Roman"/>
          <w:i/>
          <w:sz w:val="24"/>
          <w:szCs w:val="24"/>
        </w:rPr>
        <w:t>aparat propriu</w:t>
      </w:r>
      <w:r w:rsidR="004C214C" w:rsidRPr="001B2B79">
        <w:rPr>
          <w:rFonts w:ascii="Times New Roman" w:hAnsi="Times New Roman" w:cs="Times New Roman"/>
          <w:sz w:val="24"/>
          <w:szCs w:val="24"/>
        </w:rPr>
        <w:t xml:space="preserve"> aferent </w:t>
      </w:r>
      <w:r w:rsidR="004C214C" w:rsidRPr="001B2B79">
        <w:rPr>
          <w:rFonts w:ascii="Times New Roman" w:hAnsi="Times New Roman" w:cs="Times New Roman"/>
          <w:i/>
          <w:sz w:val="24"/>
          <w:szCs w:val="24"/>
        </w:rPr>
        <w:t>anului 2015</w:t>
      </w:r>
      <w:r w:rsidR="004C214C" w:rsidRPr="001B2B79">
        <w:rPr>
          <w:rFonts w:ascii="Times New Roman" w:hAnsi="Times New Roman" w:cs="Times New Roman"/>
          <w:sz w:val="24"/>
          <w:szCs w:val="24"/>
        </w:rPr>
        <w:t xml:space="preserve">, </w:t>
      </w:r>
      <w:r w:rsidRPr="001B2B79">
        <w:rPr>
          <w:rFonts w:ascii="Times New Roman" w:hAnsi="Times New Roman" w:cs="Times New Roman"/>
          <w:sz w:val="24"/>
          <w:szCs w:val="24"/>
        </w:rPr>
        <w:t xml:space="preserve">este analizat </w:t>
      </w:r>
      <w:r w:rsidRPr="00903537">
        <w:rPr>
          <w:rFonts w:ascii="Times New Roman" w:hAnsi="Times New Roman" w:cs="Times New Roman"/>
          <w:sz w:val="24"/>
          <w:szCs w:val="24"/>
        </w:rPr>
        <w:t>la nivelul fiec</w:t>
      </w:r>
      <w:r>
        <w:rPr>
          <w:rFonts w:ascii="Times New Roman" w:hAnsi="Times New Roman" w:cs="Times New Roman"/>
          <w:sz w:val="24"/>
          <w:szCs w:val="24"/>
        </w:rPr>
        <w:t xml:space="preserve">ărui standard de control intern </w:t>
      </w:r>
      <w:r w:rsidRPr="00903537">
        <w:rPr>
          <w:rFonts w:ascii="Times New Roman" w:hAnsi="Times New Roman" w:cs="Times New Roman"/>
          <w:sz w:val="24"/>
          <w:szCs w:val="24"/>
        </w:rPr>
        <w:t>manageria</w:t>
      </w:r>
      <w:r w:rsidR="00E768C0">
        <w:rPr>
          <w:rFonts w:ascii="Times New Roman" w:hAnsi="Times New Roman" w:cs="Times New Roman"/>
          <w:sz w:val="24"/>
          <w:szCs w:val="24"/>
        </w:rPr>
        <w:t xml:space="preserve">l din cadrul celor 5 elemente </w:t>
      </w:r>
      <w:r w:rsidRPr="00903537">
        <w:rPr>
          <w:rFonts w:ascii="Times New Roman" w:hAnsi="Times New Roman" w:cs="Times New Roman"/>
          <w:sz w:val="24"/>
          <w:szCs w:val="24"/>
        </w:rPr>
        <w:t>chei</w:t>
      </w:r>
      <w:r>
        <w:rPr>
          <w:rFonts w:ascii="Times New Roman" w:hAnsi="Times New Roman" w:cs="Times New Roman"/>
          <w:sz w:val="24"/>
          <w:szCs w:val="24"/>
        </w:rPr>
        <w:t xml:space="preserve">e ale </w:t>
      </w:r>
      <w:r w:rsidR="00E768C0">
        <w:rPr>
          <w:rFonts w:ascii="Times New Roman" w:hAnsi="Times New Roman" w:cs="Times New Roman"/>
          <w:sz w:val="24"/>
          <w:szCs w:val="24"/>
        </w:rPr>
        <w:t>sistemului de controlul</w:t>
      </w:r>
      <w:r>
        <w:rPr>
          <w:rFonts w:ascii="Times New Roman" w:hAnsi="Times New Roman" w:cs="Times New Roman"/>
          <w:sz w:val="24"/>
          <w:szCs w:val="24"/>
        </w:rPr>
        <w:t xml:space="preserve"> intern </w:t>
      </w:r>
      <w:r w:rsidR="00CC1648">
        <w:rPr>
          <w:rFonts w:ascii="Times New Roman" w:hAnsi="Times New Roman" w:cs="Times New Roman"/>
          <w:sz w:val="24"/>
          <w:szCs w:val="24"/>
        </w:rPr>
        <w:t>managerial.</w:t>
      </w:r>
    </w:p>
    <w:p w:rsidR="00CF002C" w:rsidRPr="009505E7" w:rsidRDefault="00E0286C" w:rsidP="00E0286C">
      <w:pPr>
        <w:spacing w:before="480" w:line="276" w:lineRule="auto"/>
        <w:jc w:val="both"/>
        <w:rPr>
          <w:rFonts w:ascii="Times New Roman" w:hAnsi="Times New Roman" w:cs="Times New Roman"/>
          <w:b/>
          <w:sz w:val="28"/>
          <w:szCs w:val="28"/>
        </w:rPr>
      </w:pPr>
      <w:r>
        <w:rPr>
          <w:rFonts w:ascii="Times New Roman" w:hAnsi="Times New Roman" w:cs="Times New Roman"/>
          <w:b/>
          <w:sz w:val="28"/>
          <w:szCs w:val="28"/>
        </w:rPr>
        <w:t>I. Mediul de control</w:t>
      </w:r>
    </w:p>
    <w:p w:rsidR="00CF002C" w:rsidRPr="00E0286C" w:rsidRDefault="009505E7" w:rsidP="00E0286C">
      <w:pPr>
        <w:rPr>
          <w:rFonts w:ascii="Times New Roman" w:hAnsi="Times New Roman" w:cs="Times New Roman"/>
          <w:b/>
          <w:sz w:val="24"/>
          <w:szCs w:val="24"/>
        </w:rPr>
      </w:pPr>
      <w:r w:rsidRPr="00E0286C">
        <w:rPr>
          <w:rFonts w:ascii="Times New Roman" w:hAnsi="Times New Roman" w:cs="Times New Roman"/>
          <w:b/>
          <w:sz w:val="24"/>
          <w:szCs w:val="24"/>
        </w:rPr>
        <w:t>S</w:t>
      </w:r>
      <w:r w:rsidR="00E0286C" w:rsidRPr="00E0286C">
        <w:rPr>
          <w:rFonts w:ascii="Times New Roman" w:hAnsi="Times New Roman" w:cs="Times New Roman"/>
          <w:b/>
          <w:sz w:val="24"/>
          <w:szCs w:val="24"/>
        </w:rPr>
        <w:t>tandardul</w:t>
      </w:r>
      <w:r w:rsidRPr="00E0286C">
        <w:rPr>
          <w:rFonts w:ascii="Times New Roman" w:hAnsi="Times New Roman" w:cs="Times New Roman"/>
          <w:b/>
          <w:sz w:val="24"/>
          <w:szCs w:val="24"/>
        </w:rPr>
        <w:t xml:space="preserve"> 1 - </w:t>
      </w:r>
      <w:r w:rsidR="00CF002C" w:rsidRPr="00E0286C">
        <w:rPr>
          <w:rFonts w:ascii="Times New Roman" w:hAnsi="Times New Roman" w:cs="Times New Roman"/>
          <w:b/>
          <w:sz w:val="24"/>
          <w:szCs w:val="24"/>
        </w:rPr>
        <w:t>E</w:t>
      </w:r>
      <w:r w:rsidR="00E0286C" w:rsidRPr="00E0286C">
        <w:rPr>
          <w:rFonts w:ascii="Times New Roman" w:hAnsi="Times New Roman" w:cs="Times New Roman"/>
          <w:b/>
          <w:sz w:val="24"/>
          <w:szCs w:val="24"/>
        </w:rPr>
        <w:t>tică</w:t>
      </w:r>
      <w:r w:rsidR="00CF002C" w:rsidRPr="00E0286C">
        <w:rPr>
          <w:rFonts w:ascii="Times New Roman" w:hAnsi="Times New Roman" w:cs="Times New Roman"/>
          <w:b/>
          <w:sz w:val="24"/>
          <w:szCs w:val="24"/>
        </w:rPr>
        <w:t xml:space="preserve">, </w:t>
      </w:r>
      <w:r w:rsidR="00E0286C" w:rsidRPr="00E0286C">
        <w:rPr>
          <w:rFonts w:ascii="Times New Roman" w:hAnsi="Times New Roman" w:cs="Times New Roman"/>
          <w:b/>
          <w:sz w:val="24"/>
          <w:szCs w:val="24"/>
        </w:rPr>
        <w:t>integritate</w:t>
      </w:r>
    </w:p>
    <w:p w:rsidR="00CF002C" w:rsidRPr="00615A27" w:rsidRDefault="00CF002C" w:rsidP="00602BDC">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Potrivit acestui standard, </w:t>
      </w:r>
      <w:r>
        <w:rPr>
          <w:rFonts w:ascii="Times New Roman" w:hAnsi="Times New Roman" w:cs="Times New Roman"/>
          <w:sz w:val="24"/>
          <w:szCs w:val="24"/>
          <w:lang w:val="en-US"/>
        </w:rPr>
        <w:t>c</w:t>
      </w:r>
      <w:r w:rsidRPr="00615A27">
        <w:rPr>
          <w:rFonts w:ascii="Times New Roman" w:hAnsi="Times New Roman" w:cs="Times New Roman"/>
          <w:sz w:val="24"/>
          <w:szCs w:val="24"/>
          <w:lang w:val="en-US"/>
        </w:rPr>
        <w:t>onducerea şi salariaţii entităţii publice cunosc şi susţin valorile etice şi valorile organizaţiei, respectă şi aplică reglementările cu privire la etică, integritate, evitarea conflictelor de interese, prevenirea şi raportarea fraudelor, actelor de corupţie şi semnalarea neregularităţilor.</w:t>
      </w:r>
    </w:p>
    <w:p w:rsidR="00A45B97" w:rsidRPr="00E0286C" w:rsidRDefault="00A45B97" w:rsidP="00E0286C">
      <w:pPr>
        <w:spacing w:line="276" w:lineRule="auto"/>
        <w:jc w:val="both"/>
        <w:rPr>
          <w:rFonts w:ascii="Times New Roman" w:hAnsi="Times New Roman" w:cs="Times New Roman"/>
          <w:sz w:val="24"/>
          <w:szCs w:val="24"/>
        </w:rPr>
      </w:pPr>
      <w:r w:rsidRPr="00E0286C">
        <w:rPr>
          <w:rFonts w:ascii="Times New Roman" w:hAnsi="Times New Roman" w:cs="Times New Roman"/>
          <w:sz w:val="24"/>
          <w:szCs w:val="24"/>
        </w:rPr>
        <w:t>Din analiza datelor cuprinse în raportările ordonatorilor principali de credite</w:t>
      </w:r>
      <w:r w:rsidR="003E2CF1" w:rsidRPr="00E0286C">
        <w:rPr>
          <w:rFonts w:ascii="Times New Roman" w:hAnsi="Times New Roman" w:cs="Times New Roman"/>
          <w:sz w:val="24"/>
          <w:szCs w:val="24"/>
        </w:rPr>
        <w:t>,</w:t>
      </w:r>
      <w:r w:rsidR="004C214C" w:rsidRPr="00E0286C">
        <w:rPr>
          <w:rFonts w:ascii="Times New Roman" w:hAnsi="Times New Roman" w:cs="Times New Roman"/>
          <w:sz w:val="24"/>
          <w:szCs w:val="24"/>
        </w:rPr>
        <w:t xml:space="preserve"> în anul </w:t>
      </w:r>
      <w:r w:rsidR="003E2CF1" w:rsidRPr="00E0286C">
        <w:rPr>
          <w:rFonts w:ascii="Times New Roman" w:hAnsi="Times New Roman" w:cs="Times New Roman"/>
          <w:sz w:val="24"/>
          <w:szCs w:val="24"/>
        </w:rPr>
        <w:t xml:space="preserve">2016 </w:t>
      </w:r>
      <w:r w:rsidR="004C214C" w:rsidRPr="00E0286C">
        <w:rPr>
          <w:rFonts w:ascii="Times New Roman" w:hAnsi="Times New Roman" w:cs="Times New Roman"/>
          <w:sz w:val="24"/>
          <w:szCs w:val="24"/>
        </w:rPr>
        <w:t>comparativ cu anul</w:t>
      </w:r>
      <w:r w:rsidR="003E2CF1" w:rsidRPr="00E0286C">
        <w:rPr>
          <w:rFonts w:ascii="Times New Roman" w:hAnsi="Times New Roman" w:cs="Times New Roman"/>
          <w:sz w:val="24"/>
          <w:szCs w:val="24"/>
        </w:rPr>
        <w:t xml:space="preserve"> 2015</w:t>
      </w:r>
      <w:r w:rsidRPr="00E0286C">
        <w:rPr>
          <w:rFonts w:ascii="Times New Roman" w:hAnsi="Times New Roman" w:cs="Times New Roman"/>
          <w:sz w:val="24"/>
          <w:szCs w:val="24"/>
        </w:rPr>
        <w:t xml:space="preserve">, </w:t>
      </w:r>
      <w:r w:rsidR="00AF4B8F" w:rsidRPr="00E0286C">
        <w:rPr>
          <w:rFonts w:ascii="Times New Roman" w:hAnsi="Times New Roman" w:cs="Times New Roman"/>
          <w:sz w:val="24"/>
          <w:szCs w:val="24"/>
        </w:rPr>
        <w:t xml:space="preserve">conform tabelului </w:t>
      </w:r>
      <w:r w:rsidR="00F50B97" w:rsidRPr="00E0286C">
        <w:rPr>
          <w:rFonts w:ascii="Times New Roman" w:hAnsi="Times New Roman" w:cs="Times New Roman"/>
          <w:sz w:val="24"/>
          <w:szCs w:val="24"/>
        </w:rPr>
        <w:t>nr. 3</w:t>
      </w:r>
      <w:r w:rsidR="00AF4B8F" w:rsidRPr="00E0286C">
        <w:rPr>
          <w:rFonts w:ascii="Times New Roman" w:hAnsi="Times New Roman" w:cs="Times New Roman"/>
          <w:sz w:val="24"/>
          <w:szCs w:val="24"/>
        </w:rPr>
        <w:t xml:space="preserve">, </w:t>
      </w:r>
      <w:r w:rsidRPr="00E0286C">
        <w:rPr>
          <w:rFonts w:ascii="Times New Roman" w:hAnsi="Times New Roman" w:cs="Times New Roman"/>
          <w:sz w:val="24"/>
          <w:szCs w:val="24"/>
        </w:rPr>
        <w:t>a rezultat următoarea situație:</w:t>
      </w:r>
    </w:p>
    <w:p w:rsidR="004C214C" w:rsidRPr="00E0286C" w:rsidRDefault="004C214C" w:rsidP="00E0286C">
      <w:pPr>
        <w:pStyle w:val="ListParagraph"/>
        <w:spacing w:line="276" w:lineRule="auto"/>
        <w:jc w:val="both"/>
        <w:rPr>
          <w:rFonts w:ascii="Times New Roman" w:hAnsi="Times New Roman" w:cs="Times New Roman"/>
          <w:b/>
          <w:sz w:val="24"/>
          <w:szCs w:val="24"/>
        </w:rPr>
      </w:pPr>
      <w:r w:rsidRPr="00E0286C">
        <w:rPr>
          <w:rFonts w:ascii="Times New Roman" w:hAnsi="Times New Roman" w:cs="Times New Roman"/>
          <w:b/>
          <w:sz w:val="24"/>
          <w:szCs w:val="24"/>
        </w:rPr>
        <w:t>Anul 2015</w:t>
      </w:r>
    </w:p>
    <w:p w:rsidR="00CC1648" w:rsidRPr="00E0286C" w:rsidRDefault="00A45B97" w:rsidP="00C7604C">
      <w:pPr>
        <w:pStyle w:val="ListParagraph"/>
        <w:numPr>
          <w:ilvl w:val="0"/>
          <w:numId w:val="19"/>
        </w:numPr>
        <w:spacing w:line="276" w:lineRule="auto"/>
        <w:jc w:val="both"/>
        <w:rPr>
          <w:rFonts w:ascii="Times New Roman" w:hAnsi="Times New Roman" w:cs="Times New Roman"/>
          <w:sz w:val="24"/>
          <w:szCs w:val="24"/>
        </w:rPr>
      </w:pPr>
      <w:r w:rsidRPr="00E0286C">
        <w:rPr>
          <w:rFonts w:ascii="Times New Roman" w:hAnsi="Times New Roman" w:cs="Times New Roman"/>
          <w:sz w:val="24"/>
          <w:szCs w:val="24"/>
        </w:rPr>
        <w:t>47</w:t>
      </w:r>
      <w:r w:rsidR="00CF002C" w:rsidRPr="00E0286C">
        <w:rPr>
          <w:rFonts w:ascii="Times New Roman" w:hAnsi="Times New Roman" w:cs="Times New Roman"/>
          <w:sz w:val="24"/>
          <w:szCs w:val="24"/>
        </w:rPr>
        <w:t xml:space="preserve"> din cei </w:t>
      </w:r>
      <w:r w:rsidRPr="00E0286C">
        <w:rPr>
          <w:rFonts w:ascii="Times New Roman" w:hAnsi="Times New Roman" w:cs="Times New Roman"/>
          <w:sz w:val="24"/>
          <w:szCs w:val="24"/>
        </w:rPr>
        <w:t>52</w:t>
      </w:r>
      <w:r w:rsidR="00CC1648" w:rsidRPr="00E0286C">
        <w:rPr>
          <w:rFonts w:ascii="Times New Roman" w:hAnsi="Times New Roman" w:cs="Times New Roman"/>
          <w:sz w:val="24"/>
          <w:szCs w:val="24"/>
        </w:rPr>
        <w:t xml:space="preserve"> </w:t>
      </w:r>
      <w:r w:rsidR="00CF002C" w:rsidRPr="00E0286C">
        <w:rPr>
          <w:rFonts w:ascii="Times New Roman" w:hAnsi="Times New Roman" w:cs="Times New Roman"/>
          <w:sz w:val="24"/>
          <w:szCs w:val="24"/>
        </w:rPr>
        <w:t xml:space="preserve">de ordonatori principali de credite, respectiv </w:t>
      </w:r>
      <w:r w:rsidRPr="00E0286C">
        <w:rPr>
          <w:rFonts w:ascii="Times New Roman" w:hAnsi="Times New Roman" w:cs="Times New Roman"/>
          <w:sz w:val="24"/>
          <w:szCs w:val="24"/>
        </w:rPr>
        <w:t>90,38</w:t>
      </w:r>
      <w:r w:rsidR="00CC1648" w:rsidRPr="00E0286C">
        <w:rPr>
          <w:rFonts w:ascii="Times New Roman" w:hAnsi="Times New Roman" w:cs="Times New Roman"/>
          <w:sz w:val="24"/>
          <w:szCs w:val="24"/>
        </w:rPr>
        <w:t xml:space="preserve">% </w:t>
      </w:r>
      <w:r w:rsidR="00CC1648" w:rsidRPr="00E0286C">
        <w:rPr>
          <w:rFonts w:ascii="Times New Roman" w:hAnsi="Times New Roman" w:cs="Times New Roman"/>
          <w:i/>
          <w:sz w:val="24"/>
          <w:szCs w:val="24"/>
        </w:rPr>
        <w:t xml:space="preserve">au implementat </w:t>
      </w:r>
      <w:r w:rsidR="00CC1648" w:rsidRPr="00E0286C">
        <w:rPr>
          <w:rFonts w:ascii="Times New Roman" w:hAnsi="Times New Roman" w:cs="Times New Roman"/>
          <w:sz w:val="24"/>
          <w:szCs w:val="24"/>
        </w:rPr>
        <w:t>acest standard;</w:t>
      </w:r>
    </w:p>
    <w:p w:rsidR="00CC1648" w:rsidRPr="00E0286C" w:rsidRDefault="00CC1648" w:rsidP="00C7604C">
      <w:pPr>
        <w:pStyle w:val="ListParagraph"/>
        <w:numPr>
          <w:ilvl w:val="0"/>
          <w:numId w:val="19"/>
        </w:numPr>
        <w:spacing w:line="276" w:lineRule="auto"/>
        <w:jc w:val="both"/>
        <w:rPr>
          <w:rFonts w:ascii="Times New Roman" w:hAnsi="Times New Roman" w:cs="Times New Roman"/>
          <w:sz w:val="24"/>
          <w:szCs w:val="24"/>
        </w:rPr>
      </w:pPr>
      <w:r w:rsidRPr="00E0286C">
        <w:rPr>
          <w:rFonts w:ascii="Times New Roman" w:hAnsi="Times New Roman" w:cs="Times New Roman"/>
          <w:sz w:val="24"/>
          <w:szCs w:val="24"/>
        </w:rPr>
        <w:t>5</w:t>
      </w:r>
      <w:r w:rsidR="00A45B97" w:rsidRPr="00E0286C">
        <w:rPr>
          <w:rFonts w:ascii="Times New Roman" w:hAnsi="Times New Roman" w:cs="Times New Roman"/>
          <w:sz w:val="24"/>
          <w:szCs w:val="24"/>
        </w:rPr>
        <w:t xml:space="preserve"> din cei 52</w:t>
      </w:r>
      <w:r w:rsidRPr="00E0286C">
        <w:rPr>
          <w:rFonts w:ascii="Times New Roman" w:hAnsi="Times New Roman" w:cs="Times New Roman"/>
          <w:sz w:val="24"/>
          <w:szCs w:val="24"/>
        </w:rPr>
        <w:t xml:space="preserve"> de ordonatori principali de credite,</w:t>
      </w:r>
      <w:r w:rsidR="00CF002C" w:rsidRPr="00E0286C">
        <w:rPr>
          <w:rFonts w:ascii="Times New Roman" w:hAnsi="Times New Roman" w:cs="Times New Roman"/>
          <w:sz w:val="24"/>
          <w:szCs w:val="24"/>
        </w:rPr>
        <w:t xml:space="preserve"> respectiv </w:t>
      </w:r>
      <w:r w:rsidR="00A45B97" w:rsidRPr="00E0286C">
        <w:rPr>
          <w:rFonts w:ascii="Times New Roman" w:hAnsi="Times New Roman" w:cs="Times New Roman"/>
          <w:sz w:val="24"/>
          <w:szCs w:val="24"/>
        </w:rPr>
        <w:t>9,62</w:t>
      </w:r>
      <w:r w:rsidRPr="00E0286C">
        <w:rPr>
          <w:rFonts w:ascii="Times New Roman" w:hAnsi="Times New Roman" w:cs="Times New Roman"/>
          <w:sz w:val="24"/>
          <w:szCs w:val="24"/>
        </w:rPr>
        <w:t xml:space="preserve">% </w:t>
      </w:r>
      <w:r w:rsidRPr="00E0286C">
        <w:rPr>
          <w:rFonts w:ascii="Times New Roman" w:hAnsi="Times New Roman" w:cs="Times New Roman"/>
          <w:i/>
          <w:sz w:val="24"/>
          <w:szCs w:val="24"/>
        </w:rPr>
        <w:t>au implementat parţial</w:t>
      </w:r>
      <w:r w:rsidRPr="00E0286C">
        <w:rPr>
          <w:rFonts w:ascii="Times New Roman" w:hAnsi="Times New Roman" w:cs="Times New Roman"/>
          <w:sz w:val="24"/>
          <w:szCs w:val="24"/>
        </w:rPr>
        <w:t xml:space="preserve"> acest standard.</w:t>
      </w:r>
    </w:p>
    <w:p w:rsidR="004C214C" w:rsidRPr="00E0286C" w:rsidRDefault="004C214C" w:rsidP="00E0286C">
      <w:pPr>
        <w:pStyle w:val="ListParagraph"/>
        <w:spacing w:line="276" w:lineRule="auto"/>
        <w:jc w:val="both"/>
        <w:rPr>
          <w:rFonts w:ascii="Times New Roman" w:hAnsi="Times New Roman" w:cs="Times New Roman"/>
          <w:b/>
          <w:sz w:val="24"/>
          <w:szCs w:val="24"/>
        </w:rPr>
      </w:pPr>
      <w:r w:rsidRPr="00E0286C">
        <w:rPr>
          <w:rFonts w:ascii="Times New Roman" w:hAnsi="Times New Roman" w:cs="Times New Roman"/>
          <w:b/>
          <w:sz w:val="24"/>
          <w:szCs w:val="24"/>
        </w:rPr>
        <w:t>Anul 2016</w:t>
      </w:r>
    </w:p>
    <w:p w:rsidR="004D30B2" w:rsidRPr="00E0286C" w:rsidRDefault="004D30B2" w:rsidP="00C7604C">
      <w:pPr>
        <w:pStyle w:val="ListParagraph"/>
        <w:numPr>
          <w:ilvl w:val="0"/>
          <w:numId w:val="20"/>
        </w:numPr>
        <w:spacing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47 din cei 50 de ordonatori principali de credite, respectiv 94,00% </w:t>
      </w:r>
      <w:r w:rsidRPr="00E0286C">
        <w:rPr>
          <w:rFonts w:ascii="Times New Roman" w:hAnsi="Times New Roman" w:cs="Times New Roman"/>
          <w:i/>
          <w:sz w:val="24"/>
          <w:szCs w:val="24"/>
        </w:rPr>
        <w:t xml:space="preserve">au implementat </w:t>
      </w:r>
      <w:r w:rsidRPr="00E0286C">
        <w:rPr>
          <w:rFonts w:ascii="Times New Roman" w:hAnsi="Times New Roman" w:cs="Times New Roman"/>
          <w:sz w:val="24"/>
          <w:szCs w:val="24"/>
        </w:rPr>
        <w:t>acest standard;</w:t>
      </w:r>
    </w:p>
    <w:p w:rsidR="004D30B2" w:rsidRPr="00E0286C" w:rsidRDefault="004D30B2" w:rsidP="00C7604C">
      <w:pPr>
        <w:pStyle w:val="ListParagraph"/>
        <w:numPr>
          <w:ilvl w:val="0"/>
          <w:numId w:val="20"/>
        </w:numPr>
        <w:spacing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3 din cei 50 de ordonatori principali de credite, respectiv 6,00% </w:t>
      </w:r>
      <w:r w:rsidRPr="00E0286C">
        <w:rPr>
          <w:rFonts w:ascii="Times New Roman" w:hAnsi="Times New Roman" w:cs="Times New Roman"/>
          <w:i/>
          <w:sz w:val="24"/>
          <w:szCs w:val="24"/>
        </w:rPr>
        <w:t>au implementat parţial</w:t>
      </w:r>
      <w:r w:rsidRPr="00E0286C">
        <w:rPr>
          <w:rFonts w:ascii="Times New Roman" w:hAnsi="Times New Roman" w:cs="Times New Roman"/>
          <w:sz w:val="24"/>
          <w:szCs w:val="24"/>
        </w:rPr>
        <w:t xml:space="preserve"> acest standard.</w:t>
      </w:r>
    </w:p>
    <w:p w:rsidR="00502F54" w:rsidRPr="00A50E2A" w:rsidRDefault="00867092" w:rsidP="00867092">
      <w:pPr>
        <w:tabs>
          <w:tab w:val="left" w:pos="7458"/>
        </w:tabs>
        <w:spacing w:line="276"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o-RO"/>
        </w:rPr>
        <w:drawing>
          <wp:anchor distT="0" distB="0" distL="114300" distR="114300" simplePos="0" relativeHeight="251660288" behindDoc="0" locked="0" layoutInCell="1" allowOverlap="1" wp14:anchorId="09F12855" wp14:editId="03A4ED45">
            <wp:simplePos x="0" y="0"/>
            <wp:positionH relativeFrom="column">
              <wp:posOffset>3219055</wp:posOffset>
            </wp:positionH>
            <wp:positionV relativeFrom="paragraph">
              <wp:posOffset>0</wp:posOffset>
            </wp:positionV>
            <wp:extent cx="2940685" cy="2230755"/>
            <wp:effectExtent l="0" t="0" r="12065" b="17145"/>
            <wp:wrapNone/>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anchor>
        </w:drawing>
      </w:r>
      <w:r w:rsidR="00502F54">
        <w:rPr>
          <w:rFonts w:ascii="Times New Roman" w:hAnsi="Times New Roman" w:cs="Times New Roman"/>
          <w:noProof/>
          <w:sz w:val="24"/>
          <w:szCs w:val="24"/>
          <w:lang w:eastAsia="ro-RO"/>
        </w:rPr>
        <w:drawing>
          <wp:inline distT="0" distB="0" distL="0" distR="0" wp14:anchorId="3CB93DF6" wp14:editId="298ADF02">
            <wp:extent cx="2940710" cy="2231136"/>
            <wp:effectExtent l="0" t="0" r="12065" b="1714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00502F54">
        <w:rPr>
          <w:rFonts w:ascii="Times New Roman" w:hAnsi="Times New Roman" w:cs="Times New Roman"/>
          <w:sz w:val="24"/>
          <w:szCs w:val="24"/>
        </w:rPr>
        <w:t xml:space="preserve"> </w:t>
      </w:r>
      <w:r>
        <w:rPr>
          <w:rFonts w:ascii="Times New Roman" w:hAnsi="Times New Roman" w:cs="Times New Roman"/>
          <w:sz w:val="24"/>
          <w:szCs w:val="24"/>
        </w:rPr>
        <w:tab/>
      </w:r>
    </w:p>
    <w:p w:rsidR="00E0286C" w:rsidRPr="00E0286C" w:rsidRDefault="00E0286C" w:rsidP="00E0286C">
      <w:pPr>
        <w:rPr>
          <w:rFonts w:ascii="Times New Roman" w:hAnsi="Times New Roman" w:cs="Times New Roman"/>
          <w:b/>
          <w:sz w:val="24"/>
          <w:szCs w:val="24"/>
        </w:rPr>
      </w:pPr>
      <w:r w:rsidRPr="00E0286C">
        <w:rPr>
          <w:rFonts w:ascii="Times New Roman" w:hAnsi="Times New Roman" w:cs="Times New Roman"/>
          <w:b/>
          <w:sz w:val="24"/>
          <w:szCs w:val="24"/>
        </w:rPr>
        <w:t>Standardul</w:t>
      </w:r>
      <w:r>
        <w:rPr>
          <w:rFonts w:ascii="Times New Roman" w:hAnsi="Times New Roman" w:cs="Times New Roman"/>
          <w:b/>
          <w:sz w:val="24"/>
          <w:szCs w:val="24"/>
        </w:rPr>
        <w:t xml:space="preserve"> 2</w:t>
      </w:r>
      <w:r w:rsidRPr="00E0286C">
        <w:rPr>
          <w:rFonts w:ascii="Times New Roman" w:hAnsi="Times New Roman" w:cs="Times New Roman"/>
          <w:b/>
          <w:sz w:val="24"/>
          <w:szCs w:val="24"/>
        </w:rPr>
        <w:t xml:space="preserve"> </w:t>
      </w:r>
      <w:r>
        <w:rPr>
          <w:rFonts w:ascii="Times New Roman" w:hAnsi="Times New Roman" w:cs="Times New Roman"/>
          <w:b/>
          <w:sz w:val="24"/>
          <w:szCs w:val="24"/>
        </w:rPr>
        <w:t>–</w:t>
      </w:r>
      <w:r w:rsidRPr="00E0286C">
        <w:rPr>
          <w:rFonts w:ascii="Times New Roman" w:hAnsi="Times New Roman" w:cs="Times New Roman"/>
          <w:b/>
          <w:sz w:val="24"/>
          <w:szCs w:val="24"/>
        </w:rPr>
        <w:t xml:space="preserve"> </w:t>
      </w:r>
      <w:r>
        <w:rPr>
          <w:rFonts w:ascii="Times New Roman" w:hAnsi="Times New Roman" w:cs="Times New Roman"/>
          <w:b/>
          <w:sz w:val="24"/>
          <w:szCs w:val="24"/>
        </w:rPr>
        <w:t>Atribuții, funcții, sarcini</w:t>
      </w:r>
    </w:p>
    <w:p w:rsidR="00CF002C" w:rsidRPr="00355D0C" w:rsidRDefault="00CF002C" w:rsidP="00261563">
      <w:pPr>
        <w:spacing w:line="276" w:lineRule="auto"/>
        <w:jc w:val="both"/>
        <w:rPr>
          <w:rFonts w:ascii="Times New Roman" w:hAnsi="Times New Roman" w:cs="Times New Roman"/>
          <w:sz w:val="24"/>
          <w:szCs w:val="24"/>
        </w:rPr>
      </w:pPr>
      <w:r w:rsidRPr="00355D0C">
        <w:rPr>
          <w:rFonts w:ascii="Times New Roman" w:hAnsi="Times New Roman" w:cs="Times New Roman"/>
          <w:sz w:val="24"/>
          <w:szCs w:val="24"/>
        </w:rPr>
        <w:t>Entităţile publice trebuie să ofere personalului propriu o descriere clară a atribuţiilor şi sarcinilor. Potrivit acestui standard entitatea publică trebuie să asigure întocmirea și actualizarea permanentă a documentului privind misiunea, a regulamentelor interne și a fișelor posturilor, pe care le comunică angajaților.</w:t>
      </w:r>
    </w:p>
    <w:p w:rsidR="00CF002C" w:rsidRDefault="00CF002C" w:rsidP="00261563">
      <w:pPr>
        <w:spacing w:line="276" w:lineRule="auto"/>
        <w:jc w:val="both"/>
        <w:rPr>
          <w:rFonts w:ascii="Times New Roman" w:hAnsi="Times New Roman" w:cs="Times New Roman"/>
          <w:sz w:val="24"/>
          <w:szCs w:val="24"/>
        </w:rPr>
      </w:pPr>
      <w:r w:rsidRPr="00355D0C">
        <w:rPr>
          <w:rFonts w:ascii="Times New Roman" w:hAnsi="Times New Roman" w:cs="Times New Roman"/>
          <w:sz w:val="24"/>
          <w:szCs w:val="24"/>
        </w:rPr>
        <w:t>De asemenea, informaţii cu privire la atribuţii, funcţii şi sarcini sunt prevăzute şi în regulamentul de organizare şi funcţionare. Prin intermediul acestui instrument de natură managerială se descrie mecanismul de funcţionare a structurilor în ansamblul lor, sunt stabilite relaţiile interne, ierarhice şi funcţionale de organizare</w:t>
      </w:r>
      <w:r>
        <w:rPr>
          <w:rFonts w:ascii="Times New Roman" w:hAnsi="Times New Roman" w:cs="Times New Roman"/>
          <w:sz w:val="24"/>
          <w:szCs w:val="24"/>
        </w:rPr>
        <w:t>.</w:t>
      </w:r>
    </w:p>
    <w:p w:rsidR="00CF002C" w:rsidRDefault="006E0894" w:rsidP="00261563">
      <w:pPr>
        <w:spacing w:line="276" w:lineRule="auto"/>
        <w:jc w:val="both"/>
        <w:rPr>
          <w:rFonts w:ascii="Times New Roman" w:hAnsi="Times New Roman" w:cs="Times New Roman"/>
          <w:i/>
          <w:sz w:val="24"/>
          <w:szCs w:val="24"/>
          <w:lang w:val="en-US"/>
        </w:rPr>
      </w:pPr>
      <w:r w:rsidRPr="00AD1A0C">
        <w:rPr>
          <w:rFonts w:ascii="Times New Roman" w:hAnsi="Times New Roman" w:cs="Times New Roman"/>
          <w:i/>
          <w:sz w:val="24"/>
          <w:szCs w:val="24"/>
        </w:rPr>
        <w:t>În cadrul acestui standard</w:t>
      </w:r>
      <w:r w:rsidR="00CF002C" w:rsidRPr="00AD1A0C">
        <w:rPr>
          <w:rFonts w:ascii="Times New Roman" w:hAnsi="Times New Roman" w:cs="Times New Roman"/>
          <w:i/>
          <w:sz w:val="24"/>
          <w:szCs w:val="24"/>
        </w:rPr>
        <w:t xml:space="preserve"> </w:t>
      </w:r>
      <w:r w:rsidRPr="00AD1A0C">
        <w:rPr>
          <w:rFonts w:ascii="Times New Roman" w:hAnsi="Times New Roman" w:cs="Times New Roman"/>
          <w:i/>
          <w:sz w:val="24"/>
          <w:szCs w:val="24"/>
        </w:rPr>
        <w:t>s</w:t>
      </w:r>
      <w:r w:rsidR="00CF002C" w:rsidRPr="00AD1A0C">
        <w:rPr>
          <w:rFonts w:ascii="Times New Roman" w:hAnsi="Times New Roman" w:cs="Times New Roman"/>
          <w:i/>
          <w:sz w:val="24"/>
          <w:szCs w:val="24"/>
        </w:rPr>
        <w:t>unt identificate funcţiile sensibile</w:t>
      </w:r>
      <w:r w:rsidR="00CF002C" w:rsidRPr="00AD1A0C">
        <w:rPr>
          <w:rFonts w:ascii="Courier New" w:hAnsi="Courier New" w:cs="Courier New"/>
          <w:i/>
          <w:lang w:val="en-US"/>
        </w:rPr>
        <w:t xml:space="preserve"> </w:t>
      </w:r>
      <w:r w:rsidR="00CF002C" w:rsidRPr="00AD1A0C">
        <w:rPr>
          <w:rFonts w:ascii="Times New Roman" w:hAnsi="Times New Roman" w:cs="Times New Roman"/>
          <w:i/>
          <w:sz w:val="24"/>
          <w:szCs w:val="24"/>
          <w:lang w:val="en-US"/>
        </w:rPr>
        <w:t>şi funcţiile considerate ca fiind expuse, în mod special, la corupţie şi este stabilită o politică adecvată de gestionare a personalului care ocupă astfel de funcţii.</w:t>
      </w:r>
    </w:p>
    <w:p w:rsidR="004D30B2" w:rsidRPr="001B2B79" w:rsidRDefault="004D30B2" w:rsidP="00261563">
      <w:pPr>
        <w:spacing w:line="276" w:lineRule="auto"/>
        <w:jc w:val="both"/>
        <w:rPr>
          <w:rFonts w:ascii="Times New Roman" w:hAnsi="Times New Roman" w:cs="Times New Roman"/>
          <w:sz w:val="24"/>
          <w:szCs w:val="24"/>
        </w:rPr>
      </w:pPr>
      <w:r w:rsidRPr="00A45B97">
        <w:rPr>
          <w:rFonts w:ascii="Times New Roman" w:hAnsi="Times New Roman" w:cs="Times New Roman"/>
          <w:sz w:val="24"/>
          <w:szCs w:val="24"/>
        </w:rPr>
        <w:t>Din analiza datelor cuprinse în raportările ordonatorilor principali de credite</w:t>
      </w:r>
      <w:r w:rsidR="003E2CF1">
        <w:rPr>
          <w:rFonts w:ascii="Times New Roman" w:hAnsi="Times New Roman" w:cs="Times New Roman"/>
          <w:sz w:val="24"/>
          <w:szCs w:val="24"/>
        </w:rPr>
        <w:t>,</w:t>
      </w:r>
      <w:r>
        <w:rPr>
          <w:rFonts w:ascii="Times New Roman" w:hAnsi="Times New Roman" w:cs="Times New Roman"/>
          <w:sz w:val="24"/>
          <w:szCs w:val="24"/>
        </w:rPr>
        <w:t xml:space="preserve"> </w:t>
      </w:r>
      <w:r w:rsidR="003E2CF1" w:rsidRPr="00D6319B">
        <w:rPr>
          <w:rFonts w:ascii="Times New Roman" w:hAnsi="Times New Roman" w:cs="Times New Roman"/>
          <w:i/>
          <w:sz w:val="24"/>
          <w:szCs w:val="24"/>
        </w:rPr>
        <w:t>în anul 2016</w:t>
      </w:r>
      <w:r w:rsidR="003E2CF1" w:rsidRPr="001B2B79">
        <w:rPr>
          <w:rFonts w:ascii="Times New Roman" w:hAnsi="Times New Roman" w:cs="Times New Roman"/>
          <w:sz w:val="24"/>
          <w:szCs w:val="24"/>
        </w:rPr>
        <w:t xml:space="preserve"> comparativ cu </w:t>
      </w:r>
      <w:r w:rsidR="003E2CF1" w:rsidRPr="00D6319B">
        <w:rPr>
          <w:rFonts w:ascii="Times New Roman" w:hAnsi="Times New Roman" w:cs="Times New Roman"/>
          <w:i/>
          <w:sz w:val="24"/>
          <w:szCs w:val="24"/>
        </w:rPr>
        <w:t>anul 2015</w:t>
      </w:r>
      <w:r w:rsidRPr="001B2B79">
        <w:rPr>
          <w:rFonts w:ascii="Times New Roman" w:hAnsi="Times New Roman" w:cs="Times New Roman"/>
          <w:sz w:val="24"/>
          <w:szCs w:val="24"/>
        </w:rPr>
        <w:t xml:space="preserve">, conform tabelului </w:t>
      </w:r>
      <w:r w:rsidR="00F50B97" w:rsidRPr="001B2B79">
        <w:rPr>
          <w:rFonts w:ascii="Times New Roman" w:hAnsi="Times New Roman" w:cs="Times New Roman"/>
          <w:sz w:val="24"/>
          <w:szCs w:val="24"/>
        </w:rPr>
        <w:t>nr. 3</w:t>
      </w:r>
      <w:r w:rsidRPr="001B2B79">
        <w:rPr>
          <w:rFonts w:ascii="Times New Roman" w:hAnsi="Times New Roman" w:cs="Times New Roman"/>
          <w:sz w:val="24"/>
          <w:szCs w:val="24"/>
        </w:rPr>
        <w:t>, a rezultat următoarea situație:</w:t>
      </w:r>
    </w:p>
    <w:p w:rsidR="004D30B2" w:rsidRPr="00261563" w:rsidRDefault="004D30B2" w:rsidP="00261563">
      <w:pPr>
        <w:pStyle w:val="ListParagraph"/>
        <w:spacing w:line="276" w:lineRule="auto"/>
        <w:jc w:val="both"/>
        <w:rPr>
          <w:rFonts w:ascii="Times New Roman" w:hAnsi="Times New Roman" w:cs="Times New Roman"/>
          <w:b/>
          <w:sz w:val="24"/>
          <w:szCs w:val="24"/>
        </w:rPr>
      </w:pPr>
      <w:r w:rsidRPr="00261563">
        <w:rPr>
          <w:rFonts w:ascii="Times New Roman" w:hAnsi="Times New Roman" w:cs="Times New Roman"/>
          <w:b/>
          <w:sz w:val="24"/>
          <w:szCs w:val="24"/>
        </w:rPr>
        <w:t>Anul 2015</w:t>
      </w:r>
    </w:p>
    <w:p w:rsidR="004D30B2" w:rsidRPr="001B2B79" w:rsidRDefault="004D30B2" w:rsidP="00C7604C">
      <w:pPr>
        <w:pStyle w:val="ListParagraph"/>
        <w:numPr>
          <w:ilvl w:val="0"/>
          <w:numId w:val="21"/>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30 din cei 52 de ordonatori principali de credite, respectiv 57,69% </w:t>
      </w:r>
      <w:r w:rsidRPr="001B2B79">
        <w:rPr>
          <w:rFonts w:ascii="Times New Roman" w:hAnsi="Times New Roman" w:cs="Times New Roman"/>
          <w:i/>
          <w:sz w:val="24"/>
          <w:szCs w:val="24"/>
        </w:rPr>
        <w:t xml:space="preserve">au implementat </w:t>
      </w:r>
      <w:r w:rsidRPr="001B2B79">
        <w:rPr>
          <w:rFonts w:ascii="Times New Roman" w:hAnsi="Times New Roman" w:cs="Times New Roman"/>
          <w:sz w:val="24"/>
          <w:szCs w:val="24"/>
        </w:rPr>
        <w:t>acest standard;</w:t>
      </w:r>
    </w:p>
    <w:p w:rsidR="004D30B2" w:rsidRPr="001B2B79" w:rsidRDefault="004D30B2" w:rsidP="00C7604C">
      <w:pPr>
        <w:pStyle w:val="ListParagraph"/>
        <w:numPr>
          <w:ilvl w:val="0"/>
          <w:numId w:val="21"/>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18 din cei 52 de ordonatori principali de credite, respectiv 34,62% </w:t>
      </w:r>
      <w:r w:rsidRPr="001B2B79">
        <w:rPr>
          <w:rFonts w:ascii="Times New Roman" w:hAnsi="Times New Roman" w:cs="Times New Roman"/>
          <w:i/>
          <w:sz w:val="24"/>
          <w:szCs w:val="24"/>
        </w:rPr>
        <w:t>au</w:t>
      </w:r>
      <w:r w:rsidRPr="001B2B79">
        <w:rPr>
          <w:rFonts w:ascii="Times New Roman" w:hAnsi="Times New Roman" w:cs="Times New Roman"/>
          <w:sz w:val="24"/>
          <w:szCs w:val="24"/>
        </w:rPr>
        <w:t xml:space="preserve"> </w:t>
      </w:r>
      <w:r w:rsidRPr="001B2B79">
        <w:rPr>
          <w:rFonts w:ascii="Times New Roman" w:hAnsi="Times New Roman" w:cs="Times New Roman"/>
          <w:i/>
          <w:sz w:val="24"/>
          <w:szCs w:val="24"/>
        </w:rPr>
        <w:t xml:space="preserve">implementat parţial </w:t>
      </w:r>
      <w:r w:rsidRPr="001B2B79">
        <w:rPr>
          <w:rFonts w:ascii="Times New Roman" w:hAnsi="Times New Roman" w:cs="Times New Roman"/>
          <w:sz w:val="24"/>
          <w:szCs w:val="24"/>
        </w:rPr>
        <w:t>acest standard;</w:t>
      </w:r>
    </w:p>
    <w:p w:rsidR="004D30B2" w:rsidRPr="001B2B79" w:rsidRDefault="004D30B2" w:rsidP="00C7604C">
      <w:pPr>
        <w:pStyle w:val="ListParagraph"/>
        <w:numPr>
          <w:ilvl w:val="0"/>
          <w:numId w:val="21"/>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4 din cei 52 de ordonatori principali de credite, respectiv 7,69</w:t>
      </w:r>
      <w:r w:rsidRPr="001B2B79">
        <w:rPr>
          <w:rFonts w:ascii="Times New Roman" w:hAnsi="Times New Roman" w:cs="Times New Roman"/>
          <w:i/>
          <w:sz w:val="24"/>
          <w:szCs w:val="24"/>
        </w:rPr>
        <w:t xml:space="preserve">%  nu au implementat </w:t>
      </w:r>
      <w:r w:rsidRPr="001B2B79">
        <w:rPr>
          <w:rFonts w:ascii="Times New Roman" w:hAnsi="Times New Roman" w:cs="Times New Roman"/>
          <w:sz w:val="24"/>
          <w:szCs w:val="24"/>
        </w:rPr>
        <w:t>acest standard.</w:t>
      </w:r>
    </w:p>
    <w:p w:rsidR="004D30B2" w:rsidRPr="00261563" w:rsidRDefault="004D30B2" w:rsidP="00261563">
      <w:pPr>
        <w:pStyle w:val="ListParagraph"/>
        <w:spacing w:line="276" w:lineRule="auto"/>
        <w:jc w:val="both"/>
        <w:rPr>
          <w:rFonts w:ascii="Times New Roman" w:hAnsi="Times New Roman" w:cs="Times New Roman"/>
          <w:b/>
          <w:sz w:val="24"/>
          <w:szCs w:val="24"/>
        </w:rPr>
      </w:pPr>
      <w:r w:rsidRPr="00261563">
        <w:rPr>
          <w:rFonts w:ascii="Times New Roman" w:hAnsi="Times New Roman" w:cs="Times New Roman"/>
          <w:b/>
          <w:sz w:val="24"/>
          <w:szCs w:val="24"/>
        </w:rPr>
        <w:t>Anul 2016</w:t>
      </w:r>
    </w:p>
    <w:p w:rsidR="004D30B2" w:rsidRPr="001B2B79" w:rsidRDefault="004D30B2" w:rsidP="00C7604C">
      <w:pPr>
        <w:pStyle w:val="ListParagraph"/>
        <w:numPr>
          <w:ilvl w:val="0"/>
          <w:numId w:val="22"/>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26 din cei 50 de ordonatori principali de credite, respectiv 52,00% </w:t>
      </w:r>
      <w:r w:rsidRPr="001B2B79">
        <w:rPr>
          <w:rFonts w:ascii="Times New Roman" w:hAnsi="Times New Roman" w:cs="Times New Roman"/>
          <w:i/>
          <w:sz w:val="24"/>
          <w:szCs w:val="24"/>
        </w:rPr>
        <w:t xml:space="preserve">au implementat </w:t>
      </w:r>
      <w:r w:rsidRPr="001B2B79">
        <w:rPr>
          <w:rFonts w:ascii="Times New Roman" w:hAnsi="Times New Roman" w:cs="Times New Roman"/>
          <w:sz w:val="24"/>
          <w:szCs w:val="24"/>
        </w:rPr>
        <w:t>acest standard;</w:t>
      </w:r>
    </w:p>
    <w:p w:rsidR="004D30B2" w:rsidRPr="001B2B79" w:rsidRDefault="004D30B2" w:rsidP="00C7604C">
      <w:pPr>
        <w:pStyle w:val="ListParagraph"/>
        <w:numPr>
          <w:ilvl w:val="0"/>
          <w:numId w:val="22"/>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19 din cei 50 de ordonatori principali de credite, respectiv 38,00% </w:t>
      </w:r>
      <w:r w:rsidRPr="001B2B79">
        <w:rPr>
          <w:rFonts w:ascii="Times New Roman" w:hAnsi="Times New Roman" w:cs="Times New Roman"/>
          <w:i/>
          <w:sz w:val="24"/>
          <w:szCs w:val="24"/>
        </w:rPr>
        <w:t>au</w:t>
      </w:r>
      <w:r w:rsidRPr="001B2B79">
        <w:rPr>
          <w:rFonts w:ascii="Times New Roman" w:hAnsi="Times New Roman" w:cs="Times New Roman"/>
          <w:sz w:val="24"/>
          <w:szCs w:val="24"/>
        </w:rPr>
        <w:t xml:space="preserve"> </w:t>
      </w:r>
      <w:r w:rsidRPr="001B2B79">
        <w:rPr>
          <w:rFonts w:ascii="Times New Roman" w:hAnsi="Times New Roman" w:cs="Times New Roman"/>
          <w:i/>
          <w:sz w:val="24"/>
          <w:szCs w:val="24"/>
        </w:rPr>
        <w:t xml:space="preserve">implementat parţial </w:t>
      </w:r>
      <w:r w:rsidRPr="001B2B79">
        <w:rPr>
          <w:rFonts w:ascii="Times New Roman" w:hAnsi="Times New Roman" w:cs="Times New Roman"/>
          <w:sz w:val="24"/>
          <w:szCs w:val="24"/>
        </w:rPr>
        <w:t>acest standard;</w:t>
      </w:r>
    </w:p>
    <w:p w:rsidR="004D30B2" w:rsidRPr="001B2B79" w:rsidRDefault="00261563" w:rsidP="00C7604C">
      <w:pPr>
        <w:pStyle w:val="ListParagraph"/>
        <w:numPr>
          <w:ilvl w:val="0"/>
          <w:numId w:val="22"/>
        </w:num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662336" behindDoc="0" locked="0" layoutInCell="1" allowOverlap="1" wp14:anchorId="55FF058C" wp14:editId="3384B463">
            <wp:simplePos x="0" y="0"/>
            <wp:positionH relativeFrom="column">
              <wp:posOffset>3099435</wp:posOffset>
            </wp:positionH>
            <wp:positionV relativeFrom="paragraph">
              <wp:posOffset>440690</wp:posOffset>
            </wp:positionV>
            <wp:extent cx="3014345" cy="1883410"/>
            <wp:effectExtent l="0" t="0" r="14605" b="2540"/>
            <wp:wrapNone/>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lang w:eastAsia="ro-RO"/>
        </w:rPr>
        <w:drawing>
          <wp:anchor distT="0" distB="0" distL="114300" distR="114300" simplePos="0" relativeHeight="251706368" behindDoc="1" locked="0" layoutInCell="1" allowOverlap="1">
            <wp:simplePos x="0" y="0"/>
            <wp:positionH relativeFrom="column">
              <wp:posOffset>13473</wp:posOffset>
            </wp:positionH>
            <wp:positionV relativeFrom="paragraph">
              <wp:posOffset>440055</wp:posOffset>
            </wp:positionV>
            <wp:extent cx="2940685" cy="1860550"/>
            <wp:effectExtent l="0" t="0" r="12065" b="6350"/>
            <wp:wrapNone/>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V relativeFrom="margin">
              <wp14:pctHeight>0</wp14:pctHeight>
            </wp14:sizeRelV>
          </wp:anchor>
        </w:drawing>
      </w:r>
      <w:r w:rsidR="004D30B2" w:rsidRPr="001B2B79">
        <w:rPr>
          <w:rFonts w:ascii="Times New Roman" w:hAnsi="Times New Roman" w:cs="Times New Roman"/>
          <w:sz w:val="24"/>
          <w:szCs w:val="24"/>
        </w:rPr>
        <w:t>5 din cei 50 de ordonatori principali de credite, respectiv 10,00</w:t>
      </w:r>
      <w:r w:rsidR="004D30B2" w:rsidRPr="001B2B79">
        <w:rPr>
          <w:rFonts w:ascii="Times New Roman" w:hAnsi="Times New Roman" w:cs="Times New Roman"/>
          <w:i/>
          <w:sz w:val="24"/>
          <w:szCs w:val="24"/>
        </w:rPr>
        <w:t xml:space="preserve">%  nu au implementat </w:t>
      </w:r>
      <w:r w:rsidR="004D30B2" w:rsidRPr="001B2B79">
        <w:rPr>
          <w:rFonts w:ascii="Times New Roman" w:hAnsi="Times New Roman" w:cs="Times New Roman"/>
          <w:sz w:val="24"/>
          <w:szCs w:val="24"/>
        </w:rPr>
        <w:t>acest standard.</w:t>
      </w:r>
      <w:r w:rsidRPr="00261563">
        <w:rPr>
          <w:rFonts w:ascii="Times New Roman" w:hAnsi="Times New Roman" w:cs="Times New Roman"/>
          <w:noProof/>
          <w:sz w:val="24"/>
          <w:szCs w:val="24"/>
          <w:lang w:eastAsia="ro-RO"/>
        </w:rPr>
        <w:t xml:space="preserve"> </w:t>
      </w:r>
    </w:p>
    <w:p w:rsidR="007B1291" w:rsidRPr="00D60941" w:rsidRDefault="007B1291" w:rsidP="00D60941">
      <w:pPr>
        <w:spacing w:line="276" w:lineRule="auto"/>
        <w:jc w:val="both"/>
        <w:rPr>
          <w:rFonts w:ascii="Times New Roman" w:hAnsi="Times New Roman" w:cs="Times New Roman"/>
          <w:sz w:val="24"/>
          <w:szCs w:val="24"/>
        </w:rPr>
      </w:pPr>
    </w:p>
    <w:p w:rsidR="007B1291" w:rsidRDefault="007B1291" w:rsidP="003E4A5F">
      <w:pPr>
        <w:pStyle w:val="ListParagraph"/>
        <w:spacing w:line="276" w:lineRule="auto"/>
        <w:ind w:left="1485"/>
        <w:jc w:val="both"/>
        <w:rPr>
          <w:rFonts w:ascii="Times New Roman" w:hAnsi="Times New Roman" w:cs="Times New Roman"/>
          <w:sz w:val="24"/>
          <w:szCs w:val="24"/>
        </w:rPr>
      </w:pPr>
    </w:p>
    <w:p w:rsidR="007B1291" w:rsidRDefault="007B1291" w:rsidP="003E4A5F">
      <w:pPr>
        <w:pStyle w:val="ListParagraph"/>
        <w:spacing w:line="276" w:lineRule="auto"/>
        <w:ind w:left="1485"/>
        <w:jc w:val="both"/>
        <w:rPr>
          <w:rFonts w:ascii="Times New Roman" w:hAnsi="Times New Roman" w:cs="Times New Roman"/>
          <w:sz w:val="24"/>
          <w:szCs w:val="24"/>
        </w:rPr>
      </w:pPr>
    </w:p>
    <w:p w:rsidR="00261563" w:rsidRDefault="00261563">
      <w:pPr>
        <w:rPr>
          <w:rFonts w:ascii="Times New Roman" w:hAnsi="Times New Roman" w:cs="Times New Roman"/>
          <w:b/>
          <w:i/>
          <w:outline/>
          <w:color w:val="4472C4"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Pr>
          <w:rFonts w:ascii="Times New Roman" w:hAnsi="Times New Roman" w:cs="Times New Roman"/>
          <w:b/>
          <w:i/>
          <w:outline/>
          <w:color w:val="4472C4"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br w:type="page"/>
      </w:r>
    </w:p>
    <w:p w:rsidR="00CF002C" w:rsidRPr="005C67DD" w:rsidRDefault="009505E7" w:rsidP="005C67DD">
      <w:pPr>
        <w:rPr>
          <w:rFonts w:ascii="Times New Roman" w:hAnsi="Times New Roman" w:cs="Times New Roman"/>
          <w:b/>
          <w:sz w:val="24"/>
          <w:szCs w:val="24"/>
        </w:rPr>
      </w:pPr>
      <w:r w:rsidRPr="005C67DD">
        <w:rPr>
          <w:rFonts w:ascii="Times New Roman" w:hAnsi="Times New Roman" w:cs="Times New Roman"/>
          <w:b/>
          <w:sz w:val="24"/>
          <w:szCs w:val="24"/>
        </w:rPr>
        <w:t>S</w:t>
      </w:r>
      <w:r w:rsidR="005C67DD" w:rsidRPr="005C67DD">
        <w:rPr>
          <w:rFonts w:ascii="Times New Roman" w:hAnsi="Times New Roman" w:cs="Times New Roman"/>
          <w:b/>
          <w:sz w:val="24"/>
          <w:szCs w:val="24"/>
        </w:rPr>
        <w:t>tandardul</w:t>
      </w:r>
      <w:r w:rsidRPr="005C67DD">
        <w:rPr>
          <w:rFonts w:ascii="Times New Roman" w:hAnsi="Times New Roman" w:cs="Times New Roman"/>
          <w:b/>
          <w:sz w:val="24"/>
          <w:szCs w:val="24"/>
        </w:rPr>
        <w:t xml:space="preserve"> 3 - </w:t>
      </w:r>
      <w:r w:rsidR="00CF002C" w:rsidRPr="005C67DD">
        <w:rPr>
          <w:rFonts w:ascii="Times New Roman" w:hAnsi="Times New Roman" w:cs="Times New Roman"/>
          <w:b/>
          <w:sz w:val="24"/>
          <w:szCs w:val="24"/>
        </w:rPr>
        <w:t>C</w:t>
      </w:r>
      <w:r w:rsidR="005C67DD" w:rsidRPr="005C67DD">
        <w:rPr>
          <w:rFonts w:ascii="Times New Roman" w:hAnsi="Times New Roman" w:cs="Times New Roman"/>
          <w:b/>
          <w:sz w:val="24"/>
          <w:szCs w:val="24"/>
        </w:rPr>
        <w:t>ompetenţa</w:t>
      </w:r>
      <w:r w:rsidR="00CF002C" w:rsidRPr="005C67DD">
        <w:rPr>
          <w:rFonts w:ascii="Times New Roman" w:hAnsi="Times New Roman" w:cs="Times New Roman"/>
          <w:b/>
          <w:sz w:val="24"/>
          <w:szCs w:val="24"/>
        </w:rPr>
        <w:t xml:space="preserve">, </w:t>
      </w:r>
      <w:r w:rsidR="005C67DD" w:rsidRPr="005C67DD">
        <w:rPr>
          <w:rFonts w:ascii="Times New Roman" w:hAnsi="Times New Roman" w:cs="Times New Roman"/>
          <w:b/>
          <w:sz w:val="24"/>
          <w:szCs w:val="24"/>
        </w:rPr>
        <w:t>performanţa</w:t>
      </w:r>
    </w:p>
    <w:p w:rsidR="00CF002C" w:rsidRDefault="00CF002C" w:rsidP="005C67DD">
      <w:pPr>
        <w:spacing w:line="276" w:lineRule="auto"/>
        <w:jc w:val="both"/>
        <w:rPr>
          <w:rFonts w:ascii="Times New Roman" w:hAnsi="Times New Roman" w:cs="Times New Roman"/>
          <w:sz w:val="24"/>
          <w:szCs w:val="24"/>
        </w:rPr>
      </w:pPr>
      <w:r w:rsidRPr="00E647AD">
        <w:rPr>
          <w:rFonts w:ascii="Times New Roman" w:hAnsi="Times New Roman" w:cs="Times New Roman"/>
          <w:sz w:val="24"/>
          <w:szCs w:val="24"/>
        </w:rPr>
        <w:t>Entitatea publică trebuie să implementeze politici şi practici care să asigure ocuparea posturilor de către persoane competente, cărora să le încredințeze sarcini de serviciu potrivit competențelor, şi totodată trebuie să le asigure condiţii pentru dezvoltarea capacităţii profesionale.</w:t>
      </w:r>
    </w:p>
    <w:p w:rsidR="00CF002C" w:rsidRPr="00091300" w:rsidRDefault="00CF002C" w:rsidP="005C67DD">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Entitatea publică trebuie să evalueze anual </w:t>
      </w:r>
      <w:r>
        <w:rPr>
          <w:rFonts w:ascii="Times New Roman" w:hAnsi="Times New Roman" w:cs="Times New Roman"/>
          <w:sz w:val="24"/>
          <w:szCs w:val="24"/>
          <w:lang w:val="en-US"/>
        </w:rPr>
        <w:t>p</w:t>
      </w:r>
      <w:r w:rsidRPr="00091300">
        <w:rPr>
          <w:rFonts w:ascii="Times New Roman" w:hAnsi="Times New Roman" w:cs="Times New Roman"/>
          <w:sz w:val="24"/>
          <w:szCs w:val="24"/>
          <w:lang w:val="en-US"/>
        </w:rPr>
        <w:t>erformanţele profesionale individuale ale angajaţilor anual în scopul confirmării cunoştinţelor profesionale, aptitudinilor şi abilităţilor necesare îndeplinirii sarcinilor şi re</w:t>
      </w:r>
      <w:r>
        <w:rPr>
          <w:rFonts w:ascii="Times New Roman" w:hAnsi="Times New Roman" w:cs="Times New Roman"/>
          <w:sz w:val="24"/>
          <w:szCs w:val="24"/>
          <w:lang w:val="en-US"/>
        </w:rPr>
        <w:t>sponsabilităţilor încredinţate.</w:t>
      </w:r>
    </w:p>
    <w:p w:rsidR="00CF002C" w:rsidRDefault="00CF002C" w:rsidP="005C67DD">
      <w:pPr>
        <w:spacing w:line="276" w:lineRule="auto"/>
        <w:jc w:val="both"/>
        <w:rPr>
          <w:rFonts w:ascii="Times New Roman" w:hAnsi="Times New Roman" w:cs="Times New Roman"/>
          <w:sz w:val="24"/>
          <w:szCs w:val="24"/>
        </w:rPr>
      </w:pPr>
      <w:r w:rsidRPr="00E647AD">
        <w:rPr>
          <w:rFonts w:ascii="Times New Roman" w:hAnsi="Times New Roman" w:cs="Times New Roman"/>
          <w:sz w:val="24"/>
          <w:szCs w:val="24"/>
        </w:rPr>
        <w:t>Atât managerii cât şi angajaţii trebuie să deţină cunoştinţele, abilităţile şi experienţa necesare pentru realizarea sarcinilor care le sunt atribuite în vederea atingerii obiectivelor stabilite.</w:t>
      </w:r>
    </w:p>
    <w:p w:rsidR="004D30B2" w:rsidRPr="001B2B79" w:rsidRDefault="004D30B2" w:rsidP="005C67DD">
      <w:pPr>
        <w:spacing w:line="276" w:lineRule="auto"/>
        <w:jc w:val="both"/>
        <w:rPr>
          <w:rFonts w:ascii="Times New Roman" w:hAnsi="Times New Roman" w:cs="Times New Roman"/>
          <w:sz w:val="24"/>
          <w:szCs w:val="24"/>
        </w:rPr>
      </w:pPr>
      <w:r w:rsidRPr="00A45B97">
        <w:rPr>
          <w:rFonts w:ascii="Times New Roman" w:hAnsi="Times New Roman" w:cs="Times New Roman"/>
          <w:sz w:val="24"/>
          <w:szCs w:val="24"/>
        </w:rPr>
        <w:t>Din analiza datelor cuprinse în raportările ordonatorilor principali de credite</w:t>
      </w:r>
      <w:r w:rsidR="003E2CF1" w:rsidRPr="001B2B79">
        <w:rPr>
          <w:rFonts w:ascii="Times New Roman" w:hAnsi="Times New Roman" w:cs="Times New Roman"/>
          <w:sz w:val="24"/>
          <w:szCs w:val="24"/>
        </w:rPr>
        <w:t>,</w:t>
      </w:r>
      <w:r w:rsidRPr="001B2B79">
        <w:rPr>
          <w:rFonts w:ascii="Times New Roman" w:hAnsi="Times New Roman" w:cs="Times New Roman"/>
          <w:sz w:val="24"/>
          <w:szCs w:val="24"/>
        </w:rPr>
        <w:t xml:space="preserve"> </w:t>
      </w:r>
      <w:r w:rsidR="003E2CF1" w:rsidRPr="00D6319B">
        <w:rPr>
          <w:rFonts w:ascii="Times New Roman" w:hAnsi="Times New Roman" w:cs="Times New Roman"/>
          <w:i/>
          <w:sz w:val="24"/>
          <w:szCs w:val="24"/>
        </w:rPr>
        <w:t>în anul 2016</w:t>
      </w:r>
      <w:r w:rsidR="003E2CF1" w:rsidRPr="001B2B79">
        <w:rPr>
          <w:rFonts w:ascii="Times New Roman" w:hAnsi="Times New Roman" w:cs="Times New Roman"/>
          <w:sz w:val="24"/>
          <w:szCs w:val="24"/>
        </w:rPr>
        <w:t xml:space="preserve"> comparativ cu </w:t>
      </w:r>
      <w:r w:rsidR="003E2CF1" w:rsidRPr="00D6319B">
        <w:rPr>
          <w:rFonts w:ascii="Times New Roman" w:hAnsi="Times New Roman" w:cs="Times New Roman"/>
          <w:i/>
          <w:sz w:val="24"/>
          <w:szCs w:val="24"/>
        </w:rPr>
        <w:t>anul 2015</w:t>
      </w:r>
      <w:r w:rsidRPr="001B2B79">
        <w:rPr>
          <w:rFonts w:ascii="Times New Roman" w:hAnsi="Times New Roman" w:cs="Times New Roman"/>
          <w:sz w:val="24"/>
          <w:szCs w:val="24"/>
        </w:rPr>
        <w:t xml:space="preserve">, conform tabelului </w:t>
      </w:r>
      <w:r w:rsidR="00F50B97" w:rsidRPr="001B2B79">
        <w:rPr>
          <w:rFonts w:ascii="Times New Roman" w:hAnsi="Times New Roman" w:cs="Times New Roman"/>
          <w:sz w:val="24"/>
          <w:szCs w:val="24"/>
        </w:rPr>
        <w:t>nr. 3</w:t>
      </w:r>
      <w:r w:rsidRPr="001B2B79">
        <w:rPr>
          <w:rFonts w:ascii="Times New Roman" w:hAnsi="Times New Roman" w:cs="Times New Roman"/>
          <w:sz w:val="24"/>
          <w:szCs w:val="24"/>
        </w:rPr>
        <w:t>, a rezultat următoarea situație:</w:t>
      </w:r>
    </w:p>
    <w:p w:rsidR="004D30B2" w:rsidRPr="005C67DD" w:rsidRDefault="004D30B2" w:rsidP="005C67DD">
      <w:pPr>
        <w:pStyle w:val="ListParagraph"/>
        <w:spacing w:line="276" w:lineRule="auto"/>
        <w:jc w:val="both"/>
        <w:rPr>
          <w:rFonts w:ascii="Times New Roman" w:hAnsi="Times New Roman" w:cs="Times New Roman"/>
          <w:b/>
          <w:sz w:val="24"/>
          <w:szCs w:val="24"/>
        </w:rPr>
      </w:pPr>
      <w:r w:rsidRPr="005C67DD">
        <w:rPr>
          <w:rFonts w:ascii="Times New Roman" w:hAnsi="Times New Roman" w:cs="Times New Roman"/>
          <w:b/>
          <w:sz w:val="24"/>
          <w:szCs w:val="24"/>
        </w:rPr>
        <w:t>Anul 2015</w:t>
      </w:r>
    </w:p>
    <w:p w:rsidR="004D30B2" w:rsidRPr="001B2B79" w:rsidRDefault="004D30B2" w:rsidP="00C7604C">
      <w:pPr>
        <w:pStyle w:val="ListParagraph"/>
        <w:numPr>
          <w:ilvl w:val="0"/>
          <w:numId w:val="23"/>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46 din cei 52 de ordonatori principali de credite, respectiv 88,46% </w:t>
      </w:r>
      <w:r w:rsidRPr="001B2B79">
        <w:rPr>
          <w:rFonts w:ascii="Times New Roman" w:hAnsi="Times New Roman" w:cs="Times New Roman"/>
          <w:i/>
          <w:sz w:val="24"/>
          <w:szCs w:val="24"/>
        </w:rPr>
        <w:t>au implementat</w:t>
      </w:r>
      <w:r w:rsidRPr="001B2B79">
        <w:rPr>
          <w:rFonts w:ascii="Times New Roman" w:hAnsi="Times New Roman" w:cs="Times New Roman"/>
          <w:sz w:val="24"/>
          <w:szCs w:val="24"/>
        </w:rPr>
        <w:t xml:space="preserve"> acest standard;</w:t>
      </w:r>
    </w:p>
    <w:p w:rsidR="004D30B2" w:rsidRPr="001B2B79" w:rsidRDefault="004D30B2" w:rsidP="00C7604C">
      <w:pPr>
        <w:pStyle w:val="ListParagraph"/>
        <w:numPr>
          <w:ilvl w:val="0"/>
          <w:numId w:val="23"/>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5 din cei 52 de ordonatori principali de credite, respectiv 9,62% </w:t>
      </w:r>
      <w:r w:rsidRPr="001B2B79">
        <w:rPr>
          <w:rFonts w:ascii="Times New Roman" w:hAnsi="Times New Roman" w:cs="Times New Roman"/>
          <w:i/>
          <w:sz w:val="24"/>
          <w:szCs w:val="24"/>
        </w:rPr>
        <w:t>au implementat</w:t>
      </w:r>
      <w:r w:rsidRPr="001B2B79">
        <w:rPr>
          <w:rFonts w:ascii="Times New Roman" w:hAnsi="Times New Roman" w:cs="Times New Roman"/>
          <w:sz w:val="24"/>
          <w:szCs w:val="24"/>
        </w:rPr>
        <w:t xml:space="preserve"> parţial acest standard;</w:t>
      </w:r>
    </w:p>
    <w:p w:rsidR="004D30B2" w:rsidRPr="001B2B79" w:rsidRDefault="004D30B2" w:rsidP="00C7604C">
      <w:pPr>
        <w:pStyle w:val="ListParagraph"/>
        <w:numPr>
          <w:ilvl w:val="0"/>
          <w:numId w:val="23"/>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1 din cei 52 de ordonatori principali de credite, respectiv 1,92% </w:t>
      </w:r>
      <w:r w:rsidRPr="001B2B79">
        <w:rPr>
          <w:rFonts w:ascii="Times New Roman" w:hAnsi="Times New Roman" w:cs="Times New Roman"/>
          <w:i/>
          <w:sz w:val="24"/>
          <w:szCs w:val="24"/>
        </w:rPr>
        <w:t>nu a implementat</w:t>
      </w:r>
      <w:r w:rsidRPr="001B2B79">
        <w:rPr>
          <w:rFonts w:ascii="Times New Roman" w:hAnsi="Times New Roman" w:cs="Times New Roman"/>
          <w:sz w:val="24"/>
          <w:szCs w:val="24"/>
        </w:rPr>
        <w:t xml:space="preserve"> acest standard.</w:t>
      </w:r>
    </w:p>
    <w:p w:rsidR="004D30B2" w:rsidRPr="005C67DD" w:rsidRDefault="004D30B2" w:rsidP="005C67DD">
      <w:pPr>
        <w:pStyle w:val="ListParagraph"/>
        <w:spacing w:line="276" w:lineRule="auto"/>
        <w:jc w:val="both"/>
        <w:rPr>
          <w:rFonts w:ascii="Times New Roman" w:hAnsi="Times New Roman" w:cs="Times New Roman"/>
          <w:b/>
          <w:sz w:val="24"/>
          <w:szCs w:val="24"/>
        </w:rPr>
      </w:pPr>
      <w:r w:rsidRPr="005C67DD">
        <w:rPr>
          <w:rFonts w:ascii="Times New Roman" w:hAnsi="Times New Roman" w:cs="Times New Roman"/>
          <w:b/>
          <w:sz w:val="24"/>
          <w:szCs w:val="24"/>
        </w:rPr>
        <w:t>Anul 2016</w:t>
      </w:r>
    </w:p>
    <w:p w:rsidR="004D30B2" w:rsidRPr="001B2B79" w:rsidRDefault="004D30B2" w:rsidP="00C7604C">
      <w:pPr>
        <w:pStyle w:val="ListParagraph"/>
        <w:numPr>
          <w:ilvl w:val="0"/>
          <w:numId w:val="24"/>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41 din cei 50 de ordonatori principali de credite, respectiv 82,00% </w:t>
      </w:r>
      <w:r w:rsidRPr="001B2B79">
        <w:rPr>
          <w:rFonts w:ascii="Times New Roman" w:hAnsi="Times New Roman" w:cs="Times New Roman"/>
          <w:i/>
          <w:sz w:val="24"/>
          <w:szCs w:val="24"/>
        </w:rPr>
        <w:t xml:space="preserve">au implementat </w:t>
      </w:r>
      <w:r w:rsidRPr="001B2B79">
        <w:rPr>
          <w:rFonts w:ascii="Times New Roman" w:hAnsi="Times New Roman" w:cs="Times New Roman"/>
          <w:sz w:val="24"/>
          <w:szCs w:val="24"/>
        </w:rPr>
        <w:t>acest standard;</w:t>
      </w:r>
    </w:p>
    <w:p w:rsidR="004D30B2" w:rsidRPr="001B2B79" w:rsidRDefault="004D30B2" w:rsidP="00C7604C">
      <w:pPr>
        <w:pStyle w:val="ListParagraph"/>
        <w:numPr>
          <w:ilvl w:val="0"/>
          <w:numId w:val="24"/>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7 din cei 50 de ordonatori principali de credite, respectiv 14,00% </w:t>
      </w:r>
      <w:r w:rsidRPr="001B2B79">
        <w:rPr>
          <w:rFonts w:ascii="Times New Roman" w:hAnsi="Times New Roman" w:cs="Times New Roman"/>
          <w:i/>
          <w:sz w:val="24"/>
          <w:szCs w:val="24"/>
        </w:rPr>
        <w:t>au</w:t>
      </w:r>
      <w:r w:rsidRPr="001B2B79">
        <w:rPr>
          <w:rFonts w:ascii="Times New Roman" w:hAnsi="Times New Roman" w:cs="Times New Roman"/>
          <w:sz w:val="24"/>
          <w:szCs w:val="24"/>
        </w:rPr>
        <w:t xml:space="preserve"> </w:t>
      </w:r>
      <w:r w:rsidRPr="001B2B79">
        <w:rPr>
          <w:rFonts w:ascii="Times New Roman" w:hAnsi="Times New Roman" w:cs="Times New Roman"/>
          <w:i/>
          <w:sz w:val="24"/>
          <w:szCs w:val="24"/>
        </w:rPr>
        <w:t xml:space="preserve">implementat parţial </w:t>
      </w:r>
      <w:r w:rsidRPr="001B2B79">
        <w:rPr>
          <w:rFonts w:ascii="Times New Roman" w:hAnsi="Times New Roman" w:cs="Times New Roman"/>
          <w:sz w:val="24"/>
          <w:szCs w:val="24"/>
        </w:rPr>
        <w:t>acest standard;</w:t>
      </w:r>
    </w:p>
    <w:p w:rsidR="004D30B2" w:rsidRPr="001B2B79" w:rsidRDefault="004D30B2" w:rsidP="00C7604C">
      <w:pPr>
        <w:pStyle w:val="ListParagraph"/>
        <w:numPr>
          <w:ilvl w:val="0"/>
          <w:numId w:val="24"/>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2 din cei 50 de ordonatori principali de credite, respectiv 4,00</w:t>
      </w:r>
      <w:r w:rsidRPr="001B2B79">
        <w:rPr>
          <w:rFonts w:ascii="Times New Roman" w:hAnsi="Times New Roman" w:cs="Times New Roman"/>
          <w:i/>
          <w:sz w:val="24"/>
          <w:szCs w:val="24"/>
        </w:rPr>
        <w:t xml:space="preserve">%  nu au implementat </w:t>
      </w:r>
      <w:r w:rsidRPr="001B2B79">
        <w:rPr>
          <w:rFonts w:ascii="Times New Roman" w:hAnsi="Times New Roman" w:cs="Times New Roman"/>
          <w:sz w:val="24"/>
          <w:szCs w:val="24"/>
        </w:rPr>
        <w:t>acest standard.</w:t>
      </w:r>
    </w:p>
    <w:p w:rsidR="00025C0D" w:rsidRDefault="00AF11E7" w:rsidP="00025C0D">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664384" behindDoc="0" locked="0" layoutInCell="1" allowOverlap="1" wp14:anchorId="71B4C717" wp14:editId="3F46BFCE">
            <wp:simplePos x="0" y="0"/>
            <wp:positionH relativeFrom="column">
              <wp:posOffset>3164683</wp:posOffset>
            </wp:positionH>
            <wp:positionV relativeFrom="paragraph">
              <wp:posOffset>-635</wp:posOffset>
            </wp:positionV>
            <wp:extent cx="2940685" cy="2230755"/>
            <wp:effectExtent l="0" t="0" r="12065" b="17145"/>
            <wp:wrapNone/>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anchor>
        </w:drawing>
      </w:r>
      <w:r>
        <w:rPr>
          <w:rFonts w:ascii="Times New Roman" w:hAnsi="Times New Roman" w:cs="Times New Roman"/>
          <w:noProof/>
          <w:sz w:val="24"/>
          <w:szCs w:val="24"/>
          <w:lang w:eastAsia="ro-RO"/>
        </w:rPr>
        <w:drawing>
          <wp:inline distT="0" distB="0" distL="0" distR="0" wp14:anchorId="5C85F83A" wp14:editId="1A90AA8F">
            <wp:extent cx="2940710" cy="2231136"/>
            <wp:effectExtent l="0" t="0" r="12065" b="17145"/>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7754B5" w:rsidRPr="003404B6" w:rsidRDefault="00CF002C" w:rsidP="003404B6">
      <w:pPr>
        <w:rPr>
          <w:rFonts w:ascii="Times New Roman" w:hAnsi="Times New Roman" w:cs="Times New Roman"/>
          <w:b/>
          <w:sz w:val="24"/>
          <w:szCs w:val="24"/>
        </w:rPr>
      </w:pPr>
      <w:r w:rsidRPr="003404B6">
        <w:rPr>
          <w:rFonts w:ascii="Times New Roman" w:hAnsi="Times New Roman" w:cs="Times New Roman"/>
          <w:b/>
          <w:sz w:val="24"/>
          <w:szCs w:val="24"/>
        </w:rPr>
        <w:t>S</w:t>
      </w:r>
      <w:r w:rsidR="003404B6" w:rsidRPr="003404B6">
        <w:rPr>
          <w:rFonts w:ascii="Times New Roman" w:hAnsi="Times New Roman" w:cs="Times New Roman"/>
          <w:b/>
          <w:sz w:val="24"/>
          <w:szCs w:val="24"/>
        </w:rPr>
        <w:t xml:space="preserve">tandardul </w:t>
      </w:r>
      <w:r w:rsidRPr="003404B6">
        <w:rPr>
          <w:rFonts w:ascii="Times New Roman" w:hAnsi="Times New Roman" w:cs="Times New Roman"/>
          <w:b/>
          <w:sz w:val="24"/>
          <w:szCs w:val="24"/>
        </w:rPr>
        <w:t>4 - S</w:t>
      </w:r>
      <w:r w:rsidR="003404B6" w:rsidRPr="003404B6">
        <w:rPr>
          <w:rFonts w:ascii="Times New Roman" w:hAnsi="Times New Roman" w:cs="Times New Roman"/>
          <w:b/>
          <w:sz w:val="24"/>
          <w:szCs w:val="24"/>
        </w:rPr>
        <w:t>tructura organizatorică</w:t>
      </w:r>
      <w:r w:rsidRPr="003404B6">
        <w:rPr>
          <w:rFonts w:ascii="Times New Roman" w:hAnsi="Times New Roman" w:cs="Times New Roman"/>
          <w:b/>
          <w:sz w:val="24"/>
          <w:szCs w:val="24"/>
        </w:rPr>
        <w:tab/>
      </w:r>
    </w:p>
    <w:p w:rsidR="00CF002C" w:rsidRPr="00042DF8" w:rsidRDefault="00CF002C" w:rsidP="003404B6">
      <w:pPr>
        <w:spacing w:line="276" w:lineRule="auto"/>
        <w:jc w:val="both"/>
        <w:rPr>
          <w:rFonts w:ascii="Times New Roman" w:hAnsi="Times New Roman" w:cs="Times New Roman"/>
          <w:sz w:val="24"/>
          <w:szCs w:val="24"/>
        </w:rPr>
      </w:pPr>
      <w:r w:rsidRPr="00042DF8">
        <w:rPr>
          <w:rFonts w:ascii="Times New Roman" w:hAnsi="Times New Roman" w:cs="Times New Roman"/>
          <w:sz w:val="24"/>
          <w:szCs w:val="24"/>
        </w:rPr>
        <w:t>Conducătorii entităților publice definesc structura organizatorică, responsabilitățile, sarcinile, precum și modalitățile de raportare pentru fiecare componentă structurală în parte și comunică salariaților documentele formalizate.</w:t>
      </w:r>
    </w:p>
    <w:p w:rsidR="00CF002C" w:rsidRPr="00042DF8" w:rsidRDefault="00CF002C" w:rsidP="003404B6">
      <w:pPr>
        <w:spacing w:line="276" w:lineRule="auto"/>
        <w:jc w:val="both"/>
        <w:rPr>
          <w:rFonts w:ascii="Times New Roman" w:hAnsi="Times New Roman" w:cs="Times New Roman"/>
          <w:sz w:val="24"/>
          <w:szCs w:val="24"/>
        </w:rPr>
      </w:pPr>
      <w:r w:rsidRPr="00042DF8">
        <w:rPr>
          <w:rFonts w:ascii="Times New Roman" w:hAnsi="Times New Roman" w:cs="Times New Roman"/>
          <w:sz w:val="24"/>
          <w:szCs w:val="24"/>
        </w:rPr>
        <w:t>Structura organizatorică trebuie stabilită astfel încât la repartizarea sarcinilor pe fiecare angajat să se asigure comunicarea, cooperarea, îndeplinirea sarcinilor, distribuirea resurselor şi luarea de decizii în modul cel mai eficient.</w:t>
      </w:r>
    </w:p>
    <w:p w:rsidR="00CF002C" w:rsidRPr="001B2B79" w:rsidRDefault="00CF002C" w:rsidP="003404B6">
      <w:p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De asemenea, structura organizatorică trebuie stabilită cu luarea în considerare a resurselor bugetare astfel încât obiectivele entității publice să fie atinse.</w:t>
      </w:r>
    </w:p>
    <w:p w:rsidR="004C0297" w:rsidRPr="001B2B79" w:rsidRDefault="004C0297" w:rsidP="003404B6">
      <w:p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Din analiza datelor cuprinse în raportările ordonatorilor principali de credite</w:t>
      </w:r>
      <w:r w:rsidR="003E2CF1" w:rsidRPr="001B2B79">
        <w:rPr>
          <w:rFonts w:ascii="Times New Roman" w:hAnsi="Times New Roman" w:cs="Times New Roman"/>
          <w:sz w:val="24"/>
          <w:szCs w:val="24"/>
        </w:rPr>
        <w:t>,</w:t>
      </w:r>
      <w:r w:rsidRPr="001B2B79">
        <w:rPr>
          <w:rFonts w:ascii="Times New Roman" w:hAnsi="Times New Roman" w:cs="Times New Roman"/>
          <w:sz w:val="24"/>
          <w:szCs w:val="24"/>
        </w:rPr>
        <w:t xml:space="preserve"> </w:t>
      </w:r>
      <w:r w:rsidR="003E2CF1" w:rsidRPr="001B2B79">
        <w:rPr>
          <w:rFonts w:ascii="Times New Roman" w:hAnsi="Times New Roman" w:cs="Times New Roman"/>
          <w:i/>
          <w:sz w:val="24"/>
          <w:szCs w:val="24"/>
        </w:rPr>
        <w:t xml:space="preserve">în anul 2016 </w:t>
      </w:r>
      <w:r w:rsidR="003E2CF1" w:rsidRPr="001B2B79">
        <w:rPr>
          <w:rFonts w:ascii="Times New Roman" w:hAnsi="Times New Roman" w:cs="Times New Roman"/>
          <w:sz w:val="24"/>
          <w:szCs w:val="24"/>
        </w:rPr>
        <w:t xml:space="preserve">comparativ </w:t>
      </w:r>
      <w:r w:rsidR="003E2CF1" w:rsidRPr="001B2B79">
        <w:rPr>
          <w:rFonts w:ascii="Times New Roman" w:hAnsi="Times New Roman" w:cs="Times New Roman"/>
          <w:i/>
          <w:sz w:val="24"/>
          <w:szCs w:val="24"/>
        </w:rPr>
        <w:t>cu anul 2015</w:t>
      </w:r>
      <w:r w:rsidRPr="001B2B79">
        <w:rPr>
          <w:rFonts w:ascii="Times New Roman" w:hAnsi="Times New Roman" w:cs="Times New Roman"/>
          <w:sz w:val="24"/>
          <w:szCs w:val="24"/>
        </w:rPr>
        <w:t xml:space="preserve">, conform tabelului </w:t>
      </w:r>
      <w:r w:rsidR="00F50B97" w:rsidRPr="001B2B79">
        <w:rPr>
          <w:rFonts w:ascii="Times New Roman" w:hAnsi="Times New Roman" w:cs="Times New Roman"/>
          <w:sz w:val="24"/>
          <w:szCs w:val="24"/>
        </w:rPr>
        <w:t>nr. 3</w:t>
      </w:r>
      <w:r w:rsidRPr="001B2B79">
        <w:rPr>
          <w:rFonts w:ascii="Times New Roman" w:hAnsi="Times New Roman" w:cs="Times New Roman"/>
          <w:sz w:val="24"/>
          <w:szCs w:val="24"/>
        </w:rPr>
        <w:t>, a rezultat următoarea situație:</w:t>
      </w:r>
    </w:p>
    <w:p w:rsidR="004C0297" w:rsidRPr="003404B6" w:rsidRDefault="004C0297" w:rsidP="003404B6">
      <w:pPr>
        <w:pStyle w:val="ListParagraph"/>
        <w:spacing w:line="276" w:lineRule="auto"/>
        <w:jc w:val="both"/>
        <w:rPr>
          <w:rFonts w:ascii="Times New Roman" w:hAnsi="Times New Roman" w:cs="Times New Roman"/>
          <w:b/>
          <w:sz w:val="24"/>
          <w:szCs w:val="24"/>
        </w:rPr>
      </w:pPr>
      <w:r w:rsidRPr="003404B6">
        <w:rPr>
          <w:rFonts w:ascii="Times New Roman" w:hAnsi="Times New Roman" w:cs="Times New Roman"/>
          <w:b/>
          <w:sz w:val="24"/>
          <w:szCs w:val="24"/>
        </w:rPr>
        <w:t>Anul 2015</w:t>
      </w:r>
    </w:p>
    <w:p w:rsidR="004C0297" w:rsidRPr="001B2B79" w:rsidRDefault="004C0297" w:rsidP="00C7604C">
      <w:pPr>
        <w:pStyle w:val="ListParagraph"/>
        <w:numPr>
          <w:ilvl w:val="0"/>
          <w:numId w:val="25"/>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48 din cei 52 de ordonatori principali de credite, respectiv 92,31% </w:t>
      </w:r>
      <w:r w:rsidRPr="001B2B79">
        <w:rPr>
          <w:rFonts w:ascii="Times New Roman" w:hAnsi="Times New Roman" w:cs="Times New Roman"/>
          <w:i/>
          <w:sz w:val="24"/>
          <w:szCs w:val="24"/>
        </w:rPr>
        <w:t xml:space="preserve">au implementat </w:t>
      </w:r>
      <w:r w:rsidRPr="001B2B79">
        <w:rPr>
          <w:rFonts w:ascii="Times New Roman" w:hAnsi="Times New Roman" w:cs="Times New Roman"/>
          <w:sz w:val="24"/>
          <w:szCs w:val="24"/>
        </w:rPr>
        <w:t>acest standard;</w:t>
      </w:r>
    </w:p>
    <w:p w:rsidR="004C0297" w:rsidRPr="001B2B79" w:rsidRDefault="004C0297" w:rsidP="00C7604C">
      <w:pPr>
        <w:pStyle w:val="ListParagraph"/>
        <w:numPr>
          <w:ilvl w:val="0"/>
          <w:numId w:val="25"/>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3 din cei 52 de ordonatori principali de credite, respectiv 5,77% </w:t>
      </w:r>
      <w:r w:rsidRPr="001B2B79">
        <w:rPr>
          <w:rFonts w:ascii="Times New Roman" w:hAnsi="Times New Roman" w:cs="Times New Roman"/>
          <w:i/>
          <w:sz w:val="24"/>
          <w:szCs w:val="24"/>
        </w:rPr>
        <w:t>au implementat parţial</w:t>
      </w:r>
      <w:r w:rsidRPr="001B2B79">
        <w:rPr>
          <w:rFonts w:ascii="Times New Roman" w:hAnsi="Times New Roman" w:cs="Times New Roman"/>
          <w:sz w:val="24"/>
          <w:szCs w:val="24"/>
        </w:rPr>
        <w:t xml:space="preserve"> acest standard;</w:t>
      </w:r>
    </w:p>
    <w:p w:rsidR="004C0297" w:rsidRPr="001B2B79" w:rsidRDefault="004C0297" w:rsidP="00C7604C">
      <w:pPr>
        <w:pStyle w:val="ListParagraph"/>
        <w:numPr>
          <w:ilvl w:val="0"/>
          <w:numId w:val="25"/>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1 din cei 52 de ordonatori principali de credite, respectiv 1,92% </w:t>
      </w:r>
      <w:r w:rsidRPr="001B2B79">
        <w:rPr>
          <w:rFonts w:ascii="Times New Roman" w:hAnsi="Times New Roman" w:cs="Times New Roman"/>
          <w:i/>
          <w:sz w:val="24"/>
          <w:szCs w:val="24"/>
        </w:rPr>
        <w:t>nu a implementat</w:t>
      </w:r>
      <w:r w:rsidRPr="001B2B79">
        <w:rPr>
          <w:rFonts w:ascii="Times New Roman" w:hAnsi="Times New Roman" w:cs="Times New Roman"/>
          <w:sz w:val="24"/>
          <w:szCs w:val="24"/>
        </w:rPr>
        <w:t xml:space="preserve"> acest standard.</w:t>
      </w:r>
    </w:p>
    <w:p w:rsidR="004C0297" w:rsidRPr="003404B6" w:rsidRDefault="004C0297" w:rsidP="003404B6">
      <w:pPr>
        <w:pStyle w:val="ListParagraph"/>
        <w:spacing w:line="276" w:lineRule="auto"/>
        <w:jc w:val="both"/>
        <w:rPr>
          <w:rFonts w:ascii="Times New Roman" w:hAnsi="Times New Roman" w:cs="Times New Roman"/>
          <w:b/>
          <w:sz w:val="24"/>
          <w:szCs w:val="24"/>
        </w:rPr>
      </w:pPr>
      <w:r w:rsidRPr="003404B6">
        <w:rPr>
          <w:rFonts w:ascii="Times New Roman" w:hAnsi="Times New Roman" w:cs="Times New Roman"/>
          <w:b/>
          <w:sz w:val="24"/>
          <w:szCs w:val="24"/>
        </w:rPr>
        <w:t>Anul 2016</w:t>
      </w:r>
    </w:p>
    <w:p w:rsidR="004C0297" w:rsidRPr="001B2B79" w:rsidRDefault="004C0297" w:rsidP="00C7604C">
      <w:pPr>
        <w:pStyle w:val="ListParagraph"/>
        <w:numPr>
          <w:ilvl w:val="0"/>
          <w:numId w:val="26"/>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45 din cei 50 de ordonatori principali de credite, respectiv 90,00% </w:t>
      </w:r>
      <w:r w:rsidRPr="001B2B79">
        <w:rPr>
          <w:rFonts w:ascii="Times New Roman" w:hAnsi="Times New Roman" w:cs="Times New Roman"/>
          <w:i/>
          <w:sz w:val="24"/>
          <w:szCs w:val="24"/>
        </w:rPr>
        <w:t xml:space="preserve">au implementat </w:t>
      </w:r>
      <w:r w:rsidRPr="001B2B79">
        <w:rPr>
          <w:rFonts w:ascii="Times New Roman" w:hAnsi="Times New Roman" w:cs="Times New Roman"/>
          <w:sz w:val="24"/>
          <w:szCs w:val="24"/>
        </w:rPr>
        <w:t>acest standard;</w:t>
      </w:r>
    </w:p>
    <w:p w:rsidR="004C0297" w:rsidRPr="001B2B79" w:rsidRDefault="004C0297" w:rsidP="00C7604C">
      <w:pPr>
        <w:pStyle w:val="ListParagraph"/>
        <w:numPr>
          <w:ilvl w:val="0"/>
          <w:numId w:val="26"/>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5 din cei 50 de ordonatori principali de credite, respectiv 10,00% </w:t>
      </w:r>
      <w:r w:rsidRPr="001B2B79">
        <w:rPr>
          <w:rFonts w:ascii="Times New Roman" w:hAnsi="Times New Roman" w:cs="Times New Roman"/>
          <w:i/>
          <w:sz w:val="24"/>
          <w:szCs w:val="24"/>
        </w:rPr>
        <w:t>au</w:t>
      </w:r>
      <w:r w:rsidRPr="001B2B79">
        <w:rPr>
          <w:rFonts w:ascii="Times New Roman" w:hAnsi="Times New Roman" w:cs="Times New Roman"/>
          <w:sz w:val="24"/>
          <w:szCs w:val="24"/>
        </w:rPr>
        <w:t xml:space="preserve"> </w:t>
      </w:r>
      <w:r w:rsidRPr="001B2B79">
        <w:rPr>
          <w:rFonts w:ascii="Times New Roman" w:hAnsi="Times New Roman" w:cs="Times New Roman"/>
          <w:i/>
          <w:sz w:val="24"/>
          <w:szCs w:val="24"/>
        </w:rPr>
        <w:t xml:space="preserve">implementat parţial </w:t>
      </w:r>
      <w:r w:rsidRPr="001B2B79">
        <w:rPr>
          <w:rFonts w:ascii="Times New Roman" w:hAnsi="Times New Roman" w:cs="Times New Roman"/>
          <w:sz w:val="24"/>
          <w:szCs w:val="24"/>
        </w:rPr>
        <w:t>acest stan</w:t>
      </w:r>
      <w:r w:rsidR="00F54284">
        <w:rPr>
          <w:rFonts w:ascii="Times New Roman" w:hAnsi="Times New Roman" w:cs="Times New Roman"/>
          <w:sz w:val="24"/>
          <w:szCs w:val="24"/>
        </w:rPr>
        <w:t>dard.</w:t>
      </w:r>
    </w:p>
    <w:p w:rsidR="00D362FD" w:rsidRDefault="0022317B" w:rsidP="00D362FD">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666432" behindDoc="0" locked="0" layoutInCell="1" allowOverlap="1" wp14:anchorId="09EDC4DC" wp14:editId="01A5D2BD">
            <wp:simplePos x="0" y="0"/>
            <wp:positionH relativeFrom="column">
              <wp:posOffset>3152899</wp:posOffset>
            </wp:positionH>
            <wp:positionV relativeFrom="paragraph">
              <wp:posOffset>-635</wp:posOffset>
            </wp:positionV>
            <wp:extent cx="2940685" cy="2230755"/>
            <wp:effectExtent l="0" t="0" r="12065" b="17145"/>
            <wp:wrapNone/>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r>
        <w:rPr>
          <w:rFonts w:ascii="Times New Roman" w:hAnsi="Times New Roman" w:cs="Times New Roman"/>
          <w:noProof/>
          <w:sz w:val="24"/>
          <w:szCs w:val="24"/>
          <w:lang w:eastAsia="ro-RO"/>
        </w:rPr>
        <w:drawing>
          <wp:inline distT="0" distB="0" distL="0" distR="0" wp14:anchorId="50AC143E" wp14:editId="749171CD">
            <wp:extent cx="2940710" cy="2231136"/>
            <wp:effectExtent l="0" t="0" r="12065" b="17145"/>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D362FD" w:rsidRDefault="00D362FD" w:rsidP="00D362FD">
      <w:pPr>
        <w:spacing w:line="276" w:lineRule="auto"/>
        <w:jc w:val="both"/>
        <w:rPr>
          <w:rFonts w:ascii="Times New Roman" w:hAnsi="Times New Roman" w:cs="Times New Roman"/>
          <w:sz w:val="24"/>
          <w:szCs w:val="24"/>
        </w:rPr>
      </w:pPr>
    </w:p>
    <w:p w:rsidR="00CF64CA" w:rsidRDefault="00CF64CA" w:rsidP="00D565E3">
      <w:pPr>
        <w:spacing w:line="276" w:lineRule="auto"/>
        <w:jc w:val="both"/>
        <w:rPr>
          <w:rFonts w:ascii="Times New Roman" w:hAnsi="Times New Roman" w:cs="Times New Roman"/>
          <w:b/>
          <w:sz w:val="24"/>
          <w:szCs w:val="24"/>
          <w:lang w:val="en-US"/>
        </w:rPr>
      </w:pPr>
    </w:p>
    <w:p w:rsidR="00CF002C" w:rsidRPr="00D565E3" w:rsidRDefault="00CF002C" w:rsidP="00D565E3">
      <w:pPr>
        <w:spacing w:line="276" w:lineRule="auto"/>
        <w:jc w:val="both"/>
        <w:rPr>
          <w:rFonts w:ascii="Times New Roman" w:hAnsi="Times New Roman" w:cs="Times New Roman"/>
          <w:b/>
          <w:sz w:val="24"/>
          <w:szCs w:val="24"/>
          <w:lang w:val="en-US"/>
        </w:rPr>
      </w:pPr>
      <w:r w:rsidRPr="00D565E3">
        <w:rPr>
          <w:rFonts w:ascii="Times New Roman" w:hAnsi="Times New Roman" w:cs="Times New Roman"/>
          <w:b/>
          <w:sz w:val="24"/>
          <w:szCs w:val="24"/>
          <w:lang w:val="en-US"/>
        </w:rPr>
        <w:t>II.</w:t>
      </w:r>
      <w:r w:rsidR="00AC1F6C" w:rsidRPr="00D565E3">
        <w:rPr>
          <w:rFonts w:ascii="Times New Roman" w:hAnsi="Times New Roman" w:cs="Times New Roman"/>
          <w:b/>
          <w:sz w:val="24"/>
          <w:szCs w:val="24"/>
          <w:lang w:val="en-US"/>
        </w:rPr>
        <w:t xml:space="preserve"> Performanţe ș</w:t>
      </w:r>
      <w:r w:rsidR="006E0894" w:rsidRPr="00D565E3">
        <w:rPr>
          <w:rFonts w:ascii="Times New Roman" w:hAnsi="Times New Roman" w:cs="Times New Roman"/>
          <w:b/>
          <w:sz w:val="24"/>
          <w:szCs w:val="24"/>
          <w:lang w:val="en-US"/>
        </w:rPr>
        <w:t>i m</w:t>
      </w:r>
      <w:r w:rsidR="00AC1F6C" w:rsidRPr="00D565E3">
        <w:rPr>
          <w:rFonts w:ascii="Times New Roman" w:hAnsi="Times New Roman" w:cs="Times New Roman"/>
          <w:b/>
          <w:sz w:val="24"/>
          <w:szCs w:val="24"/>
          <w:lang w:val="en-US"/>
        </w:rPr>
        <w:t>anage</w:t>
      </w:r>
      <w:r w:rsidR="006E0894" w:rsidRPr="00D565E3">
        <w:rPr>
          <w:rFonts w:ascii="Times New Roman" w:hAnsi="Times New Roman" w:cs="Times New Roman"/>
          <w:b/>
          <w:sz w:val="24"/>
          <w:szCs w:val="24"/>
          <w:lang w:val="en-US"/>
        </w:rPr>
        <w:t>mentul r</w:t>
      </w:r>
      <w:r w:rsidR="00AC1F6C" w:rsidRPr="00D565E3">
        <w:rPr>
          <w:rFonts w:ascii="Times New Roman" w:hAnsi="Times New Roman" w:cs="Times New Roman"/>
          <w:b/>
          <w:sz w:val="24"/>
          <w:szCs w:val="24"/>
          <w:lang w:val="en-US"/>
        </w:rPr>
        <w:t>iscului</w:t>
      </w:r>
    </w:p>
    <w:p w:rsidR="00CF002C" w:rsidRPr="00D565E3" w:rsidRDefault="00AC1F6C" w:rsidP="00D565E3">
      <w:pPr>
        <w:rPr>
          <w:rFonts w:ascii="Times New Roman" w:hAnsi="Times New Roman" w:cs="Times New Roman"/>
          <w:b/>
          <w:sz w:val="24"/>
          <w:szCs w:val="24"/>
        </w:rPr>
      </w:pPr>
      <w:r w:rsidRPr="00D565E3">
        <w:rPr>
          <w:rFonts w:ascii="Times New Roman" w:hAnsi="Times New Roman" w:cs="Times New Roman"/>
          <w:b/>
          <w:sz w:val="24"/>
          <w:szCs w:val="24"/>
        </w:rPr>
        <w:t>S</w:t>
      </w:r>
      <w:r w:rsidR="00D565E3" w:rsidRPr="00D565E3">
        <w:rPr>
          <w:rFonts w:ascii="Times New Roman" w:hAnsi="Times New Roman" w:cs="Times New Roman"/>
          <w:b/>
          <w:sz w:val="24"/>
          <w:szCs w:val="24"/>
        </w:rPr>
        <w:t xml:space="preserve">tandardul </w:t>
      </w:r>
      <w:r w:rsidRPr="00D565E3">
        <w:rPr>
          <w:rFonts w:ascii="Times New Roman" w:hAnsi="Times New Roman" w:cs="Times New Roman"/>
          <w:b/>
          <w:sz w:val="24"/>
          <w:szCs w:val="24"/>
        </w:rPr>
        <w:t>5 – O</w:t>
      </w:r>
      <w:r w:rsidR="00D565E3" w:rsidRPr="00D565E3">
        <w:rPr>
          <w:rFonts w:ascii="Times New Roman" w:hAnsi="Times New Roman" w:cs="Times New Roman"/>
          <w:b/>
          <w:sz w:val="24"/>
          <w:szCs w:val="24"/>
        </w:rPr>
        <w:t>biective</w:t>
      </w:r>
    </w:p>
    <w:p w:rsidR="00CF002C" w:rsidRPr="002A4C5B" w:rsidRDefault="00CF002C" w:rsidP="00D565E3">
      <w:pPr>
        <w:spacing w:line="276" w:lineRule="auto"/>
        <w:jc w:val="both"/>
        <w:rPr>
          <w:rFonts w:ascii="Times New Roman" w:hAnsi="Times New Roman" w:cs="Times New Roman"/>
          <w:sz w:val="24"/>
          <w:szCs w:val="24"/>
          <w:lang w:val="en-US"/>
        </w:rPr>
      </w:pPr>
      <w:r w:rsidRPr="002A4C5B">
        <w:rPr>
          <w:rFonts w:ascii="Times New Roman" w:hAnsi="Times New Roman" w:cs="Times New Roman"/>
          <w:sz w:val="24"/>
          <w:szCs w:val="24"/>
        </w:rPr>
        <w:t>Conducătorii</w:t>
      </w:r>
      <w:r>
        <w:rPr>
          <w:rFonts w:ascii="Times New Roman" w:hAnsi="Times New Roman" w:cs="Times New Roman"/>
          <w:sz w:val="24"/>
          <w:szCs w:val="24"/>
          <w:lang w:val="en-US"/>
        </w:rPr>
        <w:t xml:space="preserve"> entităţii publice definesc obiectivele determinante</w:t>
      </w:r>
      <w:r w:rsidRPr="002A4C5B">
        <w:rPr>
          <w:rFonts w:ascii="Times New Roman" w:hAnsi="Times New Roman" w:cs="Times New Roman"/>
          <w:sz w:val="24"/>
          <w:szCs w:val="24"/>
          <w:lang w:val="en-US"/>
        </w:rPr>
        <w:t xml:space="preserve"> legate de scopurile entităţii, prec</w:t>
      </w:r>
      <w:r>
        <w:rPr>
          <w:rFonts w:ascii="Times New Roman" w:hAnsi="Times New Roman" w:cs="Times New Roman"/>
          <w:sz w:val="24"/>
          <w:szCs w:val="24"/>
          <w:lang w:val="en-US"/>
        </w:rPr>
        <w:t>um şi pe cele complementare</w:t>
      </w:r>
      <w:r w:rsidRPr="002A4C5B">
        <w:rPr>
          <w:rFonts w:ascii="Times New Roman" w:hAnsi="Times New Roman" w:cs="Times New Roman"/>
          <w:sz w:val="24"/>
          <w:szCs w:val="24"/>
          <w:lang w:val="en-US"/>
        </w:rPr>
        <w:t xml:space="preserve"> legate de fiabilitatea informaţiilor, conformitatea cu legile, regu</w:t>
      </w:r>
      <w:r>
        <w:rPr>
          <w:rFonts w:ascii="Times New Roman" w:hAnsi="Times New Roman" w:cs="Times New Roman"/>
          <w:sz w:val="24"/>
          <w:szCs w:val="24"/>
          <w:lang w:val="en-US"/>
        </w:rPr>
        <w:t>lamentele şi politicile interne</w:t>
      </w:r>
      <w:r w:rsidRPr="002A4C5B">
        <w:rPr>
          <w:rFonts w:ascii="Times New Roman" w:hAnsi="Times New Roman" w:cs="Times New Roman"/>
          <w:sz w:val="24"/>
          <w:szCs w:val="24"/>
          <w:lang w:val="en-US"/>
        </w:rPr>
        <w:t xml:space="preserve"> şi comunică obiectivele definite tuturor salariaţilor şi terţilor interesaţi.</w:t>
      </w:r>
    </w:p>
    <w:p w:rsidR="00CF002C" w:rsidRPr="00761103" w:rsidRDefault="00CF002C" w:rsidP="00D565E3">
      <w:pPr>
        <w:spacing w:line="276" w:lineRule="auto"/>
        <w:jc w:val="both"/>
        <w:rPr>
          <w:rFonts w:ascii="Times New Roman" w:hAnsi="Times New Roman" w:cs="Times New Roman"/>
          <w:sz w:val="24"/>
          <w:szCs w:val="24"/>
          <w:lang w:val="en-US"/>
        </w:rPr>
      </w:pPr>
      <w:r w:rsidRPr="00761103">
        <w:rPr>
          <w:rFonts w:ascii="Times New Roman" w:hAnsi="Times New Roman" w:cs="Times New Roman"/>
          <w:sz w:val="24"/>
          <w:szCs w:val="24"/>
        </w:rPr>
        <w:t xml:space="preserve">Conducătorii entităților publice </w:t>
      </w:r>
      <w:r>
        <w:rPr>
          <w:rFonts w:ascii="Times New Roman" w:hAnsi="Times New Roman" w:cs="Times New Roman"/>
          <w:sz w:val="24"/>
          <w:szCs w:val="24"/>
          <w:lang w:val="en-US"/>
        </w:rPr>
        <w:t>stabilesc</w:t>
      </w:r>
      <w:r w:rsidRPr="00761103">
        <w:rPr>
          <w:rFonts w:ascii="Times New Roman" w:hAnsi="Times New Roman" w:cs="Times New Roman"/>
          <w:sz w:val="24"/>
          <w:szCs w:val="24"/>
          <w:lang w:val="en-US"/>
        </w:rPr>
        <w:t xml:space="preserve"> obiectivele generale astfel încât acestea să fie concordante cu misiunea entităţii publice şi să se refere la realizarea unor servicii publice de bună calitate, în condiţii de eficienţă, eficacitate şi economicitate.</w:t>
      </w:r>
    </w:p>
    <w:p w:rsidR="00CF002C" w:rsidRPr="00761103" w:rsidRDefault="00CF002C" w:rsidP="00D565E3">
      <w:pPr>
        <w:spacing w:line="276" w:lineRule="auto"/>
        <w:jc w:val="both"/>
        <w:rPr>
          <w:rFonts w:ascii="Times New Roman" w:hAnsi="Times New Roman" w:cs="Times New Roman"/>
          <w:sz w:val="24"/>
          <w:szCs w:val="24"/>
          <w:lang w:val="en-US"/>
        </w:rPr>
      </w:pPr>
      <w:r w:rsidRPr="00761103">
        <w:rPr>
          <w:rFonts w:ascii="Times New Roman" w:hAnsi="Times New Roman" w:cs="Times New Roman"/>
          <w:sz w:val="24"/>
          <w:szCs w:val="24"/>
          <w:lang w:val="en-US"/>
        </w:rPr>
        <w:t>Conducătorii entităților publice</w:t>
      </w:r>
      <w:r>
        <w:rPr>
          <w:rFonts w:ascii="Times New Roman" w:hAnsi="Times New Roman" w:cs="Times New Roman"/>
          <w:sz w:val="24"/>
          <w:szCs w:val="24"/>
          <w:lang w:val="en-US"/>
        </w:rPr>
        <w:t xml:space="preserve"> transpun</w:t>
      </w:r>
      <w:r w:rsidRPr="00761103">
        <w:rPr>
          <w:rFonts w:ascii="Times New Roman" w:hAnsi="Times New Roman" w:cs="Times New Roman"/>
          <w:sz w:val="24"/>
          <w:szCs w:val="24"/>
          <w:lang w:val="en-US"/>
        </w:rPr>
        <w:t xml:space="preserve"> obiectivele generale în obiective specifice şi în rezultate aşteptate pentru fiecare activitate şi le comunică salariaţilor.</w:t>
      </w:r>
    </w:p>
    <w:p w:rsidR="00CF002C" w:rsidRPr="00100C58" w:rsidRDefault="00CF002C" w:rsidP="00D565E3">
      <w:pPr>
        <w:spacing w:line="276" w:lineRule="auto"/>
        <w:jc w:val="both"/>
        <w:rPr>
          <w:rFonts w:ascii="Times New Roman" w:hAnsi="Times New Roman" w:cs="Times New Roman"/>
          <w:sz w:val="24"/>
          <w:szCs w:val="24"/>
        </w:rPr>
      </w:pPr>
      <w:r>
        <w:rPr>
          <w:rFonts w:ascii="Times New Roman" w:hAnsi="Times New Roman" w:cs="Times New Roman"/>
          <w:sz w:val="24"/>
          <w:szCs w:val="24"/>
        </w:rPr>
        <w:t>O</w:t>
      </w:r>
      <w:r w:rsidRPr="00100C58">
        <w:rPr>
          <w:rFonts w:ascii="Times New Roman" w:hAnsi="Times New Roman" w:cs="Times New Roman"/>
          <w:sz w:val="24"/>
          <w:szCs w:val="24"/>
        </w:rPr>
        <w:t xml:space="preserve">biectivele specifice trebuie să fie realiste, să includă indicatori relevanţi, măsurabili, cu termene de realizare și cu precizarea rezultatelor așteptate, astfel încât să răspundă pachetului de cerinţe „SMART”. </w:t>
      </w:r>
    </w:p>
    <w:p w:rsidR="00CF002C" w:rsidRPr="00761103" w:rsidRDefault="00CF002C" w:rsidP="00D565E3">
      <w:pPr>
        <w:spacing w:line="276" w:lineRule="auto"/>
        <w:jc w:val="both"/>
        <w:rPr>
          <w:rFonts w:ascii="Times New Roman" w:hAnsi="Times New Roman" w:cs="Times New Roman"/>
          <w:sz w:val="24"/>
          <w:szCs w:val="24"/>
          <w:lang w:val="en-US"/>
        </w:rPr>
      </w:pPr>
      <w:r w:rsidRPr="00100C58">
        <w:rPr>
          <w:rFonts w:ascii="Times New Roman" w:hAnsi="Times New Roman" w:cs="Times New Roman"/>
          <w:sz w:val="24"/>
          <w:szCs w:val="24"/>
        </w:rPr>
        <w:t>După definirea obiectivelor generale şi a celor specifice, entitatea publică trebuie să le comunice tuturor salariaţilor şi terţilor interesaţi.</w:t>
      </w:r>
    </w:p>
    <w:p w:rsidR="00CF002C" w:rsidRPr="00761103" w:rsidRDefault="00CF002C" w:rsidP="00D565E3">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Conducătorii entităţilor</w:t>
      </w:r>
      <w:r w:rsidRPr="00761103">
        <w:rPr>
          <w:rFonts w:ascii="Times New Roman" w:hAnsi="Times New Roman" w:cs="Times New Roman"/>
          <w:sz w:val="24"/>
          <w:szCs w:val="24"/>
          <w:lang w:val="en-US"/>
        </w:rPr>
        <w:t xml:space="preserve"> publice actualizează/reevaluează obiectivele ori de câte ori constată modificarea ipotezelor/premiselor care au stat la baza fixării obiectivelor, ca urmare a transformării mediului intern şi/sau extern.</w:t>
      </w:r>
    </w:p>
    <w:p w:rsidR="00910A39" w:rsidRPr="001B2B79" w:rsidRDefault="00910A39" w:rsidP="00D565E3">
      <w:pPr>
        <w:tabs>
          <w:tab w:val="left" w:pos="1701"/>
        </w:tabs>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Din analiza datelor cuprinse în raportările ordonatorilor principali de credite</w:t>
      </w:r>
      <w:r w:rsidR="003E2CF1" w:rsidRPr="001B2B79">
        <w:rPr>
          <w:rFonts w:ascii="Times New Roman" w:hAnsi="Times New Roman" w:cs="Times New Roman"/>
          <w:sz w:val="24"/>
          <w:szCs w:val="24"/>
        </w:rPr>
        <w:t>,</w:t>
      </w:r>
      <w:r w:rsidRPr="001B2B79">
        <w:rPr>
          <w:rFonts w:ascii="Times New Roman" w:hAnsi="Times New Roman" w:cs="Times New Roman"/>
          <w:sz w:val="24"/>
          <w:szCs w:val="24"/>
        </w:rPr>
        <w:t xml:space="preserve"> </w:t>
      </w:r>
      <w:r w:rsidR="003E2CF1" w:rsidRPr="001B2B79">
        <w:rPr>
          <w:rFonts w:ascii="Times New Roman" w:hAnsi="Times New Roman" w:cs="Times New Roman"/>
          <w:i/>
          <w:sz w:val="24"/>
          <w:szCs w:val="24"/>
        </w:rPr>
        <w:t xml:space="preserve">în anul 2016 </w:t>
      </w:r>
      <w:r w:rsidR="003E2CF1" w:rsidRPr="001B2B79">
        <w:rPr>
          <w:rFonts w:ascii="Times New Roman" w:hAnsi="Times New Roman" w:cs="Times New Roman"/>
          <w:sz w:val="24"/>
          <w:szCs w:val="24"/>
        </w:rPr>
        <w:t>comparativ</w:t>
      </w:r>
      <w:r w:rsidR="003E2CF1" w:rsidRPr="001B2B79">
        <w:rPr>
          <w:rFonts w:ascii="Times New Roman" w:hAnsi="Times New Roman" w:cs="Times New Roman"/>
          <w:i/>
          <w:sz w:val="24"/>
          <w:szCs w:val="24"/>
        </w:rPr>
        <w:t xml:space="preserve"> cu anul 2015</w:t>
      </w:r>
      <w:r w:rsidRPr="001B2B79">
        <w:rPr>
          <w:rFonts w:ascii="Times New Roman" w:hAnsi="Times New Roman" w:cs="Times New Roman"/>
          <w:sz w:val="24"/>
          <w:szCs w:val="24"/>
        </w:rPr>
        <w:t xml:space="preserve">, conform tabelului </w:t>
      </w:r>
      <w:r w:rsidR="00F50B97" w:rsidRPr="001B2B79">
        <w:rPr>
          <w:rFonts w:ascii="Times New Roman" w:hAnsi="Times New Roman" w:cs="Times New Roman"/>
          <w:sz w:val="24"/>
          <w:szCs w:val="24"/>
        </w:rPr>
        <w:t>nr. 3</w:t>
      </w:r>
      <w:r w:rsidRPr="001B2B79">
        <w:rPr>
          <w:rFonts w:ascii="Times New Roman" w:hAnsi="Times New Roman" w:cs="Times New Roman"/>
          <w:sz w:val="24"/>
          <w:szCs w:val="24"/>
        </w:rPr>
        <w:t>, a rezultat următoarea situație:</w:t>
      </w:r>
    </w:p>
    <w:p w:rsidR="00910A39" w:rsidRPr="00D565E3" w:rsidRDefault="00910A39" w:rsidP="00D565E3">
      <w:pPr>
        <w:pStyle w:val="ListParagraph"/>
        <w:spacing w:line="276" w:lineRule="auto"/>
        <w:jc w:val="both"/>
        <w:rPr>
          <w:rFonts w:ascii="Times New Roman" w:hAnsi="Times New Roman" w:cs="Times New Roman"/>
          <w:b/>
          <w:sz w:val="24"/>
          <w:szCs w:val="24"/>
        </w:rPr>
      </w:pPr>
      <w:r w:rsidRPr="00D565E3">
        <w:rPr>
          <w:rFonts w:ascii="Times New Roman" w:hAnsi="Times New Roman" w:cs="Times New Roman"/>
          <w:b/>
          <w:sz w:val="24"/>
          <w:szCs w:val="24"/>
        </w:rPr>
        <w:t>Anul 2015</w:t>
      </w:r>
    </w:p>
    <w:p w:rsidR="00910A39" w:rsidRPr="001B2B79" w:rsidRDefault="00910A39" w:rsidP="00C7604C">
      <w:pPr>
        <w:pStyle w:val="ListParagraph"/>
        <w:numPr>
          <w:ilvl w:val="0"/>
          <w:numId w:val="27"/>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45 din cei 52 de ordonatori principali de credite, respectiv 86,54% </w:t>
      </w:r>
      <w:r w:rsidRPr="001B2B79">
        <w:rPr>
          <w:rFonts w:ascii="Times New Roman" w:hAnsi="Times New Roman" w:cs="Times New Roman"/>
          <w:i/>
          <w:sz w:val="24"/>
          <w:szCs w:val="24"/>
        </w:rPr>
        <w:t>au implementat</w:t>
      </w:r>
      <w:r w:rsidRPr="001B2B79">
        <w:rPr>
          <w:rFonts w:ascii="Times New Roman" w:hAnsi="Times New Roman" w:cs="Times New Roman"/>
          <w:sz w:val="24"/>
          <w:szCs w:val="24"/>
        </w:rPr>
        <w:t xml:space="preserve"> acest standard;</w:t>
      </w:r>
    </w:p>
    <w:p w:rsidR="00910A39" w:rsidRPr="001B2B79" w:rsidRDefault="00910A39" w:rsidP="00C7604C">
      <w:pPr>
        <w:pStyle w:val="ListParagraph"/>
        <w:numPr>
          <w:ilvl w:val="0"/>
          <w:numId w:val="27"/>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 6 din cei 52 de ordonatori principali de credite, respectiv 11,54% </w:t>
      </w:r>
      <w:r w:rsidRPr="001B2B79">
        <w:rPr>
          <w:rFonts w:ascii="Times New Roman" w:hAnsi="Times New Roman" w:cs="Times New Roman"/>
          <w:i/>
          <w:sz w:val="24"/>
          <w:szCs w:val="24"/>
        </w:rPr>
        <w:t xml:space="preserve">au implementat parţial </w:t>
      </w:r>
      <w:r w:rsidRPr="001B2B79">
        <w:rPr>
          <w:rFonts w:ascii="Times New Roman" w:hAnsi="Times New Roman" w:cs="Times New Roman"/>
          <w:sz w:val="24"/>
          <w:szCs w:val="24"/>
        </w:rPr>
        <w:t>acest standard;</w:t>
      </w:r>
    </w:p>
    <w:p w:rsidR="00910A39" w:rsidRPr="001B2B79" w:rsidRDefault="00910A39" w:rsidP="00C7604C">
      <w:pPr>
        <w:pStyle w:val="ListParagraph"/>
        <w:numPr>
          <w:ilvl w:val="0"/>
          <w:numId w:val="27"/>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1 din cei 52 de ordonatori principali de credite, respectiv 1,92% </w:t>
      </w:r>
      <w:r w:rsidRPr="001B2B79">
        <w:rPr>
          <w:rFonts w:ascii="Times New Roman" w:hAnsi="Times New Roman" w:cs="Times New Roman"/>
          <w:i/>
          <w:sz w:val="24"/>
          <w:szCs w:val="24"/>
        </w:rPr>
        <w:t xml:space="preserve">nu a implementat </w:t>
      </w:r>
      <w:r w:rsidRPr="001B2B79">
        <w:rPr>
          <w:rFonts w:ascii="Times New Roman" w:hAnsi="Times New Roman" w:cs="Times New Roman"/>
          <w:sz w:val="24"/>
          <w:szCs w:val="24"/>
        </w:rPr>
        <w:t>acest standard.</w:t>
      </w:r>
    </w:p>
    <w:p w:rsidR="00910A39" w:rsidRPr="00D565E3" w:rsidRDefault="00910A39" w:rsidP="00D565E3">
      <w:pPr>
        <w:pStyle w:val="ListParagraph"/>
        <w:spacing w:line="276" w:lineRule="auto"/>
        <w:jc w:val="both"/>
        <w:rPr>
          <w:rFonts w:ascii="Times New Roman" w:hAnsi="Times New Roman" w:cs="Times New Roman"/>
          <w:b/>
          <w:sz w:val="24"/>
          <w:szCs w:val="24"/>
        </w:rPr>
      </w:pPr>
      <w:r w:rsidRPr="00D565E3">
        <w:rPr>
          <w:rFonts w:ascii="Times New Roman" w:hAnsi="Times New Roman" w:cs="Times New Roman"/>
          <w:b/>
          <w:sz w:val="24"/>
          <w:szCs w:val="24"/>
        </w:rPr>
        <w:t>Anul 2016</w:t>
      </w:r>
    </w:p>
    <w:p w:rsidR="00910A39" w:rsidRPr="001B2B79" w:rsidRDefault="00910A39" w:rsidP="00C7604C">
      <w:pPr>
        <w:pStyle w:val="ListParagraph"/>
        <w:numPr>
          <w:ilvl w:val="0"/>
          <w:numId w:val="28"/>
        </w:numPr>
        <w:tabs>
          <w:tab w:val="left" w:pos="1701"/>
        </w:tabs>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40 din cei 50 de ordonatori principali de credite, respectiv 80,00% </w:t>
      </w:r>
      <w:r w:rsidRPr="001B2B79">
        <w:rPr>
          <w:rFonts w:ascii="Times New Roman" w:hAnsi="Times New Roman" w:cs="Times New Roman"/>
          <w:i/>
          <w:sz w:val="24"/>
          <w:szCs w:val="24"/>
        </w:rPr>
        <w:t xml:space="preserve">au implementat </w:t>
      </w:r>
      <w:r w:rsidRPr="001B2B79">
        <w:rPr>
          <w:rFonts w:ascii="Times New Roman" w:hAnsi="Times New Roman" w:cs="Times New Roman"/>
          <w:sz w:val="24"/>
          <w:szCs w:val="24"/>
        </w:rPr>
        <w:t>acest standard;</w:t>
      </w:r>
    </w:p>
    <w:p w:rsidR="00910A39" w:rsidRPr="001B2B79" w:rsidRDefault="00910A39" w:rsidP="00C7604C">
      <w:pPr>
        <w:pStyle w:val="ListParagraph"/>
        <w:numPr>
          <w:ilvl w:val="0"/>
          <w:numId w:val="28"/>
        </w:numPr>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 xml:space="preserve">9 din cei 50 de ordonatori principali de credite, respectiv 18,00% </w:t>
      </w:r>
      <w:r w:rsidRPr="001B2B79">
        <w:rPr>
          <w:rFonts w:ascii="Times New Roman" w:hAnsi="Times New Roman" w:cs="Times New Roman"/>
          <w:i/>
          <w:sz w:val="24"/>
          <w:szCs w:val="24"/>
        </w:rPr>
        <w:t>au</w:t>
      </w:r>
      <w:r w:rsidRPr="001B2B79">
        <w:rPr>
          <w:rFonts w:ascii="Times New Roman" w:hAnsi="Times New Roman" w:cs="Times New Roman"/>
          <w:sz w:val="24"/>
          <w:szCs w:val="24"/>
        </w:rPr>
        <w:t xml:space="preserve"> </w:t>
      </w:r>
      <w:r w:rsidRPr="001B2B79">
        <w:rPr>
          <w:rFonts w:ascii="Times New Roman" w:hAnsi="Times New Roman" w:cs="Times New Roman"/>
          <w:i/>
          <w:sz w:val="24"/>
          <w:szCs w:val="24"/>
        </w:rPr>
        <w:t xml:space="preserve">implementat parţial </w:t>
      </w:r>
      <w:r w:rsidRPr="001B2B79">
        <w:rPr>
          <w:rFonts w:ascii="Times New Roman" w:hAnsi="Times New Roman" w:cs="Times New Roman"/>
          <w:sz w:val="24"/>
          <w:szCs w:val="24"/>
        </w:rPr>
        <w:t>acest standard;</w:t>
      </w:r>
    </w:p>
    <w:p w:rsidR="00910A39" w:rsidRPr="001B2B79" w:rsidRDefault="00910A39" w:rsidP="00C7604C">
      <w:pPr>
        <w:pStyle w:val="ListParagraph"/>
        <w:numPr>
          <w:ilvl w:val="0"/>
          <w:numId w:val="28"/>
        </w:numPr>
        <w:tabs>
          <w:tab w:val="left" w:pos="1701"/>
        </w:tabs>
        <w:spacing w:line="276" w:lineRule="auto"/>
        <w:jc w:val="both"/>
        <w:rPr>
          <w:rFonts w:ascii="Times New Roman" w:hAnsi="Times New Roman" w:cs="Times New Roman"/>
          <w:sz w:val="24"/>
          <w:szCs w:val="24"/>
        </w:rPr>
      </w:pPr>
      <w:r w:rsidRPr="001B2B79">
        <w:rPr>
          <w:rFonts w:ascii="Times New Roman" w:hAnsi="Times New Roman" w:cs="Times New Roman"/>
          <w:sz w:val="24"/>
          <w:szCs w:val="24"/>
        </w:rPr>
        <w:t>1 din cei 50 de ordonatori principali de credite, respectiv 2,00</w:t>
      </w:r>
      <w:r w:rsidR="00F50B97" w:rsidRPr="001B2B79">
        <w:rPr>
          <w:rFonts w:ascii="Times New Roman" w:hAnsi="Times New Roman" w:cs="Times New Roman"/>
          <w:i/>
          <w:sz w:val="24"/>
          <w:szCs w:val="24"/>
        </w:rPr>
        <w:t>%  nu a</w:t>
      </w:r>
      <w:r w:rsidRPr="001B2B79">
        <w:rPr>
          <w:rFonts w:ascii="Times New Roman" w:hAnsi="Times New Roman" w:cs="Times New Roman"/>
          <w:i/>
          <w:sz w:val="24"/>
          <w:szCs w:val="24"/>
        </w:rPr>
        <w:t xml:space="preserve"> implementat </w:t>
      </w:r>
      <w:r w:rsidRPr="001B2B79">
        <w:rPr>
          <w:rFonts w:ascii="Times New Roman" w:hAnsi="Times New Roman" w:cs="Times New Roman"/>
          <w:sz w:val="24"/>
          <w:szCs w:val="24"/>
        </w:rPr>
        <w:t>acest standard</w:t>
      </w:r>
      <w:r w:rsidR="00F21C05">
        <w:rPr>
          <w:rFonts w:ascii="Times New Roman" w:hAnsi="Times New Roman" w:cs="Times New Roman"/>
          <w:sz w:val="24"/>
          <w:szCs w:val="24"/>
        </w:rPr>
        <w:t>.</w:t>
      </w:r>
    </w:p>
    <w:p w:rsidR="00B16F8D" w:rsidRDefault="00B71880" w:rsidP="00B16F8D">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668480" behindDoc="0" locked="0" layoutInCell="1" allowOverlap="1" wp14:anchorId="21F5C395" wp14:editId="6C5CEC8A">
            <wp:simplePos x="0" y="0"/>
            <wp:positionH relativeFrom="column">
              <wp:posOffset>3176650</wp:posOffset>
            </wp:positionH>
            <wp:positionV relativeFrom="paragraph">
              <wp:posOffset>-635</wp:posOffset>
            </wp:positionV>
            <wp:extent cx="2940685" cy="2230755"/>
            <wp:effectExtent l="0" t="0" r="12065" b="17145"/>
            <wp:wrapNone/>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anchor>
        </w:drawing>
      </w:r>
      <w:r>
        <w:rPr>
          <w:rFonts w:ascii="Times New Roman" w:hAnsi="Times New Roman" w:cs="Times New Roman"/>
          <w:noProof/>
          <w:sz w:val="24"/>
          <w:szCs w:val="24"/>
          <w:lang w:eastAsia="ro-RO"/>
        </w:rPr>
        <w:drawing>
          <wp:inline distT="0" distB="0" distL="0" distR="0" wp14:anchorId="2EE7575E" wp14:editId="7C0F903B">
            <wp:extent cx="2940710" cy="2231136"/>
            <wp:effectExtent l="0" t="0" r="12065" b="17145"/>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D565E3" w:rsidRDefault="00D565E3">
      <w:pPr>
        <w:rPr>
          <w:rFonts w:ascii="Times New Roman" w:hAnsi="Times New Roman" w:cs="Times New Roman"/>
          <w:b/>
          <w:sz w:val="24"/>
          <w:szCs w:val="24"/>
          <w:lang w:val="en-US"/>
        </w:rPr>
      </w:pPr>
    </w:p>
    <w:p w:rsidR="00CF002C" w:rsidRPr="00D565E3" w:rsidRDefault="00AC1F6C" w:rsidP="00D565E3">
      <w:pPr>
        <w:rPr>
          <w:rFonts w:ascii="Times New Roman" w:hAnsi="Times New Roman" w:cs="Times New Roman"/>
          <w:b/>
          <w:sz w:val="24"/>
          <w:szCs w:val="24"/>
        </w:rPr>
      </w:pPr>
      <w:r w:rsidRPr="00D565E3">
        <w:rPr>
          <w:rFonts w:ascii="Times New Roman" w:hAnsi="Times New Roman" w:cs="Times New Roman"/>
          <w:b/>
          <w:sz w:val="24"/>
          <w:szCs w:val="24"/>
          <w:lang w:val="en-US"/>
        </w:rPr>
        <w:t>S</w:t>
      </w:r>
      <w:r w:rsidR="00D565E3" w:rsidRPr="00D565E3">
        <w:rPr>
          <w:rFonts w:ascii="Times New Roman" w:hAnsi="Times New Roman" w:cs="Times New Roman"/>
          <w:b/>
          <w:sz w:val="24"/>
          <w:szCs w:val="24"/>
          <w:lang w:val="en-US"/>
        </w:rPr>
        <w:t>tandardul</w:t>
      </w:r>
      <w:r w:rsidRPr="00D565E3">
        <w:rPr>
          <w:rFonts w:ascii="Times New Roman" w:hAnsi="Times New Roman" w:cs="Times New Roman"/>
          <w:b/>
          <w:sz w:val="24"/>
          <w:szCs w:val="24"/>
          <w:lang w:val="en-US"/>
        </w:rPr>
        <w:t xml:space="preserve"> 6 - P</w:t>
      </w:r>
      <w:r w:rsidR="00D565E3" w:rsidRPr="00D565E3">
        <w:rPr>
          <w:rFonts w:ascii="Times New Roman" w:hAnsi="Times New Roman" w:cs="Times New Roman"/>
          <w:b/>
          <w:sz w:val="24"/>
          <w:szCs w:val="24"/>
          <w:lang w:val="en-US"/>
        </w:rPr>
        <w:t>lanificarea</w:t>
      </w:r>
    </w:p>
    <w:p w:rsidR="00CF002C" w:rsidRPr="00B66C9F" w:rsidRDefault="00CF002C" w:rsidP="00D565E3">
      <w:pPr>
        <w:spacing w:line="276" w:lineRule="auto"/>
        <w:jc w:val="both"/>
        <w:rPr>
          <w:rFonts w:ascii="Times New Roman" w:hAnsi="Times New Roman" w:cs="Times New Roman"/>
          <w:sz w:val="24"/>
          <w:szCs w:val="24"/>
        </w:rPr>
      </w:pPr>
      <w:r w:rsidRPr="00B66C9F">
        <w:rPr>
          <w:rFonts w:ascii="Times New Roman" w:hAnsi="Times New Roman" w:cs="Times New Roman"/>
          <w:sz w:val="24"/>
          <w:szCs w:val="24"/>
        </w:rPr>
        <w:t xml:space="preserve">Planificarea este un instrument prin care conducerea entității publice evidențiază un ansamblu unitar și coerent de argumente pentru asigurarea faptului că obiectivele vor fi realizate, cu resursele alocate, în baza unor planuri/programe. </w:t>
      </w:r>
    </w:p>
    <w:p w:rsidR="00CF002C" w:rsidRPr="00B66C9F" w:rsidRDefault="00CF002C" w:rsidP="00D565E3">
      <w:pPr>
        <w:spacing w:line="276" w:lineRule="auto"/>
        <w:jc w:val="both"/>
        <w:rPr>
          <w:rFonts w:ascii="Times New Roman" w:hAnsi="Times New Roman" w:cs="Times New Roman"/>
          <w:sz w:val="24"/>
          <w:szCs w:val="24"/>
        </w:rPr>
      </w:pPr>
      <w:r w:rsidRPr="00B66C9F">
        <w:rPr>
          <w:rFonts w:ascii="Times New Roman" w:hAnsi="Times New Roman" w:cs="Times New Roman"/>
          <w:sz w:val="24"/>
          <w:szCs w:val="24"/>
        </w:rPr>
        <w:t xml:space="preserve">Pentru ca planificarea să fie realizată, entitatea publică elaborează planuri strategice şi planuri anuale/multianuale de activitate, care includ obiective strategice/specifice, activităţi, indicatori de performanţă, riscuri asociate obiectivelor şi raportarea periodică cu privire la realizarea planurilor şi atingerea indicatorilor de performanţă. </w:t>
      </w:r>
    </w:p>
    <w:p w:rsidR="00CF002C" w:rsidRPr="00B66C9F" w:rsidRDefault="00CF002C" w:rsidP="00D565E3">
      <w:pPr>
        <w:spacing w:line="276" w:lineRule="auto"/>
        <w:jc w:val="both"/>
        <w:rPr>
          <w:rFonts w:ascii="Times New Roman" w:hAnsi="Times New Roman" w:cs="Times New Roman"/>
          <w:sz w:val="24"/>
          <w:szCs w:val="24"/>
        </w:rPr>
      </w:pPr>
      <w:r>
        <w:rPr>
          <w:rFonts w:ascii="Times New Roman" w:hAnsi="Times New Roman" w:cs="Times New Roman"/>
          <w:sz w:val="24"/>
          <w:szCs w:val="24"/>
        </w:rPr>
        <w:t>O</w:t>
      </w:r>
      <w:r w:rsidRPr="00B66C9F">
        <w:rPr>
          <w:rFonts w:ascii="Times New Roman" w:hAnsi="Times New Roman" w:cs="Times New Roman"/>
          <w:sz w:val="24"/>
          <w:szCs w:val="24"/>
        </w:rPr>
        <w:t xml:space="preserve"> planificare reuşită necesită analizarea, evaluarea, revizuirea, actualizarea sistematică şi coordonarea planurilor convenite pentru a reflecta: modificarea obiectivelor; evenimentele semnificative ce nu au fost anticipate iniţial; modificarea volumului resurselor alocate.</w:t>
      </w:r>
    </w:p>
    <w:p w:rsidR="00910A39" w:rsidRPr="00D6319B" w:rsidRDefault="00910A39" w:rsidP="00D565E3">
      <w:pPr>
        <w:tabs>
          <w:tab w:val="left" w:pos="1701"/>
        </w:tabs>
        <w:spacing w:line="276" w:lineRule="auto"/>
        <w:jc w:val="both"/>
        <w:rPr>
          <w:rFonts w:ascii="Times New Roman" w:hAnsi="Times New Roman" w:cs="Times New Roman"/>
          <w:sz w:val="24"/>
          <w:szCs w:val="24"/>
        </w:rPr>
      </w:pPr>
      <w:r w:rsidRPr="00A45B97">
        <w:rPr>
          <w:rFonts w:ascii="Times New Roman" w:hAnsi="Times New Roman" w:cs="Times New Roman"/>
          <w:sz w:val="24"/>
          <w:szCs w:val="24"/>
        </w:rPr>
        <w:t>Din analiza datelor cuprinse în raportările ordonatorilor principali de credite</w:t>
      </w:r>
      <w:r w:rsidR="003E2CF1">
        <w:rPr>
          <w:rFonts w:ascii="Times New Roman" w:hAnsi="Times New Roman" w:cs="Times New Roman"/>
          <w:sz w:val="24"/>
          <w:szCs w:val="24"/>
        </w:rPr>
        <w:t>,</w:t>
      </w:r>
      <w:r>
        <w:rPr>
          <w:rFonts w:ascii="Times New Roman" w:hAnsi="Times New Roman" w:cs="Times New Roman"/>
          <w:sz w:val="24"/>
          <w:szCs w:val="24"/>
        </w:rPr>
        <w:t xml:space="preserve"> </w:t>
      </w:r>
      <w:r w:rsidR="003E2CF1" w:rsidRPr="00D6319B">
        <w:rPr>
          <w:rFonts w:ascii="Times New Roman" w:hAnsi="Times New Roman" w:cs="Times New Roman"/>
          <w:i/>
          <w:sz w:val="24"/>
          <w:szCs w:val="24"/>
        </w:rPr>
        <w:t xml:space="preserve">în anul 2016 </w:t>
      </w:r>
      <w:r w:rsidR="003E2CF1" w:rsidRPr="00D6319B">
        <w:rPr>
          <w:rFonts w:ascii="Times New Roman" w:hAnsi="Times New Roman" w:cs="Times New Roman"/>
          <w:sz w:val="24"/>
          <w:szCs w:val="24"/>
        </w:rPr>
        <w:t xml:space="preserve">comparativ </w:t>
      </w:r>
      <w:r w:rsidR="003E2CF1" w:rsidRPr="00D6319B">
        <w:rPr>
          <w:rFonts w:ascii="Times New Roman" w:hAnsi="Times New Roman" w:cs="Times New Roman"/>
          <w:i/>
          <w:sz w:val="24"/>
          <w:szCs w:val="24"/>
        </w:rPr>
        <w:t>cu anul 2015</w:t>
      </w:r>
      <w:r w:rsidRPr="00A45B97">
        <w:rPr>
          <w:rFonts w:ascii="Times New Roman" w:hAnsi="Times New Roman" w:cs="Times New Roman"/>
          <w:sz w:val="24"/>
          <w:szCs w:val="24"/>
        </w:rPr>
        <w:t xml:space="preserve">, </w:t>
      </w:r>
      <w:r>
        <w:rPr>
          <w:rFonts w:ascii="Times New Roman" w:hAnsi="Times New Roman" w:cs="Times New Roman"/>
          <w:sz w:val="24"/>
          <w:szCs w:val="24"/>
        </w:rPr>
        <w:t xml:space="preserve">conform tabelului </w:t>
      </w:r>
      <w:r w:rsidR="00F50B97" w:rsidRPr="00D6319B">
        <w:rPr>
          <w:rFonts w:ascii="Times New Roman" w:hAnsi="Times New Roman" w:cs="Times New Roman"/>
          <w:sz w:val="24"/>
          <w:szCs w:val="24"/>
        </w:rPr>
        <w:t>nr. 3</w:t>
      </w:r>
      <w:r w:rsidRPr="00D6319B">
        <w:rPr>
          <w:rFonts w:ascii="Times New Roman" w:hAnsi="Times New Roman" w:cs="Times New Roman"/>
          <w:sz w:val="24"/>
          <w:szCs w:val="24"/>
        </w:rPr>
        <w:t>, a rezultat următoarea situație:</w:t>
      </w:r>
    </w:p>
    <w:p w:rsidR="00910A39" w:rsidRPr="00D565E3" w:rsidRDefault="00910A39" w:rsidP="00D565E3">
      <w:pPr>
        <w:pStyle w:val="ListParagraph"/>
        <w:spacing w:line="276" w:lineRule="auto"/>
        <w:jc w:val="both"/>
        <w:rPr>
          <w:rFonts w:ascii="Times New Roman" w:hAnsi="Times New Roman" w:cs="Times New Roman"/>
          <w:b/>
          <w:sz w:val="24"/>
          <w:szCs w:val="24"/>
        </w:rPr>
      </w:pPr>
      <w:r w:rsidRPr="00D565E3">
        <w:rPr>
          <w:rFonts w:ascii="Times New Roman" w:hAnsi="Times New Roman" w:cs="Times New Roman"/>
          <w:b/>
          <w:sz w:val="24"/>
          <w:szCs w:val="24"/>
        </w:rPr>
        <w:t>Anul 2015</w:t>
      </w:r>
    </w:p>
    <w:p w:rsidR="00910A39" w:rsidRPr="00D6319B" w:rsidRDefault="00910A39" w:rsidP="00C7604C">
      <w:pPr>
        <w:pStyle w:val="ListParagraph"/>
        <w:numPr>
          <w:ilvl w:val="0"/>
          <w:numId w:val="29"/>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44 din cei 52 de ordonatori principali de credite, respectiv 84,62% </w:t>
      </w:r>
      <w:r w:rsidRPr="00D6319B">
        <w:rPr>
          <w:rFonts w:ascii="Times New Roman" w:hAnsi="Times New Roman" w:cs="Times New Roman"/>
          <w:i/>
          <w:sz w:val="24"/>
          <w:szCs w:val="24"/>
        </w:rPr>
        <w:t>au implementat</w:t>
      </w:r>
      <w:r w:rsidRPr="00D6319B">
        <w:rPr>
          <w:rFonts w:ascii="Times New Roman" w:hAnsi="Times New Roman" w:cs="Times New Roman"/>
          <w:sz w:val="24"/>
          <w:szCs w:val="24"/>
        </w:rPr>
        <w:t xml:space="preserve"> acest standard;</w:t>
      </w:r>
    </w:p>
    <w:p w:rsidR="00910A39" w:rsidRPr="00D6319B" w:rsidRDefault="00910A39" w:rsidP="00C7604C">
      <w:pPr>
        <w:pStyle w:val="ListParagraph"/>
        <w:numPr>
          <w:ilvl w:val="0"/>
          <w:numId w:val="29"/>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 8 din cei 52 de ordonatori principali de credite, respectiv 15,38% </w:t>
      </w:r>
      <w:r w:rsidRPr="00D6319B">
        <w:rPr>
          <w:rFonts w:ascii="Times New Roman" w:hAnsi="Times New Roman" w:cs="Times New Roman"/>
          <w:i/>
          <w:sz w:val="24"/>
          <w:szCs w:val="24"/>
        </w:rPr>
        <w:t>au implementat parţial</w:t>
      </w:r>
      <w:r w:rsidRPr="00D6319B">
        <w:rPr>
          <w:rFonts w:ascii="Times New Roman" w:hAnsi="Times New Roman" w:cs="Times New Roman"/>
          <w:sz w:val="24"/>
          <w:szCs w:val="24"/>
        </w:rPr>
        <w:t xml:space="preserve"> acest standard.</w:t>
      </w:r>
    </w:p>
    <w:p w:rsidR="00910A39" w:rsidRPr="00D565E3" w:rsidRDefault="00910A39" w:rsidP="00D565E3">
      <w:pPr>
        <w:pStyle w:val="ListParagraph"/>
        <w:spacing w:line="276" w:lineRule="auto"/>
        <w:jc w:val="both"/>
        <w:rPr>
          <w:rFonts w:ascii="Times New Roman" w:hAnsi="Times New Roman" w:cs="Times New Roman"/>
          <w:b/>
          <w:sz w:val="24"/>
          <w:szCs w:val="24"/>
        </w:rPr>
      </w:pPr>
      <w:r w:rsidRPr="00D565E3">
        <w:rPr>
          <w:rFonts w:ascii="Times New Roman" w:hAnsi="Times New Roman" w:cs="Times New Roman"/>
          <w:b/>
          <w:sz w:val="24"/>
          <w:szCs w:val="24"/>
        </w:rPr>
        <w:t>Anul 2016</w:t>
      </w:r>
    </w:p>
    <w:p w:rsidR="00910A39" w:rsidRPr="00D6319B" w:rsidRDefault="00910A39" w:rsidP="00C7604C">
      <w:pPr>
        <w:pStyle w:val="ListParagraph"/>
        <w:numPr>
          <w:ilvl w:val="0"/>
          <w:numId w:val="30"/>
        </w:numPr>
        <w:tabs>
          <w:tab w:val="left" w:pos="1701"/>
        </w:tabs>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41 din cei 50 de ordonatori principali de credite, respectiv 82,00% </w:t>
      </w:r>
      <w:r w:rsidRPr="00D6319B">
        <w:rPr>
          <w:rFonts w:ascii="Times New Roman" w:hAnsi="Times New Roman" w:cs="Times New Roman"/>
          <w:i/>
          <w:sz w:val="24"/>
          <w:szCs w:val="24"/>
        </w:rPr>
        <w:t xml:space="preserve">au implementat </w:t>
      </w:r>
      <w:r w:rsidRPr="00D6319B">
        <w:rPr>
          <w:rFonts w:ascii="Times New Roman" w:hAnsi="Times New Roman" w:cs="Times New Roman"/>
          <w:sz w:val="24"/>
          <w:szCs w:val="24"/>
        </w:rPr>
        <w:t>acest standard;</w:t>
      </w:r>
    </w:p>
    <w:p w:rsidR="00910A39" w:rsidRPr="00D6319B" w:rsidRDefault="00910A39" w:rsidP="00C7604C">
      <w:pPr>
        <w:pStyle w:val="ListParagraph"/>
        <w:numPr>
          <w:ilvl w:val="0"/>
          <w:numId w:val="30"/>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9 din cei 50 de ordonatori principali de credite, respectiv 18,00% </w:t>
      </w:r>
      <w:r w:rsidRPr="00D6319B">
        <w:rPr>
          <w:rFonts w:ascii="Times New Roman" w:hAnsi="Times New Roman" w:cs="Times New Roman"/>
          <w:i/>
          <w:sz w:val="24"/>
          <w:szCs w:val="24"/>
        </w:rPr>
        <w:t>au</w:t>
      </w:r>
      <w:r w:rsidRPr="00D6319B">
        <w:rPr>
          <w:rFonts w:ascii="Times New Roman" w:hAnsi="Times New Roman" w:cs="Times New Roman"/>
          <w:sz w:val="24"/>
          <w:szCs w:val="24"/>
        </w:rPr>
        <w:t xml:space="preserve"> </w:t>
      </w:r>
      <w:r w:rsidRPr="00D6319B">
        <w:rPr>
          <w:rFonts w:ascii="Times New Roman" w:hAnsi="Times New Roman" w:cs="Times New Roman"/>
          <w:i/>
          <w:sz w:val="24"/>
          <w:szCs w:val="24"/>
        </w:rPr>
        <w:t xml:space="preserve">implementat parţial </w:t>
      </w:r>
      <w:r w:rsidR="00F875FF">
        <w:rPr>
          <w:rFonts w:ascii="Times New Roman" w:hAnsi="Times New Roman" w:cs="Times New Roman"/>
          <w:sz w:val="24"/>
          <w:szCs w:val="24"/>
        </w:rPr>
        <w:t>acest standard.</w:t>
      </w:r>
    </w:p>
    <w:p w:rsidR="000A42FB" w:rsidRPr="00D6319B" w:rsidRDefault="00B71880" w:rsidP="000A42FB">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670528" behindDoc="0" locked="0" layoutInCell="1" allowOverlap="1" wp14:anchorId="26BBE12F" wp14:editId="10BA7C74">
            <wp:simplePos x="0" y="0"/>
            <wp:positionH relativeFrom="column">
              <wp:posOffset>3123210</wp:posOffset>
            </wp:positionH>
            <wp:positionV relativeFrom="paragraph">
              <wp:posOffset>-635</wp:posOffset>
            </wp:positionV>
            <wp:extent cx="2940685" cy="2230755"/>
            <wp:effectExtent l="0" t="0" r="12065" b="17145"/>
            <wp:wrapNone/>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r>
        <w:rPr>
          <w:rFonts w:ascii="Times New Roman" w:hAnsi="Times New Roman" w:cs="Times New Roman"/>
          <w:noProof/>
          <w:sz w:val="24"/>
          <w:szCs w:val="24"/>
          <w:lang w:eastAsia="ro-RO"/>
        </w:rPr>
        <w:drawing>
          <wp:inline distT="0" distB="0" distL="0" distR="0" wp14:anchorId="56398A4F" wp14:editId="787BEB56">
            <wp:extent cx="2940710" cy="2231136"/>
            <wp:effectExtent l="0" t="0" r="12065" b="17145"/>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D72872" w:rsidRDefault="00D72872" w:rsidP="00D72872">
      <w:pPr>
        <w:spacing w:after="0" w:line="240" w:lineRule="auto"/>
        <w:rPr>
          <w:rFonts w:ascii="Times New Roman" w:hAnsi="Times New Roman" w:cs="Times New Roman"/>
          <w:b/>
          <w:sz w:val="24"/>
          <w:szCs w:val="24"/>
          <w:lang w:val="en-US"/>
        </w:rPr>
      </w:pPr>
    </w:p>
    <w:p w:rsidR="00CF002C" w:rsidRPr="00D565E3" w:rsidRDefault="00AC1F6C" w:rsidP="00D565E3">
      <w:pPr>
        <w:rPr>
          <w:rFonts w:ascii="Times New Roman" w:hAnsi="Times New Roman" w:cs="Times New Roman"/>
          <w:b/>
          <w:sz w:val="24"/>
          <w:szCs w:val="24"/>
          <w:lang w:val="en-US"/>
        </w:rPr>
      </w:pPr>
      <w:r w:rsidRPr="00D565E3">
        <w:rPr>
          <w:rFonts w:ascii="Times New Roman" w:hAnsi="Times New Roman" w:cs="Times New Roman"/>
          <w:b/>
          <w:sz w:val="24"/>
          <w:szCs w:val="24"/>
          <w:lang w:val="en-US"/>
        </w:rPr>
        <w:t>S</w:t>
      </w:r>
      <w:r w:rsidR="00D565E3" w:rsidRPr="00D565E3">
        <w:rPr>
          <w:rFonts w:ascii="Times New Roman" w:hAnsi="Times New Roman" w:cs="Times New Roman"/>
          <w:b/>
          <w:sz w:val="24"/>
          <w:szCs w:val="24"/>
          <w:lang w:val="en-US"/>
        </w:rPr>
        <w:t xml:space="preserve">tandardul </w:t>
      </w:r>
      <w:r w:rsidRPr="00D565E3">
        <w:rPr>
          <w:rFonts w:ascii="Times New Roman" w:hAnsi="Times New Roman" w:cs="Times New Roman"/>
          <w:b/>
          <w:sz w:val="24"/>
          <w:szCs w:val="24"/>
          <w:lang w:val="en-US"/>
        </w:rPr>
        <w:t>7 - M</w:t>
      </w:r>
      <w:r w:rsidR="00D565E3" w:rsidRPr="00D565E3">
        <w:rPr>
          <w:rFonts w:ascii="Times New Roman" w:hAnsi="Times New Roman" w:cs="Times New Roman"/>
          <w:b/>
          <w:sz w:val="24"/>
          <w:szCs w:val="24"/>
          <w:lang w:val="en-US"/>
        </w:rPr>
        <w:t>onitorizarea performanţelor</w:t>
      </w:r>
    </w:p>
    <w:p w:rsidR="00CF002C" w:rsidRPr="00190182" w:rsidRDefault="00CF002C" w:rsidP="00D565E3">
      <w:pPr>
        <w:spacing w:line="276" w:lineRule="auto"/>
        <w:jc w:val="both"/>
        <w:rPr>
          <w:rFonts w:ascii="Times New Roman" w:hAnsi="Times New Roman" w:cs="Times New Roman"/>
          <w:sz w:val="24"/>
          <w:szCs w:val="24"/>
          <w:lang w:val="en-US"/>
        </w:rPr>
      </w:pPr>
      <w:r w:rsidRPr="00190182">
        <w:rPr>
          <w:rFonts w:ascii="Times New Roman" w:hAnsi="Times New Roman" w:cs="Times New Roman"/>
          <w:sz w:val="24"/>
          <w:szCs w:val="24"/>
          <w:lang w:val="en-US"/>
        </w:rPr>
        <w:t>Conducător</w:t>
      </w:r>
      <w:r>
        <w:rPr>
          <w:rFonts w:ascii="Times New Roman" w:hAnsi="Times New Roman" w:cs="Times New Roman"/>
          <w:sz w:val="24"/>
          <w:szCs w:val="24"/>
          <w:lang w:val="en-US"/>
        </w:rPr>
        <w:t>ii entităţilor</w:t>
      </w:r>
      <w:r w:rsidRPr="00190182">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190182">
        <w:rPr>
          <w:rFonts w:ascii="Times New Roman" w:hAnsi="Times New Roman" w:cs="Times New Roman"/>
          <w:sz w:val="24"/>
          <w:szCs w:val="24"/>
          <w:lang w:val="en-US"/>
        </w:rPr>
        <w:t>asigur</w:t>
      </w:r>
      <w:r>
        <w:rPr>
          <w:rFonts w:ascii="Times New Roman" w:hAnsi="Times New Roman" w:cs="Times New Roman"/>
          <w:sz w:val="24"/>
          <w:szCs w:val="24"/>
          <w:lang w:val="en-US"/>
        </w:rPr>
        <w:t>e</w:t>
      </w:r>
      <w:r w:rsidRPr="00190182">
        <w:rPr>
          <w:rFonts w:ascii="Times New Roman" w:hAnsi="Times New Roman" w:cs="Times New Roman"/>
          <w:sz w:val="24"/>
          <w:szCs w:val="24"/>
          <w:lang w:val="en-US"/>
        </w:rPr>
        <w:t xml:space="preserve"> monitorizarea performanţelor pentru fiecare obiectiv şi activitate, prin intermediul unor indicatori cantitativi şi calitativi relevanţi, inclusiv cu privire la economicitate, eficienţă şi eficacitate, care trebuie să fie: măsurabili; specifici; accesibili; relevanţi şi stabiliţi pentru o anumită durată în timp.</w:t>
      </w:r>
    </w:p>
    <w:p w:rsidR="00CF002C" w:rsidRPr="00190182" w:rsidRDefault="00CF002C" w:rsidP="00D565E3">
      <w:pPr>
        <w:spacing w:line="276" w:lineRule="auto"/>
        <w:jc w:val="both"/>
        <w:rPr>
          <w:rFonts w:ascii="Times New Roman" w:hAnsi="Times New Roman" w:cs="Times New Roman"/>
          <w:sz w:val="24"/>
          <w:szCs w:val="24"/>
          <w:lang w:val="en-US"/>
        </w:rPr>
      </w:pPr>
      <w:r w:rsidRPr="00190182">
        <w:rPr>
          <w:rFonts w:ascii="Times New Roman" w:hAnsi="Times New Roman" w:cs="Times New Roman"/>
          <w:sz w:val="24"/>
          <w:szCs w:val="24"/>
          <w:lang w:val="en-US"/>
        </w:rPr>
        <w:t>Conducă</w:t>
      </w:r>
      <w:r>
        <w:rPr>
          <w:rFonts w:ascii="Times New Roman" w:hAnsi="Times New Roman" w:cs="Times New Roman"/>
          <w:sz w:val="24"/>
          <w:szCs w:val="24"/>
          <w:lang w:val="en-US"/>
        </w:rPr>
        <w:t>torii compartimentelor entităţilor</w:t>
      </w:r>
      <w:r w:rsidRPr="00190182">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190182">
        <w:rPr>
          <w:rFonts w:ascii="Times New Roman" w:hAnsi="Times New Roman" w:cs="Times New Roman"/>
          <w:sz w:val="24"/>
          <w:szCs w:val="24"/>
          <w:lang w:val="en-US"/>
        </w:rPr>
        <w:t>monitorize</w:t>
      </w:r>
      <w:r>
        <w:rPr>
          <w:rFonts w:ascii="Times New Roman" w:hAnsi="Times New Roman" w:cs="Times New Roman"/>
          <w:sz w:val="24"/>
          <w:szCs w:val="24"/>
          <w:lang w:val="en-US"/>
        </w:rPr>
        <w:t>ze</w:t>
      </w:r>
      <w:r w:rsidRPr="00190182">
        <w:rPr>
          <w:rFonts w:ascii="Times New Roman" w:hAnsi="Times New Roman" w:cs="Times New Roman"/>
          <w:sz w:val="24"/>
          <w:szCs w:val="24"/>
          <w:lang w:val="en-US"/>
        </w:rPr>
        <w:t xml:space="preserve"> performanţele activităţilor aflate în coordonare, prin elaborarea şi actualizarea, anual, a unei liste a obiectivelor, activităţilor şi indicatorilor de performanţă sau de rezultat, pe baza propunerilor personalului responsabil de activităţile prevăzute în fişa postului.</w:t>
      </w:r>
    </w:p>
    <w:p w:rsidR="00CF002C" w:rsidRPr="00190182" w:rsidRDefault="00CF002C" w:rsidP="00D565E3">
      <w:pPr>
        <w:spacing w:line="276" w:lineRule="auto"/>
        <w:jc w:val="both"/>
        <w:rPr>
          <w:rFonts w:ascii="Times New Roman" w:hAnsi="Times New Roman" w:cs="Times New Roman"/>
          <w:sz w:val="24"/>
          <w:szCs w:val="24"/>
          <w:lang w:val="en-US"/>
        </w:rPr>
      </w:pPr>
      <w:r w:rsidRPr="00190182">
        <w:rPr>
          <w:rFonts w:ascii="Times New Roman" w:hAnsi="Times New Roman" w:cs="Times New Roman"/>
          <w:sz w:val="24"/>
          <w:szCs w:val="24"/>
          <w:lang w:val="en-US"/>
        </w:rPr>
        <w:t xml:space="preserve">Conducătorii compartimentelor </w:t>
      </w:r>
      <w:r>
        <w:rPr>
          <w:rFonts w:ascii="Times New Roman" w:hAnsi="Times New Roman" w:cs="Times New Roman"/>
          <w:sz w:val="24"/>
          <w:szCs w:val="24"/>
          <w:lang w:val="en-US"/>
        </w:rPr>
        <w:t xml:space="preserve">trebuie </w:t>
      </w:r>
      <w:r w:rsidRPr="00190182">
        <w:rPr>
          <w:rFonts w:ascii="Times New Roman" w:hAnsi="Times New Roman" w:cs="Times New Roman"/>
          <w:sz w:val="24"/>
          <w:szCs w:val="24"/>
          <w:lang w:val="en-US"/>
        </w:rPr>
        <w:t>s</w:t>
      </w:r>
      <w:r>
        <w:rPr>
          <w:rFonts w:ascii="Times New Roman" w:hAnsi="Times New Roman" w:cs="Times New Roman"/>
          <w:sz w:val="24"/>
          <w:szCs w:val="24"/>
          <w:lang w:val="en-US"/>
        </w:rPr>
        <w:t>ă</w:t>
      </w:r>
      <w:r w:rsidRPr="00190182">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se </w:t>
      </w:r>
      <w:r w:rsidRPr="00190182">
        <w:rPr>
          <w:rFonts w:ascii="Times New Roman" w:hAnsi="Times New Roman" w:cs="Times New Roman"/>
          <w:sz w:val="24"/>
          <w:szCs w:val="24"/>
          <w:lang w:val="en-US"/>
        </w:rPr>
        <w:t>asigur</w:t>
      </w:r>
      <w:r>
        <w:rPr>
          <w:rFonts w:ascii="Times New Roman" w:hAnsi="Times New Roman" w:cs="Times New Roman"/>
          <w:sz w:val="24"/>
          <w:szCs w:val="24"/>
          <w:lang w:val="en-US"/>
        </w:rPr>
        <w:t>e</w:t>
      </w:r>
      <w:r w:rsidRPr="00190182">
        <w:rPr>
          <w:rFonts w:ascii="Times New Roman" w:hAnsi="Times New Roman" w:cs="Times New Roman"/>
          <w:sz w:val="24"/>
          <w:szCs w:val="24"/>
          <w:lang w:val="en-US"/>
        </w:rPr>
        <w:t xml:space="preserve"> că pentru fiecare activitate din cadrul obiectivelor specifice există cel puţin un indicator de performanţă sau de rezultat, cu ajutorul căruia se raportează realizările, şi pe baza acestora se elaborează un raport de monit</w:t>
      </w:r>
      <w:r>
        <w:rPr>
          <w:rFonts w:ascii="Times New Roman" w:hAnsi="Times New Roman" w:cs="Times New Roman"/>
          <w:sz w:val="24"/>
          <w:szCs w:val="24"/>
          <w:lang w:val="en-US"/>
        </w:rPr>
        <w:t>orizare a performanţelor, anual.</w:t>
      </w:r>
    </w:p>
    <w:p w:rsidR="00CF002C" w:rsidRDefault="00CF002C" w:rsidP="00D565E3">
      <w:pPr>
        <w:spacing w:line="276" w:lineRule="auto"/>
        <w:jc w:val="both"/>
        <w:rPr>
          <w:rFonts w:ascii="Times New Roman" w:hAnsi="Times New Roman" w:cs="Times New Roman"/>
          <w:sz w:val="24"/>
          <w:szCs w:val="24"/>
          <w:lang w:val="en-US"/>
        </w:rPr>
      </w:pPr>
      <w:r w:rsidRPr="00190182">
        <w:rPr>
          <w:rFonts w:ascii="Times New Roman" w:hAnsi="Times New Roman" w:cs="Times New Roman"/>
          <w:sz w:val="24"/>
          <w:szCs w:val="24"/>
          <w:lang w:val="en-US"/>
        </w:rPr>
        <w:t>Sistemul de monitorizare a performanţelor este influenţat de mărimea şi complexitatea entităţii publice, de modificarea/schimbarea obiectivelor sau/şi a indicatorilor, de modul de acces al salariaţilor la informaţii.</w:t>
      </w:r>
    </w:p>
    <w:p w:rsidR="004C4FBA" w:rsidRPr="00D6319B" w:rsidRDefault="004C4FBA" w:rsidP="00D565E3">
      <w:pPr>
        <w:tabs>
          <w:tab w:val="left" w:pos="1701"/>
        </w:tabs>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Din analiza datelor cuprinse în raportările ordonatorilor principali de credite</w:t>
      </w:r>
      <w:r w:rsidR="003E2CF1" w:rsidRPr="00D6319B">
        <w:rPr>
          <w:rFonts w:ascii="Times New Roman" w:hAnsi="Times New Roman" w:cs="Times New Roman"/>
          <w:sz w:val="24"/>
          <w:szCs w:val="24"/>
        </w:rPr>
        <w:t>,</w:t>
      </w:r>
      <w:r w:rsidRPr="00D6319B">
        <w:rPr>
          <w:rFonts w:ascii="Times New Roman" w:hAnsi="Times New Roman" w:cs="Times New Roman"/>
          <w:sz w:val="24"/>
          <w:szCs w:val="24"/>
        </w:rPr>
        <w:t xml:space="preserve"> </w:t>
      </w:r>
      <w:r w:rsidR="003E2CF1" w:rsidRPr="00D6319B">
        <w:rPr>
          <w:rFonts w:ascii="Times New Roman" w:hAnsi="Times New Roman" w:cs="Times New Roman"/>
          <w:i/>
          <w:sz w:val="24"/>
          <w:szCs w:val="24"/>
        </w:rPr>
        <w:t>în anul 2016</w:t>
      </w:r>
      <w:r w:rsidR="003E2CF1" w:rsidRPr="00D6319B">
        <w:rPr>
          <w:rFonts w:ascii="Times New Roman" w:hAnsi="Times New Roman" w:cs="Times New Roman"/>
          <w:sz w:val="24"/>
          <w:szCs w:val="24"/>
        </w:rPr>
        <w:t xml:space="preserve"> comparativ </w:t>
      </w:r>
      <w:r w:rsidR="003E2CF1" w:rsidRPr="00D6319B">
        <w:rPr>
          <w:rFonts w:ascii="Times New Roman" w:hAnsi="Times New Roman" w:cs="Times New Roman"/>
          <w:i/>
          <w:sz w:val="24"/>
          <w:szCs w:val="24"/>
        </w:rPr>
        <w:t>cu anul 2015</w:t>
      </w:r>
      <w:r w:rsidRPr="00D6319B">
        <w:rPr>
          <w:rFonts w:ascii="Times New Roman" w:hAnsi="Times New Roman" w:cs="Times New Roman"/>
          <w:sz w:val="24"/>
          <w:szCs w:val="24"/>
        </w:rPr>
        <w:t xml:space="preserve">, conform tabelului </w:t>
      </w:r>
      <w:r w:rsidR="00F50B97" w:rsidRPr="00D6319B">
        <w:rPr>
          <w:rFonts w:ascii="Times New Roman" w:hAnsi="Times New Roman" w:cs="Times New Roman"/>
          <w:sz w:val="24"/>
          <w:szCs w:val="24"/>
        </w:rPr>
        <w:t>nr. 3</w:t>
      </w:r>
      <w:r w:rsidRPr="00D6319B">
        <w:rPr>
          <w:rFonts w:ascii="Times New Roman" w:hAnsi="Times New Roman" w:cs="Times New Roman"/>
          <w:sz w:val="24"/>
          <w:szCs w:val="24"/>
        </w:rPr>
        <w:t>, a rezultat următoarea situație:</w:t>
      </w:r>
    </w:p>
    <w:p w:rsidR="00C1034E" w:rsidRPr="00D565E3" w:rsidRDefault="004C4FBA" w:rsidP="00D565E3">
      <w:pPr>
        <w:pStyle w:val="ListParagraph"/>
        <w:spacing w:line="276" w:lineRule="auto"/>
        <w:jc w:val="both"/>
        <w:rPr>
          <w:rFonts w:ascii="Times New Roman" w:hAnsi="Times New Roman" w:cs="Times New Roman"/>
          <w:b/>
          <w:sz w:val="24"/>
          <w:szCs w:val="24"/>
        </w:rPr>
      </w:pPr>
      <w:r w:rsidRPr="00D565E3">
        <w:rPr>
          <w:rFonts w:ascii="Times New Roman" w:hAnsi="Times New Roman" w:cs="Times New Roman"/>
          <w:b/>
          <w:sz w:val="24"/>
          <w:szCs w:val="24"/>
        </w:rPr>
        <w:t>Anul 2015</w:t>
      </w:r>
    </w:p>
    <w:p w:rsidR="004C4FBA" w:rsidRPr="00D6319B" w:rsidRDefault="004C4FBA" w:rsidP="00C7604C">
      <w:pPr>
        <w:pStyle w:val="ListParagraph"/>
        <w:numPr>
          <w:ilvl w:val="0"/>
          <w:numId w:val="31"/>
        </w:numPr>
        <w:tabs>
          <w:tab w:val="left" w:pos="1701"/>
        </w:tabs>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39 din cei 52 de ordonatori principali de credite, respectiv 75,00% </w:t>
      </w:r>
      <w:r w:rsidRPr="00D6319B">
        <w:rPr>
          <w:rFonts w:ascii="Times New Roman" w:hAnsi="Times New Roman" w:cs="Times New Roman"/>
          <w:i/>
          <w:sz w:val="24"/>
          <w:szCs w:val="24"/>
        </w:rPr>
        <w:t xml:space="preserve">au implementat </w:t>
      </w:r>
      <w:r w:rsidRPr="00D6319B">
        <w:rPr>
          <w:rFonts w:ascii="Times New Roman" w:hAnsi="Times New Roman" w:cs="Times New Roman"/>
          <w:sz w:val="24"/>
          <w:szCs w:val="24"/>
        </w:rPr>
        <w:t>acest standard;</w:t>
      </w:r>
    </w:p>
    <w:p w:rsidR="004C4FBA" w:rsidRPr="00D6319B" w:rsidRDefault="004C4FBA" w:rsidP="00C7604C">
      <w:pPr>
        <w:pStyle w:val="ListParagraph"/>
        <w:numPr>
          <w:ilvl w:val="0"/>
          <w:numId w:val="31"/>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 10 din cei 52 de ordonatori principali de credite, respectiv 19,23% </w:t>
      </w:r>
      <w:r w:rsidRPr="00D6319B">
        <w:rPr>
          <w:rFonts w:ascii="Times New Roman" w:hAnsi="Times New Roman" w:cs="Times New Roman"/>
          <w:i/>
          <w:sz w:val="24"/>
          <w:szCs w:val="24"/>
        </w:rPr>
        <w:t>au implementat parţial</w:t>
      </w:r>
      <w:r w:rsidRPr="00D6319B">
        <w:rPr>
          <w:rFonts w:ascii="Times New Roman" w:hAnsi="Times New Roman" w:cs="Times New Roman"/>
          <w:sz w:val="24"/>
          <w:szCs w:val="24"/>
        </w:rPr>
        <w:t xml:space="preserve"> acest standard;</w:t>
      </w:r>
    </w:p>
    <w:p w:rsidR="004C4FBA" w:rsidRPr="00D6319B" w:rsidRDefault="004C4FBA" w:rsidP="00C7604C">
      <w:pPr>
        <w:pStyle w:val="ListParagraph"/>
        <w:numPr>
          <w:ilvl w:val="0"/>
          <w:numId w:val="31"/>
        </w:numPr>
        <w:tabs>
          <w:tab w:val="left" w:pos="1701"/>
        </w:tabs>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 3 din cei 52 de ordonatori principali de credite, respectiv 5,77% </w:t>
      </w:r>
      <w:r w:rsidRPr="00D6319B">
        <w:rPr>
          <w:rFonts w:ascii="Times New Roman" w:hAnsi="Times New Roman" w:cs="Times New Roman"/>
          <w:i/>
          <w:sz w:val="24"/>
          <w:szCs w:val="24"/>
        </w:rPr>
        <w:t xml:space="preserve">nu a implementat </w:t>
      </w:r>
      <w:r w:rsidRPr="00D6319B">
        <w:rPr>
          <w:rFonts w:ascii="Times New Roman" w:hAnsi="Times New Roman" w:cs="Times New Roman"/>
          <w:sz w:val="24"/>
          <w:szCs w:val="24"/>
        </w:rPr>
        <w:t>acest standard.</w:t>
      </w:r>
    </w:p>
    <w:p w:rsidR="004C4FBA" w:rsidRPr="00D565E3" w:rsidRDefault="004C4FBA" w:rsidP="00D565E3">
      <w:pPr>
        <w:pStyle w:val="ListParagraph"/>
        <w:spacing w:line="276" w:lineRule="auto"/>
        <w:jc w:val="both"/>
        <w:rPr>
          <w:rFonts w:ascii="Times New Roman" w:hAnsi="Times New Roman" w:cs="Times New Roman"/>
          <w:b/>
          <w:sz w:val="24"/>
          <w:szCs w:val="24"/>
        </w:rPr>
      </w:pPr>
      <w:r w:rsidRPr="00D565E3">
        <w:rPr>
          <w:rFonts w:ascii="Times New Roman" w:hAnsi="Times New Roman" w:cs="Times New Roman"/>
          <w:b/>
          <w:sz w:val="24"/>
          <w:szCs w:val="24"/>
        </w:rPr>
        <w:t>Anul 2016</w:t>
      </w:r>
    </w:p>
    <w:p w:rsidR="004C4FBA" w:rsidRPr="00D6319B" w:rsidRDefault="004C4FBA" w:rsidP="00C7604C">
      <w:pPr>
        <w:pStyle w:val="ListParagraph"/>
        <w:numPr>
          <w:ilvl w:val="0"/>
          <w:numId w:val="32"/>
        </w:numPr>
        <w:tabs>
          <w:tab w:val="left" w:pos="1701"/>
        </w:tabs>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 39 din cei 50 de ordonatori principali de credite, respectiv 78,00% </w:t>
      </w:r>
      <w:r w:rsidRPr="00D6319B">
        <w:rPr>
          <w:rFonts w:ascii="Times New Roman" w:hAnsi="Times New Roman" w:cs="Times New Roman"/>
          <w:i/>
          <w:sz w:val="24"/>
          <w:szCs w:val="24"/>
        </w:rPr>
        <w:t xml:space="preserve">au implementat </w:t>
      </w:r>
      <w:r w:rsidRPr="00D6319B">
        <w:rPr>
          <w:rFonts w:ascii="Times New Roman" w:hAnsi="Times New Roman" w:cs="Times New Roman"/>
          <w:sz w:val="24"/>
          <w:szCs w:val="24"/>
        </w:rPr>
        <w:t>acest standard;</w:t>
      </w:r>
    </w:p>
    <w:p w:rsidR="004C4FBA" w:rsidRPr="00D6319B" w:rsidRDefault="004C4FBA" w:rsidP="00C7604C">
      <w:pPr>
        <w:pStyle w:val="ListParagraph"/>
        <w:numPr>
          <w:ilvl w:val="0"/>
          <w:numId w:val="32"/>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 10 din cei 50 de ordonatori principali de credite, respectiv 20,00% </w:t>
      </w:r>
      <w:r w:rsidRPr="00D6319B">
        <w:rPr>
          <w:rFonts w:ascii="Times New Roman" w:hAnsi="Times New Roman" w:cs="Times New Roman"/>
          <w:i/>
          <w:sz w:val="24"/>
          <w:szCs w:val="24"/>
        </w:rPr>
        <w:t>au</w:t>
      </w:r>
      <w:r w:rsidRPr="00D6319B">
        <w:rPr>
          <w:rFonts w:ascii="Times New Roman" w:hAnsi="Times New Roman" w:cs="Times New Roman"/>
          <w:sz w:val="24"/>
          <w:szCs w:val="24"/>
        </w:rPr>
        <w:t xml:space="preserve"> </w:t>
      </w:r>
      <w:r w:rsidRPr="00D6319B">
        <w:rPr>
          <w:rFonts w:ascii="Times New Roman" w:hAnsi="Times New Roman" w:cs="Times New Roman"/>
          <w:i/>
          <w:sz w:val="24"/>
          <w:szCs w:val="24"/>
        </w:rPr>
        <w:t xml:space="preserve">implementat parţial </w:t>
      </w:r>
      <w:r w:rsidRPr="00D6319B">
        <w:rPr>
          <w:rFonts w:ascii="Times New Roman" w:hAnsi="Times New Roman" w:cs="Times New Roman"/>
          <w:sz w:val="24"/>
          <w:szCs w:val="24"/>
        </w:rPr>
        <w:t>acest standard;</w:t>
      </w:r>
    </w:p>
    <w:p w:rsidR="004C4FBA" w:rsidRPr="00D6319B" w:rsidRDefault="004C4FBA" w:rsidP="00C7604C">
      <w:pPr>
        <w:pStyle w:val="ListParagraph"/>
        <w:numPr>
          <w:ilvl w:val="0"/>
          <w:numId w:val="32"/>
        </w:numPr>
        <w:tabs>
          <w:tab w:val="left" w:pos="1560"/>
          <w:tab w:val="left" w:pos="1701"/>
        </w:tabs>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 1 din cei 50 de ordonatori principali de credite, respectiv 2,00</w:t>
      </w:r>
      <w:r w:rsidRPr="00D6319B">
        <w:rPr>
          <w:rFonts w:ascii="Times New Roman" w:hAnsi="Times New Roman" w:cs="Times New Roman"/>
          <w:i/>
          <w:sz w:val="24"/>
          <w:szCs w:val="24"/>
        </w:rPr>
        <w:t xml:space="preserve">%  nu </w:t>
      </w:r>
      <w:r w:rsidR="00F50B97" w:rsidRPr="00D6319B">
        <w:rPr>
          <w:rFonts w:ascii="Times New Roman" w:hAnsi="Times New Roman" w:cs="Times New Roman"/>
          <w:i/>
          <w:sz w:val="24"/>
          <w:szCs w:val="24"/>
        </w:rPr>
        <w:t>a</w:t>
      </w:r>
      <w:r w:rsidRPr="00D6319B">
        <w:rPr>
          <w:rFonts w:ascii="Times New Roman" w:hAnsi="Times New Roman" w:cs="Times New Roman"/>
          <w:i/>
          <w:sz w:val="24"/>
          <w:szCs w:val="24"/>
        </w:rPr>
        <w:t xml:space="preserve"> implementat </w:t>
      </w:r>
      <w:r w:rsidRPr="00D6319B">
        <w:rPr>
          <w:rFonts w:ascii="Times New Roman" w:hAnsi="Times New Roman" w:cs="Times New Roman"/>
          <w:sz w:val="24"/>
          <w:szCs w:val="24"/>
        </w:rPr>
        <w:t>acest standard</w:t>
      </w:r>
      <w:r w:rsidR="00C046EE">
        <w:rPr>
          <w:rFonts w:ascii="Times New Roman" w:hAnsi="Times New Roman" w:cs="Times New Roman"/>
          <w:sz w:val="24"/>
          <w:szCs w:val="24"/>
        </w:rPr>
        <w:t>.</w:t>
      </w:r>
    </w:p>
    <w:p w:rsidR="00CD32EC" w:rsidRDefault="00B107A3" w:rsidP="00CD32EC">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672576" behindDoc="0" locked="0" layoutInCell="1" allowOverlap="1" wp14:anchorId="510B41E7" wp14:editId="37EC1B80">
            <wp:simplePos x="0" y="0"/>
            <wp:positionH relativeFrom="column">
              <wp:posOffset>3178521</wp:posOffset>
            </wp:positionH>
            <wp:positionV relativeFrom="paragraph">
              <wp:posOffset>-635</wp:posOffset>
            </wp:positionV>
            <wp:extent cx="2940685" cy="2230755"/>
            <wp:effectExtent l="0" t="0" r="12065" b="17145"/>
            <wp:wrapNone/>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anchor>
        </w:drawing>
      </w:r>
      <w:r>
        <w:rPr>
          <w:rFonts w:ascii="Times New Roman" w:hAnsi="Times New Roman" w:cs="Times New Roman"/>
          <w:noProof/>
          <w:sz w:val="24"/>
          <w:szCs w:val="24"/>
          <w:lang w:eastAsia="ro-RO"/>
        </w:rPr>
        <w:drawing>
          <wp:inline distT="0" distB="0" distL="0" distR="0" wp14:anchorId="27BC2F25" wp14:editId="7969622C">
            <wp:extent cx="2940710" cy="2231136"/>
            <wp:effectExtent l="0" t="0" r="12065" b="17145"/>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B8398E" w:rsidRDefault="00B8398E" w:rsidP="00D72872">
      <w:pPr>
        <w:spacing w:after="0" w:line="240" w:lineRule="auto"/>
        <w:jc w:val="both"/>
        <w:rPr>
          <w:rFonts w:ascii="Times New Roman" w:hAnsi="Times New Roman" w:cs="Times New Roman"/>
          <w:b/>
          <w:i/>
          <w:outline/>
          <w:color w:val="4472C4" w:themeColor="accent5"/>
          <w:sz w:val="24"/>
          <w:szCs w:val="24"/>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p>
    <w:p w:rsidR="00CF002C" w:rsidRPr="00D72872" w:rsidRDefault="00AC1F6C" w:rsidP="00D72872">
      <w:pPr>
        <w:rPr>
          <w:rFonts w:ascii="Times New Roman" w:hAnsi="Times New Roman" w:cs="Times New Roman"/>
          <w:b/>
          <w:sz w:val="24"/>
          <w:szCs w:val="24"/>
          <w:lang w:val="en-US"/>
        </w:rPr>
      </w:pPr>
      <w:r w:rsidRPr="00D72872">
        <w:rPr>
          <w:rFonts w:ascii="Times New Roman" w:hAnsi="Times New Roman" w:cs="Times New Roman"/>
          <w:b/>
          <w:sz w:val="24"/>
          <w:szCs w:val="24"/>
          <w:lang w:val="en-US"/>
        </w:rPr>
        <w:t>S</w:t>
      </w:r>
      <w:r w:rsidR="00D72872" w:rsidRPr="00D72872">
        <w:rPr>
          <w:rFonts w:ascii="Times New Roman" w:hAnsi="Times New Roman" w:cs="Times New Roman"/>
          <w:b/>
          <w:sz w:val="24"/>
          <w:szCs w:val="24"/>
          <w:lang w:val="en-US"/>
        </w:rPr>
        <w:t xml:space="preserve">tandardul </w:t>
      </w:r>
      <w:r w:rsidRPr="00D72872">
        <w:rPr>
          <w:rFonts w:ascii="Times New Roman" w:hAnsi="Times New Roman" w:cs="Times New Roman"/>
          <w:b/>
          <w:sz w:val="24"/>
          <w:szCs w:val="24"/>
          <w:lang w:val="en-US"/>
        </w:rPr>
        <w:t>8 - M</w:t>
      </w:r>
      <w:r w:rsidR="00D72872" w:rsidRPr="00D72872">
        <w:rPr>
          <w:rFonts w:ascii="Times New Roman" w:hAnsi="Times New Roman" w:cs="Times New Roman"/>
          <w:b/>
          <w:sz w:val="24"/>
          <w:szCs w:val="24"/>
          <w:lang w:val="en-US"/>
        </w:rPr>
        <w:t>anagementul riscului</w:t>
      </w:r>
    </w:p>
    <w:p w:rsidR="00CF002C" w:rsidRPr="00511494" w:rsidRDefault="00CF002C" w:rsidP="00D72872">
      <w:pPr>
        <w:spacing w:line="276" w:lineRule="auto"/>
        <w:jc w:val="both"/>
        <w:rPr>
          <w:rFonts w:ascii="Bernard MT Condensed" w:hAnsi="Bernard MT Condensed" w:cs="Times New Roman"/>
          <w:sz w:val="24"/>
          <w:szCs w:val="24"/>
          <w:lang w:val="en-US"/>
        </w:rPr>
      </w:pPr>
      <w:r w:rsidRPr="00511494">
        <w:rPr>
          <w:rFonts w:ascii="Times New Roman" w:hAnsi="Times New Roman" w:cs="Times New Roman"/>
          <w:sz w:val="24"/>
          <w:szCs w:val="24"/>
          <w:lang w:val="en-US"/>
        </w:rPr>
        <w:t>Conducător</w:t>
      </w:r>
      <w:r>
        <w:rPr>
          <w:rFonts w:ascii="Times New Roman" w:hAnsi="Times New Roman" w:cs="Times New Roman"/>
          <w:sz w:val="24"/>
          <w:szCs w:val="24"/>
          <w:lang w:val="en-US"/>
        </w:rPr>
        <w:t>ii entităţilor</w:t>
      </w:r>
      <w:r w:rsidRPr="00511494">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511494">
        <w:rPr>
          <w:rFonts w:ascii="Times New Roman" w:hAnsi="Times New Roman" w:cs="Times New Roman"/>
          <w:sz w:val="24"/>
          <w:szCs w:val="24"/>
          <w:lang w:val="en-US"/>
        </w:rPr>
        <w:t xml:space="preserve">instituie şi </w:t>
      </w:r>
      <w:r>
        <w:rPr>
          <w:rFonts w:ascii="Times New Roman" w:hAnsi="Times New Roman" w:cs="Times New Roman"/>
          <w:sz w:val="24"/>
          <w:szCs w:val="24"/>
          <w:lang w:val="en-US"/>
        </w:rPr>
        <w:t xml:space="preserve">să </w:t>
      </w:r>
      <w:r w:rsidRPr="00511494">
        <w:rPr>
          <w:rFonts w:ascii="Times New Roman" w:hAnsi="Times New Roman" w:cs="Times New Roman"/>
          <w:sz w:val="24"/>
          <w:szCs w:val="24"/>
          <w:lang w:val="en-US"/>
        </w:rPr>
        <w:t>pun</w:t>
      </w:r>
      <w:r>
        <w:rPr>
          <w:rFonts w:ascii="Times New Roman" w:hAnsi="Times New Roman" w:cs="Times New Roman"/>
          <w:sz w:val="24"/>
          <w:szCs w:val="24"/>
          <w:lang w:val="en-US"/>
        </w:rPr>
        <w:t>ă</w:t>
      </w:r>
      <w:r w:rsidRPr="00511494">
        <w:rPr>
          <w:rFonts w:ascii="Times New Roman" w:hAnsi="Times New Roman" w:cs="Times New Roman"/>
          <w:sz w:val="24"/>
          <w:szCs w:val="24"/>
          <w:lang w:val="en-US"/>
        </w:rPr>
        <w:t xml:space="preserve"> în aplicare un proces de management al riscurilor, care să faciliteze realizarea eficientă şi eficace a obiectivelor acesteia.</w:t>
      </w:r>
    </w:p>
    <w:p w:rsidR="00CF002C" w:rsidRPr="00511494" w:rsidRDefault="00CF002C" w:rsidP="00D72872">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Pentru ca acest standard să fie implementat, e</w:t>
      </w:r>
      <w:r w:rsidRPr="00511494">
        <w:rPr>
          <w:rFonts w:ascii="Times New Roman" w:hAnsi="Times New Roman" w:cs="Times New Roman"/>
          <w:sz w:val="24"/>
          <w:szCs w:val="24"/>
          <w:lang w:val="en-US"/>
        </w:rPr>
        <w:t xml:space="preserve">ntităţile publice </w:t>
      </w:r>
      <w:r>
        <w:rPr>
          <w:rFonts w:ascii="Times New Roman" w:hAnsi="Times New Roman" w:cs="Times New Roman"/>
          <w:sz w:val="24"/>
          <w:szCs w:val="24"/>
          <w:lang w:val="en-US"/>
        </w:rPr>
        <w:t xml:space="preserve">trebuie să </w:t>
      </w:r>
      <w:r w:rsidRPr="00511494">
        <w:rPr>
          <w:rFonts w:ascii="Times New Roman" w:hAnsi="Times New Roman" w:cs="Times New Roman"/>
          <w:sz w:val="24"/>
          <w:szCs w:val="24"/>
          <w:lang w:val="en-US"/>
        </w:rPr>
        <w:t>îşi define</w:t>
      </w:r>
      <w:r>
        <w:rPr>
          <w:rFonts w:ascii="Times New Roman" w:hAnsi="Times New Roman" w:cs="Times New Roman"/>
          <w:sz w:val="24"/>
          <w:szCs w:val="24"/>
          <w:lang w:val="en-US"/>
        </w:rPr>
        <w:t>ască</w:t>
      </w:r>
      <w:r w:rsidRPr="00511494">
        <w:rPr>
          <w:rFonts w:ascii="Times New Roman" w:hAnsi="Times New Roman" w:cs="Times New Roman"/>
          <w:sz w:val="24"/>
          <w:szCs w:val="24"/>
          <w:lang w:val="en-US"/>
        </w:rPr>
        <w:t xml:space="preserve"> propria strategie privind riscurile cu care se pot confrunta şi </w:t>
      </w:r>
      <w:r>
        <w:rPr>
          <w:rFonts w:ascii="Times New Roman" w:hAnsi="Times New Roman" w:cs="Times New Roman"/>
          <w:sz w:val="24"/>
          <w:szCs w:val="24"/>
          <w:lang w:val="en-US"/>
        </w:rPr>
        <w:t xml:space="preserve">trebuie să </w:t>
      </w:r>
      <w:r w:rsidRPr="00511494">
        <w:rPr>
          <w:rFonts w:ascii="Times New Roman" w:hAnsi="Times New Roman" w:cs="Times New Roman"/>
          <w:sz w:val="24"/>
          <w:szCs w:val="24"/>
          <w:lang w:val="en-US"/>
        </w:rPr>
        <w:t>asigur</w:t>
      </w:r>
      <w:r>
        <w:rPr>
          <w:rFonts w:ascii="Times New Roman" w:hAnsi="Times New Roman" w:cs="Times New Roman"/>
          <w:sz w:val="24"/>
          <w:szCs w:val="24"/>
          <w:lang w:val="en-US"/>
        </w:rPr>
        <w:t>e</w:t>
      </w:r>
      <w:r w:rsidRPr="00511494">
        <w:rPr>
          <w:rFonts w:ascii="Times New Roman" w:hAnsi="Times New Roman" w:cs="Times New Roman"/>
          <w:sz w:val="24"/>
          <w:szCs w:val="24"/>
          <w:lang w:val="en-US"/>
        </w:rPr>
        <w:t xml:space="preserve"> documentarea completă şi adecvată a acesteia, prec</w:t>
      </w:r>
      <w:r>
        <w:rPr>
          <w:rFonts w:ascii="Times New Roman" w:hAnsi="Times New Roman" w:cs="Times New Roman"/>
          <w:sz w:val="24"/>
          <w:szCs w:val="24"/>
          <w:lang w:val="en-US"/>
        </w:rPr>
        <w:t>um şi accesibilitatea întregii entităţi</w:t>
      </w:r>
      <w:r w:rsidRPr="00511494">
        <w:rPr>
          <w:rFonts w:ascii="Times New Roman" w:hAnsi="Times New Roman" w:cs="Times New Roman"/>
          <w:sz w:val="24"/>
          <w:szCs w:val="24"/>
          <w:lang w:val="en-US"/>
        </w:rPr>
        <w:t xml:space="preserve"> la documentaţie.</w:t>
      </w:r>
    </w:p>
    <w:p w:rsidR="00CF002C" w:rsidRPr="00511494" w:rsidRDefault="00CF002C" w:rsidP="00602BDC">
      <w:pPr>
        <w:spacing w:line="276" w:lineRule="auto"/>
        <w:jc w:val="both"/>
        <w:rPr>
          <w:rFonts w:ascii="Times New Roman" w:hAnsi="Times New Roman" w:cs="Times New Roman"/>
          <w:sz w:val="24"/>
          <w:szCs w:val="24"/>
          <w:lang w:val="en-US"/>
        </w:rPr>
      </w:pPr>
      <w:r w:rsidRPr="00511494">
        <w:rPr>
          <w:rFonts w:ascii="Times New Roman" w:hAnsi="Times New Roman" w:cs="Times New Roman"/>
          <w:sz w:val="24"/>
          <w:szCs w:val="24"/>
          <w:lang w:val="en-US"/>
        </w:rPr>
        <w:t>Conduc</w:t>
      </w:r>
      <w:r>
        <w:rPr>
          <w:rFonts w:ascii="Times New Roman" w:hAnsi="Times New Roman" w:cs="Times New Roman"/>
          <w:sz w:val="24"/>
          <w:szCs w:val="24"/>
          <w:lang w:val="en-US"/>
        </w:rPr>
        <w:t>ătorii entităţilor</w:t>
      </w:r>
      <w:r w:rsidRPr="00511494">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511494">
        <w:rPr>
          <w:rFonts w:ascii="Times New Roman" w:hAnsi="Times New Roman" w:cs="Times New Roman"/>
          <w:sz w:val="24"/>
          <w:szCs w:val="24"/>
          <w:lang w:val="en-US"/>
        </w:rPr>
        <w:t>îşi stabile</w:t>
      </w:r>
      <w:r>
        <w:rPr>
          <w:rFonts w:ascii="Times New Roman" w:hAnsi="Times New Roman" w:cs="Times New Roman"/>
          <w:sz w:val="24"/>
          <w:szCs w:val="24"/>
          <w:lang w:val="en-US"/>
        </w:rPr>
        <w:t>ască</w:t>
      </w:r>
      <w:r w:rsidRPr="00511494">
        <w:rPr>
          <w:rFonts w:ascii="Times New Roman" w:hAnsi="Times New Roman" w:cs="Times New Roman"/>
          <w:sz w:val="24"/>
          <w:szCs w:val="24"/>
          <w:lang w:val="en-US"/>
        </w:rPr>
        <w:t xml:space="preserve"> clar obiectivele şi activităţile cuprinse într-o listă a obiectivelor, a activităţilor şi a indicatorilor de performanţă sau de rezultat, în vederea identificării şi definirii riscurilor asociate acestora.</w:t>
      </w:r>
    </w:p>
    <w:p w:rsidR="00CF002C" w:rsidRPr="00511494" w:rsidRDefault="00CF002C" w:rsidP="00D72872">
      <w:pPr>
        <w:spacing w:line="276" w:lineRule="auto"/>
        <w:jc w:val="both"/>
        <w:rPr>
          <w:rFonts w:ascii="Times New Roman" w:hAnsi="Times New Roman" w:cs="Times New Roman"/>
          <w:sz w:val="24"/>
          <w:szCs w:val="24"/>
          <w:lang w:val="en-US"/>
        </w:rPr>
      </w:pPr>
      <w:r w:rsidRPr="00511494">
        <w:rPr>
          <w:rFonts w:ascii="Times New Roman" w:hAnsi="Times New Roman" w:cs="Times New Roman"/>
          <w:sz w:val="24"/>
          <w:szCs w:val="24"/>
          <w:lang w:val="en-US"/>
        </w:rPr>
        <w:t>Conducător</w:t>
      </w:r>
      <w:r>
        <w:rPr>
          <w:rFonts w:ascii="Times New Roman" w:hAnsi="Times New Roman" w:cs="Times New Roman"/>
          <w:sz w:val="24"/>
          <w:szCs w:val="24"/>
          <w:lang w:val="en-US"/>
        </w:rPr>
        <w:t>ii entităţilor</w:t>
      </w:r>
      <w:r w:rsidRPr="00511494">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trebuie să</w:t>
      </w:r>
      <w:r w:rsidRPr="00511494">
        <w:rPr>
          <w:rFonts w:ascii="Times New Roman" w:hAnsi="Times New Roman" w:cs="Times New Roman"/>
          <w:sz w:val="24"/>
          <w:szCs w:val="24"/>
          <w:lang w:val="en-US"/>
        </w:rPr>
        <w:t xml:space="preserve"> cre</w:t>
      </w:r>
      <w:r>
        <w:rPr>
          <w:rFonts w:ascii="Times New Roman" w:hAnsi="Times New Roman" w:cs="Times New Roman"/>
          <w:sz w:val="24"/>
          <w:szCs w:val="24"/>
          <w:lang w:val="en-US"/>
        </w:rPr>
        <w:t>eze</w:t>
      </w:r>
      <w:r w:rsidRPr="00511494">
        <w:rPr>
          <w:rFonts w:ascii="Times New Roman" w:hAnsi="Times New Roman" w:cs="Times New Roman"/>
          <w:sz w:val="24"/>
          <w:szCs w:val="24"/>
          <w:lang w:val="en-US"/>
        </w:rPr>
        <w:t xml:space="preserve"> şi </w:t>
      </w:r>
      <w:r>
        <w:rPr>
          <w:rFonts w:ascii="Times New Roman" w:hAnsi="Times New Roman" w:cs="Times New Roman"/>
          <w:sz w:val="24"/>
          <w:szCs w:val="24"/>
          <w:lang w:val="en-US"/>
        </w:rPr>
        <w:t xml:space="preserve">să </w:t>
      </w:r>
      <w:r w:rsidRPr="00511494">
        <w:rPr>
          <w:rFonts w:ascii="Times New Roman" w:hAnsi="Times New Roman" w:cs="Times New Roman"/>
          <w:sz w:val="24"/>
          <w:szCs w:val="24"/>
          <w:lang w:val="en-US"/>
        </w:rPr>
        <w:t>menţin</w:t>
      </w:r>
      <w:r>
        <w:rPr>
          <w:rFonts w:ascii="Times New Roman" w:hAnsi="Times New Roman" w:cs="Times New Roman"/>
          <w:sz w:val="24"/>
          <w:szCs w:val="24"/>
          <w:lang w:val="en-US"/>
        </w:rPr>
        <w:t>ă</w:t>
      </w:r>
      <w:r w:rsidRPr="00511494">
        <w:rPr>
          <w:rFonts w:ascii="Times New Roman" w:hAnsi="Times New Roman" w:cs="Times New Roman"/>
          <w:sz w:val="24"/>
          <w:szCs w:val="24"/>
          <w:lang w:val="en-US"/>
        </w:rPr>
        <w:t xml:space="preserve"> un sistem eficient de management al riscurilor, în principal, prin:</w:t>
      </w:r>
    </w:p>
    <w:p w:rsidR="00D72872" w:rsidRDefault="00CF002C" w:rsidP="00C7604C">
      <w:pPr>
        <w:pStyle w:val="ListParagraph"/>
        <w:numPr>
          <w:ilvl w:val="0"/>
          <w:numId w:val="33"/>
        </w:numPr>
        <w:spacing w:after="120" w:line="276" w:lineRule="auto"/>
        <w:ind w:left="714" w:hanging="357"/>
        <w:contextualSpacing w:val="0"/>
        <w:jc w:val="both"/>
        <w:rPr>
          <w:rFonts w:ascii="Times New Roman" w:hAnsi="Times New Roman" w:cs="Times New Roman"/>
          <w:sz w:val="24"/>
          <w:szCs w:val="24"/>
          <w:lang w:val="en-US"/>
        </w:rPr>
      </w:pPr>
      <w:r w:rsidRPr="00D72872">
        <w:rPr>
          <w:rFonts w:ascii="Times New Roman" w:hAnsi="Times New Roman" w:cs="Times New Roman"/>
          <w:i/>
          <w:sz w:val="24"/>
          <w:szCs w:val="24"/>
          <w:lang w:val="en-US"/>
        </w:rPr>
        <w:t>identificarea riscurilor în strânsă legătură cu activităţile din cadrul obiectivelor specifice</w:t>
      </w:r>
      <w:r w:rsidRPr="00D72872">
        <w:rPr>
          <w:rFonts w:ascii="Times New Roman" w:hAnsi="Times New Roman" w:cs="Times New Roman"/>
          <w:sz w:val="24"/>
          <w:szCs w:val="24"/>
          <w:lang w:val="en-US"/>
        </w:rPr>
        <w:t xml:space="preserve"> a căror realizare ar putea fi afectată de materializarea riscurilor; identificarea ameninţărilor/vulnerabilităţilor prezente în cadrul activităţilor curente ale entităţii care ar putea conduce la săvârşirea unor fapte de corupţie şi fraude;</w:t>
      </w:r>
    </w:p>
    <w:p w:rsidR="00D72872" w:rsidRDefault="00CF002C" w:rsidP="00C7604C">
      <w:pPr>
        <w:pStyle w:val="ListParagraph"/>
        <w:numPr>
          <w:ilvl w:val="0"/>
          <w:numId w:val="33"/>
        </w:numPr>
        <w:spacing w:after="120" w:line="276" w:lineRule="auto"/>
        <w:ind w:left="714" w:hanging="357"/>
        <w:contextualSpacing w:val="0"/>
        <w:jc w:val="both"/>
        <w:rPr>
          <w:rFonts w:ascii="Times New Roman" w:hAnsi="Times New Roman" w:cs="Times New Roman"/>
          <w:sz w:val="24"/>
          <w:szCs w:val="24"/>
          <w:lang w:val="en-US"/>
        </w:rPr>
      </w:pPr>
      <w:r w:rsidRPr="00D72872">
        <w:rPr>
          <w:rFonts w:ascii="Times New Roman" w:hAnsi="Times New Roman" w:cs="Times New Roman"/>
          <w:i/>
          <w:sz w:val="24"/>
          <w:szCs w:val="24"/>
          <w:lang w:val="en-US"/>
        </w:rPr>
        <w:t>evaluarea riscurilor</w:t>
      </w:r>
      <w:r w:rsidRPr="00D72872">
        <w:rPr>
          <w:rFonts w:ascii="Times New Roman" w:hAnsi="Times New Roman" w:cs="Times New Roman"/>
          <w:sz w:val="24"/>
          <w:szCs w:val="24"/>
          <w:lang w:val="en-US"/>
        </w:rPr>
        <w:t>, prin măsurarea probabilităţii de apariţie şi a impactului asupra activităţilor din cadrul obiectivelor în cazul în care acestea se materializează; ierarhizarea şi prioritizarea riscurilor în funcţie de toleranţa la risc, aprobată de către conducerea entităţii;</w:t>
      </w:r>
    </w:p>
    <w:p w:rsidR="00D72872" w:rsidRDefault="00CF002C" w:rsidP="00C7604C">
      <w:pPr>
        <w:pStyle w:val="ListParagraph"/>
        <w:numPr>
          <w:ilvl w:val="0"/>
          <w:numId w:val="33"/>
        </w:numPr>
        <w:spacing w:after="120" w:line="276" w:lineRule="auto"/>
        <w:ind w:left="714" w:hanging="357"/>
        <w:contextualSpacing w:val="0"/>
        <w:jc w:val="both"/>
        <w:rPr>
          <w:rFonts w:ascii="Times New Roman" w:hAnsi="Times New Roman" w:cs="Times New Roman"/>
          <w:sz w:val="24"/>
          <w:szCs w:val="24"/>
          <w:lang w:val="en-US"/>
        </w:rPr>
      </w:pPr>
      <w:r w:rsidRPr="00D72872">
        <w:rPr>
          <w:rFonts w:ascii="Times New Roman" w:hAnsi="Times New Roman" w:cs="Times New Roman"/>
          <w:i/>
          <w:sz w:val="24"/>
          <w:szCs w:val="24"/>
          <w:lang w:val="en-US"/>
        </w:rPr>
        <w:t>stabilirea strategiei de gestionare a riscurilor</w:t>
      </w:r>
      <w:r w:rsidRPr="00D72872">
        <w:rPr>
          <w:rFonts w:ascii="Times New Roman" w:hAnsi="Times New Roman" w:cs="Times New Roman"/>
          <w:sz w:val="24"/>
          <w:szCs w:val="24"/>
          <w:lang w:val="en-US"/>
        </w:rPr>
        <w:t xml:space="preserve"> prin identificarea celor mai adecvate modalităţi de tratare a riscurilor, astfel încât acestea să se încadreze în limitele toleranţei la risc aprobate de către conducerea entităţii şi să asigure delegarea responsabilităţii de administrare a acestora către cele mai potrivite niveluri decizionale;</w:t>
      </w:r>
    </w:p>
    <w:p w:rsidR="00D72872" w:rsidRDefault="00CF002C" w:rsidP="00C7604C">
      <w:pPr>
        <w:pStyle w:val="ListParagraph"/>
        <w:numPr>
          <w:ilvl w:val="0"/>
          <w:numId w:val="33"/>
        </w:numPr>
        <w:spacing w:after="120" w:line="276" w:lineRule="auto"/>
        <w:ind w:left="714" w:hanging="357"/>
        <w:contextualSpacing w:val="0"/>
        <w:jc w:val="both"/>
        <w:rPr>
          <w:rFonts w:ascii="Times New Roman" w:hAnsi="Times New Roman" w:cs="Times New Roman"/>
          <w:sz w:val="24"/>
          <w:szCs w:val="24"/>
          <w:lang w:val="en-US"/>
        </w:rPr>
      </w:pPr>
      <w:r w:rsidRPr="00D72872">
        <w:rPr>
          <w:rFonts w:ascii="Times New Roman" w:hAnsi="Times New Roman" w:cs="Times New Roman"/>
          <w:i/>
          <w:sz w:val="24"/>
          <w:szCs w:val="24"/>
          <w:lang w:val="en-US"/>
        </w:rPr>
        <w:t>monitorizarea implementării măsurilor de control</w:t>
      </w:r>
      <w:r w:rsidRPr="00D72872">
        <w:rPr>
          <w:rFonts w:ascii="Times New Roman" w:hAnsi="Times New Roman" w:cs="Times New Roman"/>
          <w:sz w:val="24"/>
          <w:szCs w:val="24"/>
          <w:lang w:val="en-US"/>
        </w:rPr>
        <w:t>, precum şi a eficacităţii acestora;</w:t>
      </w:r>
    </w:p>
    <w:p w:rsidR="00CF002C" w:rsidRPr="00D72872" w:rsidRDefault="00CF002C" w:rsidP="00C7604C">
      <w:pPr>
        <w:pStyle w:val="ListParagraph"/>
        <w:numPr>
          <w:ilvl w:val="0"/>
          <w:numId w:val="33"/>
        </w:numPr>
        <w:spacing w:after="120" w:line="276" w:lineRule="auto"/>
        <w:ind w:left="714" w:hanging="357"/>
        <w:contextualSpacing w:val="0"/>
        <w:jc w:val="both"/>
        <w:rPr>
          <w:rFonts w:ascii="Times New Roman" w:hAnsi="Times New Roman" w:cs="Times New Roman"/>
          <w:sz w:val="24"/>
          <w:szCs w:val="24"/>
          <w:lang w:val="en-US"/>
        </w:rPr>
      </w:pPr>
      <w:r w:rsidRPr="00D72872">
        <w:rPr>
          <w:rFonts w:ascii="Times New Roman" w:hAnsi="Times New Roman" w:cs="Times New Roman"/>
          <w:i/>
          <w:sz w:val="24"/>
          <w:szCs w:val="24"/>
          <w:lang w:val="en-US"/>
        </w:rPr>
        <w:t>revizuirea şi raportarea periodică a situaţiei riscurilor</w:t>
      </w:r>
      <w:r w:rsidRPr="00D72872">
        <w:rPr>
          <w:rFonts w:ascii="Times New Roman" w:hAnsi="Times New Roman" w:cs="Times New Roman"/>
          <w:sz w:val="24"/>
          <w:szCs w:val="24"/>
          <w:lang w:val="en-US"/>
        </w:rPr>
        <w:t>.</w:t>
      </w:r>
    </w:p>
    <w:p w:rsidR="00CF002C" w:rsidRPr="00511494" w:rsidRDefault="00CF002C" w:rsidP="00602BDC">
      <w:pPr>
        <w:spacing w:line="276" w:lineRule="auto"/>
        <w:jc w:val="both"/>
        <w:rPr>
          <w:rFonts w:ascii="Times New Roman" w:hAnsi="Times New Roman" w:cs="Times New Roman"/>
          <w:sz w:val="24"/>
          <w:szCs w:val="24"/>
          <w:lang w:val="en-US"/>
        </w:rPr>
      </w:pPr>
      <w:r w:rsidRPr="00511494">
        <w:rPr>
          <w:rFonts w:ascii="Times New Roman" w:hAnsi="Times New Roman" w:cs="Times New Roman"/>
          <w:sz w:val="24"/>
          <w:szCs w:val="24"/>
          <w:lang w:val="en-US"/>
        </w:rPr>
        <w:t>Conduc</w:t>
      </w:r>
      <w:r>
        <w:rPr>
          <w:rFonts w:ascii="Times New Roman" w:hAnsi="Times New Roman" w:cs="Times New Roman"/>
          <w:sz w:val="24"/>
          <w:szCs w:val="24"/>
          <w:lang w:val="en-US"/>
        </w:rPr>
        <w:t>ătorii</w:t>
      </w:r>
      <w:r w:rsidRPr="00511494">
        <w:rPr>
          <w:rFonts w:ascii="Times New Roman" w:hAnsi="Times New Roman" w:cs="Times New Roman"/>
          <w:sz w:val="24"/>
          <w:szCs w:val="24"/>
          <w:lang w:val="en-US"/>
        </w:rPr>
        <w:t xml:space="preserve"> entităţi</w:t>
      </w:r>
      <w:r>
        <w:rPr>
          <w:rFonts w:ascii="Times New Roman" w:hAnsi="Times New Roman" w:cs="Times New Roman"/>
          <w:sz w:val="24"/>
          <w:szCs w:val="24"/>
          <w:lang w:val="en-US"/>
        </w:rPr>
        <w:t>lor</w:t>
      </w:r>
      <w:r w:rsidRPr="00511494">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511494">
        <w:rPr>
          <w:rFonts w:ascii="Times New Roman" w:hAnsi="Times New Roman" w:cs="Times New Roman"/>
          <w:sz w:val="24"/>
          <w:szCs w:val="24"/>
          <w:lang w:val="en-US"/>
        </w:rPr>
        <w:t>analize</w:t>
      </w:r>
      <w:r>
        <w:rPr>
          <w:rFonts w:ascii="Times New Roman" w:hAnsi="Times New Roman" w:cs="Times New Roman"/>
          <w:sz w:val="24"/>
          <w:szCs w:val="24"/>
          <w:lang w:val="en-US"/>
        </w:rPr>
        <w:t>ze</w:t>
      </w:r>
      <w:r w:rsidRPr="00511494">
        <w:rPr>
          <w:rFonts w:ascii="Times New Roman" w:hAnsi="Times New Roman" w:cs="Times New Roman"/>
          <w:sz w:val="24"/>
          <w:szCs w:val="24"/>
          <w:lang w:val="en-US"/>
        </w:rPr>
        <w:t xml:space="preserve"> mediul extins de risc în care acţionează şi stabileşte modul în care acesta îi afectează strategia de gestionare a riscurilor.</w:t>
      </w:r>
    </w:p>
    <w:p w:rsidR="006C141F" w:rsidRPr="00D6319B" w:rsidRDefault="006C141F" w:rsidP="00D72872">
      <w:pPr>
        <w:tabs>
          <w:tab w:val="left" w:pos="1701"/>
        </w:tabs>
        <w:spacing w:line="276" w:lineRule="auto"/>
        <w:jc w:val="both"/>
        <w:rPr>
          <w:rFonts w:ascii="Times New Roman" w:hAnsi="Times New Roman" w:cs="Times New Roman"/>
          <w:sz w:val="24"/>
          <w:szCs w:val="24"/>
        </w:rPr>
      </w:pPr>
      <w:r w:rsidRPr="00A45B97">
        <w:rPr>
          <w:rFonts w:ascii="Times New Roman" w:hAnsi="Times New Roman" w:cs="Times New Roman"/>
          <w:sz w:val="24"/>
          <w:szCs w:val="24"/>
        </w:rPr>
        <w:t>Din analiza datelor cuprinse în raportările ordonatorilor principali de credite</w:t>
      </w:r>
      <w:r w:rsidR="003E2CF1">
        <w:rPr>
          <w:rFonts w:ascii="Times New Roman" w:hAnsi="Times New Roman" w:cs="Times New Roman"/>
          <w:sz w:val="24"/>
          <w:szCs w:val="24"/>
        </w:rPr>
        <w:t>,</w:t>
      </w:r>
      <w:r>
        <w:rPr>
          <w:rFonts w:ascii="Times New Roman" w:hAnsi="Times New Roman" w:cs="Times New Roman"/>
          <w:sz w:val="24"/>
          <w:szCs w:val="24"/>
        </w:rPr>
        <w:t xml:space="preserve"> </w:t>
      </w:r>
      <w:r w:rsidR="003E2CF1" w:rsidRPr="00D6319B">
        <w:rPr>
          <w:rFonts w:ascii="Times New Roman" w:hAnsi="Times New Roman" w:cs="Times New Roman"/>
          <w:i/>
          <w:sz w:val="24"/>
          <w:szCs w:val="24"/>
        </w:rPr>
        <w:t>în anul 2016</w:t>
      </w:r>
      <w:r w:rsidR="003E2CF1" w:rsidRPr="00D6319B">
        <w:rPr>
          <w:rFonts w:ascii="Times New Roman" w:hAnsi="Times New Roman" w:cs="Times New Roman"/>
          <w:sz w:val="24"/>
          <w:szCs w:val="24"/>
        </w:rPr>
        <w:t xml:space="preserve"> comparativ cu </w:t>
      </w:r>
      <w:r w:rsidR="003E2CF1" w:rsidRPr="00D6319B">
        <w:rPr>
          <w:rFonts w:ascii="Times New Roman" w:hAnsi="Times New Roman" w:cs="Times New Roman"/>
          <w:i/>
          <w:sz w:val="24"/>
          <w:szCs w:val="24"/>
        </w:rPr>
        <w:t>anul 2015</w:t>
      </w:r>
      <w:r w:rsidRPr="00D6319B">
        <w:rPr>
          <w:rFonts w:ascii="Times New Roman" w:hAnsi="Times New Roman" w:cs="Times New Roman"/>
          <w:sz w:val="24"/>
          <w:szCs w:val="24"/>
        </w:rPr>
        <w:t xml:space="preserve">, conform tabelului </w:t>
      </w:r>
      <w:r w:rsidR="00F50B97" w:rsidRPr="00D6319B">
        <w:rPr>
          <w:rFonts w:ascii="Times New Roman" w:hAnsi="Times New Roman" w:cs="Times New Roman"/>
          <w:sz w:val="24"/>
          <w:szCs w:val="24"/>
        </w:rPr>
        <w:t>nr. 3</w:t>
      </w:r>
      <w:r w:rsidRPr="00D6319B">
        <w:rPr>
          <w:rFonts w:ascii="Times New Roman" w:hAnsi="Times New Roman" w:cs="Times New Roman"/>
          <w:sz w:val="24"/>
          <w:szCs w:val="24"/>
        </w:rPr>
        <w:t>, a rezultat următoarea situație:</w:t>
      </w:r>
    </w:p>
    <w:p w:rsidR="006C141F" w:rsidRPr="00D72872" w:rsidRDefault="006C141F" w:rsidP="00D72872">
      <w:pPr>
        <w:pStyle w:val="ListParagraph"/>
        <w:spacing w:line="276" w:lineRule="auto"/>
        <w:jc w:val="both"/>
        <w:rPr>
          <w:rFonts w:ascii="Times New Roman" w:hAnsi="Times New Roman" w:cs="Times New Roman"/>
          <w:b/>
          <w:sz w:val="24"/>
          <w:szCs w:val="24"/>
        </w:rPr>
      </w:pPr>
      <w:r w:rsidRPr="00D72872">
        <w:rPr>
          <w:rFonts w:ascii="Times New Roman" w:hAnsi="Times New Roman" w:cs="Times New Roman"/>
          <w:b/>
          <w:sz w:val="24"/>
          <w:szCs w:val="24"/>
        </w:rPr>
        <w:t>Anul 2015</w:t>
      </w:r>
    </w:p>
    <w:p w:rsidR="006C141F" w:rsidRPr="00D6319B" w:rsidRDefault="006C141F" w:rsidP="00C7604C">
      <w:pPr>
        <w:pStyle w:val="ListParagraph"/>
        <w:numPr>
          <w:ilvl w:val="0"/>
          <w:numId w:val="34"/>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36 din cei 52 de ordonatori principali de credite, respectiv 69,23% </w:t>
      </w:r>
      <w:r w:rsidRPr="00D6319B">
        <w:rPr>
          <w:rFonts w:ascii="Times New Roman" w:hAnsi="Times New Roman" w:cs="Times New Roman"/>
          <w:i/>
          <w:sz w:val="24"/>
          <w:szCs w:val="24"/>
        </w:rPr>
        <w:t>au implementat</w:t>
      </w:r>
      <w:r w:rsidRPr="00D6319B">
        <w:rPr>
          <w:rFonts w:ascii="Times New Roman" w:hAnsi="Times New Roman" w:cs="Times New Roman"/>
          <w:sz w:val="24"/>
          <w:szCs w:val="24"/>
        </w:rPr>
        <w:t xml:space="preserve"> acest standard;</w:t>
      </w:r>
    </w:p>
    <w:p w:rsidR="006C141F" w:rsidRPr="00D6319B" w:rsidRDefault="006C141F" w:rsidP="00C7604C">
      <w:pPr>
        <w:pStyle w:val="ListParagraph"/>
        <w:numPr>
          <w:ilvl w:val="0"/>
          <w:numId w:val="34"/>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 11 din cei 52 de ordonatori principali de credite, respectiv 21,15% </w:t>
      </w:r>
      <w:r w:rsidRPr="00D6319B">
        <w:rPr>
          <w:rFonts w:ascii="Times New Roman" w:hAnsi="Times New Roman" w:cs="Times New Roman"/>
          <w:i/>
          <w:sz w:val="24"/>
          <w:szCs w:val="24"/>
        </w:rPr>
        <w:t>au implementat parţial</w:t>
      </w:r>
      <w:r w:rsidRPr="00D6319B">
        <w:rPr>
          <w:rFonts w:ascii="Times New Roman" w:hAnsi="Times New Roman" w:cs="Times New Roman"/>
          <w:sz w:val="24"/>
          <w:szCs w:val="24"/>
        </w:rPr>
        <w:t xml:space="preserve"> acest standard;</w:t>
      </w:r>
    </w:p>
    <w:p w:rsidR="006C141F" w:rsidRPr="00D6319B" w:rsidRDefault="006C141F" w:rsidP="00C7604C">
      <w:pPr>
        <w:pStyle w:val="ListParagraph"/>
        <w:numPr>
          <w:ilvl w:val="0"/>
          <w:numId w:val="34"/>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5 din cei 52 de ordonatori principali de credite, respectiv 9,62% </w:t>
      </w:r>
      <w:r w:rsidRPr="00D6319B">
        <w:rPr>
          <w:rFonts w:ascii="Times New Roman" w:hAnsi="Times New Roman" w:cs="Times New Roman"/>
          <w:i/>
          <w:sz w:val="24"/>
          <w:szCs w:val="24"/>
        </w:rPr>
        <w:t>nu au implementat</w:t>
      </w:r>
      <w:r w:rsidRPr="00D6319B">
        <w:rPr>
          <w:rFonts w:ascii="Times New Roman" w:hAnsi="Times New Roman" w:cs="Times New Roman"/>
          <w:sz w:val="24"/>
          <w:szCs w:val="24"/>
        </w:rPr>
        <w:t xml:space="preserve"> acest standard.</w:t>
      </w:r>
    </w:p>
    <w:p w:rsidR="006C141F" w:rsidRPr="00D72872" w:rsidRDefault="006C141F" w:rsidP="00D72872">
      <w:pPr>
        <w:pStyle w:val="ListParagraph"/>
        <w:tabs>
          <w:tab w:val="left" w:pos="1701"/>
        </w:tabs>
        <w:spacing w:line="276" w:lineRule="auto"/>
        <w:jc w:val="both"/>
        <w:rPr>
          <w:rFonts w:ascii="Times New Roman" w:hAnsi="Times New Roman" w:cs="Times New Roman"/>
          <w:b/>
          <w:sz w:val="24"/>
          <w:szCs w:val="24"/>
        </w:rPr>
      </w:pPr>
      <w:r w:rsidRPr="00D72872">
        <w:rPr>
          <w:rFonts w:ascii="Times New Roman" w:hAnsi="Times New Roman" w:cs="Times New Roman"/>
          <w:b/>
          <w:sz w:val="24"/>
          <w:szCs w:val="24"/>
        </w:rPr>
        <w:t>Anul 2016</w:t>
      </w:r>
    </w:p>
    <w:p w:rsidR="006C141F" w:rsidRPr="00D6319B" w:rsidRDefault="006C141F" w:rsidP="00C7604C">
      <w:pPr>
        <w:pStyle w:val="ListParagraph"/>
        <w:numPr>
          <w:ilvl w:val="0"/>
          <w:numId w:val="35"/>
        </w:numPr>
        <w:tabs>
          <w:tab w:val="left" w:pos="1701"/>
        </w:tabs>
        <w:spacing w:after="0" w:line="276" w:lineRule="auto"/>
        <w:ind w:left="1434" w:hanging="357"/>
        <w:contextualSpacing w:val="0"/>
        <w:jc w:val="both"/>
        <w:rPr>
          <w:rFonts w:ascii="Times New Roman" w:hAnsi="Times New Roman" w:cs="Times New Roman"/>
          <w:sz w:val="24"/>
          <w:szCs w:val="24"/>
        </w:rPr>
      </w:pPr>
      <w:r w:rsidRPr="00D6319B">
        <w:rPr>
          <w:rFonts w:ascii="Times New Roman" w:hAnsi="Times New Roman" w:cs="Times New Roman"/>
          <w:sz w:val="24"/>
          <w:szCs w:val="24"/>
        </w:rPr>
        <w:t xml:space="preserve"> 35 din cei 50 de ordonatori principali de credite, respectiv 70,00% </w:t>
      </w:r>
      <w:r w:rsidRPr="00D6319B">
        <w:rPr>
          <w:rFonts w:ascii="Times New Roman" w:hAnsi="Times New Roman" w:cs="Times New Roman"/>
          <w:i/>
          <w:sz w:val="24"/>
          <w:szCs w:val="24"/>
        </w:rPr>
        <w:t xml:space="preserve">au implementat </w:t>
      </w:r>
      <w:r w:rsidRPr="00D6319B">
        <w:rPr>
          <w:rFonts w:ascii="Times New Roman" w:hAnsi="Times New Roman" w:cs="Times New Roman"/>
          <w:sz w:val="24"/>
          <w:szCs w:val="24"/>
        </w:rPr>
        <w:t>acest standard;</w:t>
      </w:r>
    </w:p>
    <w:p w:rsidR="006C141F" w:rsidRPr="00D6319B" w:rsidRDefault="006C141F" w:rsidP="00C7604C">
      <w:pPr>
        <w:pStyle w:val="ListParagraph"/>
        <w:numPr>
          <w:ilvl w:val="0"/>
          <w:numId w:val="35"/>
        </w:numPr>
        <w:spacing w:after="0" w:line="276" w:lineRule="auto"/>
        <w:ind w:left="1434" w:hanging="357"/>
        <w:contextualSpacing w:val="0"/>
        <w:jc w:val="both"/>
        <w:rPr>
          <w:rFonts w:ascii="Times New Roman" w:hAnsi="Times New Roman" w:cs="Times New Roman"/>
          <w:sz w:val="24"/>
          <w:szCs w:val="24"/>
        </w:rPr>
      </w:pPr>
      <w:r w:rsidRPr="00D6319B">
        <w:rPr>
          <w:rFonts w:ascii="Times New Roman" w:hAnsi="Times New Roman" w:cs="Times New Roman"/>
          <w:sz w:val="24"/>
          <w:szCs w:val="24"/>
        </w:rPr>
        <w:t xml:space="preserve"> 14 din cei 50 de ordonatori principali de credite, respectiv 28,00% </w:t>
      </w:r>
      <w:r w:rsidRPr="00D6319B">
        <w:rPr>
          <w:rFonts w:ascii="Times New Roman" w:hAnsi="Times New Roman" w:cs="Times New Roman"/>
          <w:i/>
          <w:sz w:val="24"/>
          <w:szCs w:val="24"/>
        </w:rPr>
        <w:t>au</w:t>
      </w:r>
      <w:r w:rsidRPr="00D6319B">
        <w:rPr>
          <w:rFonts w:ascii="Times New Roman" w:hAnsi="Times New Roman" w:cs="Times New Roman"/>
          <w:sz w:val="24"/>
          <w:szCs w:val="24"/>
        </w:rPr>
        <w:t xml:space="preserve"> </w:t>
      </w:r>
      <w:r w:rsidRPr="00D6319B">
        <w:rPr>
          <w:rFonts w:ascii="Times New Roman" w:hAnsi="Times New Roman" w:cs="Times New Roman"/>
          <w:i/>
          <w:sz w:val="24"/>
          <w:szCs w:val="24"/>
        </w:rPr>
        <w:t xml:space="preserve">implementat parţial </w:t>
      </w:r>
      <w:r w:rsidRPr="00D6319B">
        <w:rPr>
          <w:rFonts w:ascii="Times New Roman" w:hAnsi="Times New Roman" w:cs="Times New Roman"/>
          <w:sz w:val="24"/>
          <w:szCs w:val="24"/>
        </w:rPr>
        <w:t>acest standard;</w:t>
      </w:r>
    </w:p>
    <w:p w:rsidR="006C141F" w:rsidRDefault="006C141F" w:rsidP="00C7604C">
      <w:pPr>
        <w:pStyle w:val="ListParagraph"/>
        <w:numPr>
          <w:ilvl w:val="0"/>
          <w:numId w:val="35"/>
        </w:numPr>
        <w:tabs>
          <w:tab w:val="left" w:pos="1560"/>
          <w:tab w:val="left" w:pos="1701"/>
        </w:tabs>
        <w:spacing w:after="0" w:line="276" w:lineRule="auto"/>
        <w:ind w:left="1434" w:hanging="357"/>
        <w:contextualSpacing w:val="0"/>
        <w:jc w:val="both"/>
        <w:rPr>
          <w:rFonts w:ascii="Times New Roman" w:hAnsi="Times New Roman" w:cs="Times New Roman"/>
          <w:sz w:val="24"/>
          <w:szCs w:val="24"/>
        </w:rPr>
      </w:pPr>
      <w:r w:rsidRPr="00D6319B">
        <w:rPr>
          <w:rFonts w:ascii="Times New Roman" w:hAnsi="Times New Roman" w:cs="Times New Roman"/>
          <w:sz w:val="24"/>
          <w:szCs w:val="24"/>
        </w:rPr>
        <w:t xml:space="preserve"> 1 din cei 50 de ordonatori principali de credite, respectiv 2,00</w:t>
      </w:r>
      <w:r w:rsidR="00F50B97" w:rsidRPr="00D6319B">
        <w:rPr>
          <w:rFonts w:ascii="Times New Roman" w:hAnsi="Times New Roman" w:cs="Times New Roman"/>
          <w:i/>
          <w:sz w:val="24"/>
          <w:szCs w:val="24"/>
        </w:rPr>
        <w:t>%  nu a</w:t>
      </w:r>
      <w:r w:rsidRPr="00D6319B">
        <w:rPr>
          <w:rFonts w:ascii="Times New Roman" w:hAnsi="Times New Roman" w:cs="Times New Roman"/>
          <w:i/>
          <w:sz w:val="24"/>
          <w:szCs w:val="24"/>
        </w:rPr>
        <w:t xml:space="preserve"> implementat </w:t>
      </w:r>
      <w:r w:rsidRPr="00D6319B">
        <w:rPr>
          <w:rFonts w:ascii="Times New Roman" w:hAnsi="Times New Roman" w:cs="Times New Roman"/>
          <w:sz w:val="24"/>
          <w:szCs w:val="24"/>
        </w:rPr>
        <w:t>acest standard</w:t>
      </w:r>
      <w:r w:rsidR="0078147B">
        <w:rPr>
          <w:rFonts w:ascii="Times New Roman" w:hAnsi="Times New Roman" w:cs="Times New Roman"/>
          <w:sz w:val="24"/>
          <w:szCs w:val="24"/>
        </w:rPr>
        <w:t>.</w:t>
      </w:r>
    </w:p>
    <w:p w:rsidR="00520721" w:rsidRDefault="00B107A3" w:rsidP="00520721">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674624" behindDoc="0" locked="0" layoutInCell="1" allowOverlap="1" wp14:anchorId="2A11FC76" wp14:editId="0F0F1502">
            <wp:simplePos x="0" y="0"/>
            <wp:positionH relativeFrom="column">
              <wp:posOffset>3145511</wp:posOffset>
            </wp:positionH>
            <wp:positionV relativeFrom="paragraph">
              <wp:posOffset>-2310</wp:posOffset>
            </wp:positionV>
            <wp:extent cx="2940685" cy="2033270"/>
            <wp:effectExtent l="0" t="0" r="12065" b="5080"/>
            <wp:wrapNone/>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V relativeFrom="margin">
              <wp14:pctHeight>0</wp14:pctHeight>
            </wp14:sizeRelV>
          </wp:anchor>
        </w:drawing>
      </w:r>
      <w:r>
        <w:rPr>
          <w:rFonts w:ascii="Times New Roman" w:hAnsi="Times New Roman" w:cs="Times New Roman"/>
          <w:noProof/>
          <w:sz w:val="24"/>
          <w:szCs w:val="24"/>
          <w:lang w:eastAsia="ro-RO"/>
        </w:rPr>
        <w:drawing>
          <wp:inline distT="0" distB="0" distL="0" distR="0" wp14:anchorId="0E0D6C39" wp14:editId="33FD716B">
            <wp:extent cx="2940685" cy="2033270"/>
            <wp:effectExtent l="0" t="0" r="12065" b="5080"/>
            <wp:docPr id="85" name="Chart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CF002C" w:rsidRPr="00B513B0" w:rsidRDefault="00CF002C" w:rsidP="00B513B0">
      <w:pPr>
        <w:spacing w:line="276" w:lineRule="auto"/>
        <w:jc w:val="both"/>
        <w:rPr>
          <w:rFonts w:ascii="Times New Roman" w:hAnsi="Times New Roman" w:cs="Times New Roman"/>
          <w:b/>
          <w:sz w:val="24"/>
          <w:szCs w:val="24"/>
          <w:lang w:val="en-US"/>
        </w:rPr>
      </w:pPr>
      <w:r w:rsidRPr="00B513B0">
        <w:rPr>
          <w:rFonts w:ascii="Times New Roman" w:hAnsi="Times New Roman" w:cs="Times New Roman"/>
          <w:b/>
          <w:sz w:val="24"/>
          <w:szCs w:val="24"/>
          <w:lang w:val="en-US"/>
        </w:rPr>
        <w:t>III. Activităţi de control</w:t>
      </w:r>
    </w:p>
    <w:p w:rsidR="00CF002C" w:rsidRPr="00B513B0" w:rsidRDefault="00CF002C" w:rsidP="00B513B0">
      <w:pPr>
        <w:rPr>
          <w:rFonts w:ascii="Times New Roman" w:hAnsi="Times New Roman" w:cs="Times New Roman"/>
          <w:b/>
          <w:sz w:val="24"/>
          <w:szCs w:val="24"/>
          <w:lang w:val="en-US"/>
        </w:rPr>
      </w:pPr>
      <w:r w:rsidRPr="0073369D">
        <w:rPr>
          <w:rFonts w:ascii="Bernard MT Condensed" w:hAnsi="Bernard MT Condensed"/>
          <w:lang w:val="en-US"/>
        </w:rPr>
        <w:t xml:space="preserve"> </w:t>
      </w:r>
      <w:r w:rsidR="00AC1F6C" w:rsidRPr="00B513B0">
        <w:rPr>
          <w:rFonts w:ascii="Times New Roman" w:hAnsi="Times New Roman" w:cs="Times New Roman"/>
          <w:b/>
          <w:sz w:val="24"/>
          <w:szCs w:val="24"/>
          <w:lang w:val="en-US"/>
        </w:rPr>
        <w:t>S</w:t>
      </w:r>
      <w:r w:rsidR="00B513B0" w:rsidRPr="00B513B0">
        <w:rPr>
          <w:rFonts w:ascii="Times New Roman" w:hAnsi="Times New Roman" w:cs="Times New Roman"/>
          <w:b/>
          <w:sz w:val="24"/>
          <w:szCs w:val="24"/>
          <w:lang w:val="en-US"/>
        </w:rPr>
        <w:t xml:space="preserve">tandardul </w:t>
      </w:r>
      <w:r w:rsidR="00AC1F6C" w:rsidRPr="00B513B0">
        <w:rPr>
          <w:rFonts w:ascii="Times New Roman" w:hAnsi="Times New Roman" w:cs="Times New Roman"/>
          <w:b/>
          <w:sz w:val="24"/>
          <w:szCs w:val="24"/>
          <w:lang w:val="en-US"/>
        </w:rPr>
        <w:t>9 – P</w:t>
      </w:r>
      <w:r w:rsidR="00B513B0" w:rsidRPr="00B513B0">
        <w:rPr>
          <w:rFonts w:ascii="Times New Roman" w:hAnsi="Times New Roman" w:cs="Times New Roman"/>
          <w:b/>
          <w:sz w:val="24"/>
          <w:szCs w:val="24"/>
          <w:lang w:val="en-US"/>
        </w:rPr>
        <w:t>roceduri</w:t>
      </w:r>
    </w:p>
    <w:p w:rsidR="00CF002C" w:rsidRPr="0073369D" w:rsidRDefault="00CF002C" w:rsidP="00B513B0">
      <w:pPr>
        <w:spacing w:line="276" w:lineRule="auto"/>
        <w:jc w:val="both"/>
        <w:rPr>
          <w:rFonts w:ascii="Times New Roman" w:hAnsi="Times New Roman" w:cs="Times New Roman"/>
          <w:sz w:val="24"/>
          <w:szCs w:val="24"/>
          <w:lang w:val="en-US"/>
        </w:rPr>
      </w:pPr>
      <w:r w:rsidRPr="0073369D">
        <w:rPr>
          <w:rFonts w:ascii="Times New Roman" w:hAnsi="Times New Roman" w:cs="Times New Roman"/>
          <w:sz w:val="24"/>
          <w:szCs w:val="24"/>
          <w:lang w:val="en-US"/>
        </w:rPr>
        <w:t>Conduc</w:t>
      </w:r>
      <w:r>
        <w:rPr>
          <w:rFonts w:ascii="Times New Roman" w:hAnsi="Times New Roman" w:cs="Times New Roman"/>
          <w:sz w:val="24"/>
          <w:szCs w:val="24"/>
          <w:lang w:val="en-US"/>
        </w:rPr>
        <w:t>ătoriI entităţilor</w:t>
      </w:r>
      <w:r w:rsidRPr="0073369D">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se </w:t>
      </w:r>
      <w:r w:rsidRPr="0073369D">
        <w:rPr>
          <w:rFonts w:ascii="Times New Roman" w:hAnsi="Times New Roman" w:cs="Times New Roman"/>
          <w:sz w:val="24"/>
          <w:szCs w:val="24"/>
          <w:lang w:val="en-US"/>
        </w:rPr>
        <w:t>asigur</w:t>
      </w:r>
      <w:r>
        <w:rPr>
          <w:rFonts w:ascii="Times New Roman" w:hAnsi="Times New Roman" w:cs="Times New Roman"/>
          <w:sz w:val="24"/>
          <w:szCs w:val="24"/>
          <w:lang w:val="en-US"/>
        </w:rPr>
        <w:t>e</w:t>
      </w:r>
      <w:r w:rsidRPr="0073369D">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că </w:t>
      </w:r>
      <w:r w:rsidRPr="0073369D">
        <w:rPr>
          <w:rFonts w:ascii="Times New Roman" w:hAnsi="Times New Roman" w:cs="Times New Roman"/>
          <w:sz w:val="24"/>
          <w:szCs w:val="24"/>
          <w:lang w:val="en-US"/>
        </w:rPr>
        <w:t xml:space="preserve">pentru procesele sau activităţile derulate în cadrul entităţii </w:t>
      </w:r>
      <w:r>
        <w:rPr>
          <w:rFonts w:ascii="Times New Roman" w:hAnsi="Times New Roman" w:cs="Times New Roman"/>
          <w:sz w:val="24"/>
          <w:szCs w:val="24"/>
          <w:lang w:val="en-US"/>
        </w:rPr>
        <w:t>sunt elaborate</w:t>
      </w:r>
      <w:r w:rsidRPr="0073369D">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proceduri formalizate </w:t>
      </w:r>
      <w:r w:rsidRPr="0073369D">
        <w:rPr>
          <w:rFonts w:ascii="Times New Roman" w:hAnsi="Times New Roman" w:cs="Times New Roman"/>
          <w:sz w:val="24"/>
          <w:szCs w:val="24"/>
          <w:lang w:val="en-US"/>
        </w:rPr>
        <w:t xml:space="preserve">şi </w:t>
      </w:r>
      <w:r>
        <w:rPr>
          <w:rFonts w:ascii="Times New Roman" w:hAnsi="Times New Roman" w:cs="Times New Roman"/>
          <w:sz w:val="24"/>
          <w:szCs w:val="24"/>
          <w:lang w:val="en-US"/>
        </w:rPr>
        <w:t>sunt</w:t>
      </w:r>
      <w:r w:rsidRPr="0073369D">
        <w:rPr>
          <w:rFonts w:ascii="Times New Roman" w:hAnsi="Times New Roman" w:cs="Times New Roman"/>
          <w:sz w:val="24"/>
          <w:szCs w:val="24"/>
          <w:lang w:val="en-US"/>
        </w:rPr>
        <w:t xml:space="preserve"> adu</w:t>
      </w:r>
      <w:r>
        <w:rPr>
          <w:rFonts w:ascii="Times New Roman" w:hAnsi="Times New Roman" w:cs="Times New Roman"/>
          <w:sz w:val="24"/>
          <w:szCs w:val="24"/>
          <w:lang w:val="en-US"/>
        </w:rPr>
        <w:t>s</w:t>
      </w:r>
      <w:r w:rsidRPr="0073369D">
        <w:rPr>
          <w:rFonts w:ascii="Times New Roman" w:hAnsi="Times New Roman" w:cs="Times New Roman"/>
          <w:sz w:val="24"/>
          <w:szCs w:val="24"/>
          <w:lang w:val="en-US"/>
        </w:rPr>
        <w:t>e la cunoştinţă personalului implicat, respectiv procedurile de sistem şi proceduri operaţionale.</w:t>
      </w:r>
    </w:p>
    <w:p w:rsidR="00CF002C" w:rsidRDefault="00CF002C" w:rsidP="00B513B0">
      <w:pPr>
        <w:spacing w:line="276" w:lineRule="auto"/>
        <w:jc w:val="both"/>
        <w:rPr>
          <w:rFonts w:ascii="Times New Roman" w:hAnsi="Times New Roman" w:cs="Times New Roman"/>
          <w:sz w:val="24"/>
          <w:szCs w:val="24"/>
          <w:lang w:val="en-US"/>
        </w:rPr>
      </w:pPr>
      <w:r w:rsidRPr="0073369D">
        <w:rPr>
          <w:rFonts w:ascii="Times New Roman" w:hAnsi="Times New Roman" w:cs="Times New Roman"/>
          <w:sz w:val="24"/>
          <w:szCs w:val="24"/>
          <w:lang w:val="en-US"/>
        </w:rPr>
        <w:t>Conduc</w:t>
      </w:r>
      <w:r>
        <w:rPr>
          <w:rFonts w:ascii="Times New Roman" w:hAnsi="Times New Roman" w:cs="Times New Roman"/>
          <w:sz w:val="24"/>
          <w:szCs w:val="24"/>
          <w:lang w:val="en-US"/>
        </w:rPr>
        <w:t>ătorii entităţilor</w:t>
      </w:r>
      <w:r w:rsidRPr="0073369D">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73369D">
        <w:rPr>
          <w:rFonts w:ascii="Times New Roman" w:hAnsi="Times New Roman" w:cs="Times New Roman"/>
          <w:sz w:val="24"/>
          <w:szCs w:val="24"/>
          <w:lang w:val="en-US"/>
        </w:rPr>
        <w:t>se asigur</w:t>
      </w:r>
      <w:r>
        <w:rPr>
          <w:rFonts w:ascii="Times New Roman" w:hAnsi="Times New Roman" w:cs="Times New Roman"/>
          <w:sz w:val="24"/>
          <w:szCs w:val="24"/>
          <w:lang w:val="en-US"/>
        </w:rPr>
        <w:t>e</w:t>
      </w:r>
      <w:r w:rsidRPr="0073369D">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că </w:t>
      </w:r>
      <w:r w:rsidRPr="0073369D">
        <w:rPr>
          <w:rFonts w:ascii="Times New Roman" w:hAnsi="Times New Roman" w:cs="Times New Roman"/>
          <w:sz w:val="24"/>
          <w:szCs w:val="24"/>
          <w:lang w:val="en-US"/>
        </w:rPr>
        <w:t>pe baza unei liste a obiectivelor, activităţilor şi indicatorilor de performanţă sau de rezultat, că pentru toate procesele majore, activităţile, acţiunile şi/sau evenimentele semnificative există o documentaţie adecvată şi că operaţiunile sunt consemnate în documente.</w:t>
      </w:r>
    </w:p>
    <w:p w:rsidR="00CF002C" w:rsidRDefault="00CF002C" w:rsidP="00B513B0">
      <w:pPr>
        <w:spacing w:line="276" w:lineRule="auto"/>
        <w:jc w:val="both"/>
        <w:rPr>
          <w:rFonts w:ascii="Times New Roman" w:hAnsi="Times New Roman" w:cs="Times New Roman"/>
          <w:sz w:val="24"/>
          <w:szCs w:val="24"/>
          <w:lang w:val="en-US"/>
        </w:rPr>
      </w:pPr>
      <w:r w:rsidRPr="0073369D">
        <w:rPr>
          <w:rFonts w:ascii="Times New Roman" w:hAnsi="Times New Roman" w:cs="Times New Roman"/>
          <w:sz w:val="24"/>
          <w:szCs w:val="24"/>
          <w:lang w:val="en-US"/>
        </w:rPr>
        <w:t>Conduc</w:t>
      </w:r>
      <w:r>
        <w:rPr>
          <w:rFonts w:ascii="Times New Roman" w:hAnsi="Times New Roman" w:cs="Times New Roman"/>
          <w:sz w:val="24"/>
          <w:szCs w:val="24"/>
          <w:lang w:val="en-US"/>
        </w:rPr>
        <w:t>ătorii entităţilor</w:t>
      </w:r>
      <w:r w:rsidRPr="0073369D">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73369D">
        <w:rPr>
          <w:rFonts w:ascii="Times New Roman" w:hAnsi="Times New Roman" w:cs="Times New Roman"/>
          <w:sz w:val="24"/>
          <w:szCs w:val="24"/>
          <w:lang w:val="en-US"/>
        </w:rPr>
        <w:t>se asigur</w:t>
      </w:r>
      <w:r>
        <w:rPr>
          <w:rFonts w:ascii="Times New Roman" w:hAnsi="Times New Roman" w:cs="Times New Roman"/>
          <w:sz w:val="24"/>
          <w:szCs w:val="24"/>
          <w:lang w:val="en-US"/>
        </w:rPr>
        <w:t>e</w:t>
      </w:r>
      <w:r w:rsidRPr="0073369D">
        <w:rPr>
          <w:rFonts w:ascii="Times New Roman" w:hAnsi="Times New Roman" w:cs="Times New Roman"/>
          <w:sz w:val="24"/>
          <w:szCs w:val="24"/>
          <w:lang w:val="en-US"/>
        </w:rPr>
        <w:t xml:space="preserve"> că, pentru toate situaţiile în care din cauza unor circumstanţe deosebite apar abateri faţă de politicile sau procedurile stabilite, se întocmesc documente adecvate, aprobate la un nivel corespunzător, înainte de efectuarea operaţiunilor. </w:t>
      </w:r>
    </w:p>
    <w:p w:rsidR="00CF002C" w:rsidRPr="0073369D" w:rsidRDefault="00CF002C" w:rsidP="00B513B0">
      <w:pPr>
        <w:spacing w:line="276" w:lineRule="auto"/>
        <w:jc w:val="both"/>
        <w:rPr>
          <w:rFonts w:ascii="Times New Roman" w:hAnsi="Times New Roman" w:cs="Times New Roman"/>
          <w:sz w:val="24"/>
          <w:szCs w:val="24"/>
          <w:lang w:val="en-US"/>
        </w:rPr>
      </w:pPr>
      <w:r w:rsidRPr="0073369D">
        <w:rPr>
          <w:rFonts w:ascii="Times New Roman" w:hAnsi="Times New Roman" w:cs="Times New Roman"/>
          <w:sz w:val="24"/>
          <w:szCs w:val="24"/>
          <w:lang w:val="en-US"/>
        </w:rPr>
        <w:t>Conducătorii entităţilor publice în care, din cauza numărului mic de salariaţi, se limitează posibilitatea de aplicare a separării atribuţiilor şi responsabilităţilor trebuie să fie conştienţi de riscul cumulării atribuţiilor şi responsabilităţilor şi să compenseze această limitare prin activităţi de control suplimentare implementate pe fluxul proceselor sau activităţilor.</w:t>
      </w:r>
    </w:p>
    <w:p w:rsidR="00CF002C" w:rsidRDefault="00CF002C" w:rsidP="00B513B0">
      <w:pPr>
        <w:spacing w:line="276" w:lineRule="auto"/>
        <w:jc w:val="both"/>
        <w:rPr>
          <w:rFonts w:ascii="Times New Roman" w:hAnsi="Times New Roman" w:cs="Times New Roman"/>
          <w:sz w:val="24"/>
          <w:szCs w:val="24"/>
          <w:lang w:val="en-US"/>
        </w:rPr>
      </w:pPr>
      <w:r w:rsidRPr="00F21221">
        <w:rPr>
          <w:rFonts w:ascii="Times New Roman" w:hAnsi="Times New Roman" w:cs="Times New Roman"/>
          <w:sz w:val="24"/>
          <w:szCs w:val="24"/>
          <w:lang w:val="en-US"/>
        </w:rPr>
        <w:t>Conducătorii entităţilor publice trebuie să se asigure că</w:t>
      </w:r>
      <w:r>
        <w:rPr>
          <w:rFonts w:ascii="Times New Roman" w:hAnsi="Times New Roman" w:cs="Times New Roman"/>
          <w:sz w:val="24"/>
          <w:szCs w:val="24"/>
          <w:lang w:val="en-US"/>
        </w:rPr>
        <w:t xml:space="preserve"> î</w:t>
      </w:r>
      <w:r w:rsidRPr="0073369D">
        <w:rPr>
          <w:rFonts w:ascii="Times New Roman" w:hAnsi="Times New Roman" w:cs="Times New Roman"/>
          <w:sz w:val="24"/>
          <w:szCs w:val="24"/>
          <w:lang w:val="en-US"/>
        </w:rPr>
        <w:t>n entităţile publice, accesul la resursele materiale, financiare şi informaţionale, precum şi protejarea şi folosirea corectă a acestora se reglementează prin acte administrative, care se aduc la cunoştinţa salariaţilor. Restrângerea accesului la resurse reduce riscul utilizării inadecvate a acestora.</w:t>
      </w:r>
    </w:p>
    <w:p w:rsidR="006C141F" w:rsidRPr="00D6319B" w:rsidRDefault="006C141F" w:rsidP="00B513B0">
      <w:pPr>
        <w:tabs>
          <w:tab w:val="left" w:pos="1701"/>
        </w:tabs>
        <w:spacing w:line="276" w:lineRule="auto"/>
        <w:jc w:val="both"/>
        <w:rPr>
          <w:rFonts w:ascii="Times New Roman" w:hAnsi="Times New Roman" w:cs="Times New Roman"/>
          <w:sz w:val="24"/>
          <w:szCs w:val="24"/>
        </w:rPr>
      </w:pPr>
      <w:r w:rsidRPr="00A45B97">
        <w:rPr>
          <w:rFonts w:ascii="Times New Roman" w:hAnsi="Times New Roman" w:cs="Times New Roman"/>
          <w:sz w:val="24"/>
          <w:szCs w:val="24"/>
        </w:rPr>
        <w:t>Din analiza datelor cuprinse în raportările ordonatorilor principali de credite</w:t>
      </w:r>
      <w:r w:rsidR="003E2CF1">
        <w:rPr>
          <w:rFonts w:ascii="Times New Roman" w:hAnsi="Times New Roman" w:cs="Times New Roman"/>
          <w:sz w:val="24"/>
          <w:szCs w:val="24"/>
        </w:rPr>
        <w:t>,</w:t>
      </w:r>
      <w:r>
        <w:rPr>
          <w:rFonts w:ascii="Times New Roman" w:hAnsi="Times New Roman" w:cs="Times New Roman"/>
          <w:sz w:val="24"/>
          <w:szCs w:val="24"/>
        </w:rPr>
        <w:t xml:space="preserve"> </w:t>
      </w:r>
      <w:r w:rsidR="003E2CF1" w:rsidRPr="00D6319B">
        <w:rPr>
          <w:rFonts w:ascii="Times New Roman" w:hAnsi="Times New Roman" w:cs="Times New Roman"/>
          <w:i/>
          <w:sz w:val="24"/>
          <w:szCs w:val="24"/>
        </w:rPr>
        <w:t>în anul 2016</w:t>
      </w:r>
      <w:r w:rsidR="003E2CF1" w:rsidRPr="00D6319B">
        <w:rPr>
          <w:rFonts w:ascii="Times New Roman" w:hAnsi="Times New Roman" w:cs="Times New Roman"/>
          <w:sz w:val="24"/>
          <w:szCs w:val="24"/>
        </w:rPr>
        <w:t xml:space="preserve"> comparativ cu </w:t>
      </w:r>
      <w:r w:rsidR="003E2CF1" w:rsidRPr="00D6319B">
        <w:rPr>
          <w:rFonts w:ascii="Times New Roman" w:hAnsi="Times New Roman" w:cs="Times New Roman"/>
          <w:i/>
          <w:sz w:val="24"/>
          <w:szCs w:val="24"/>
        </w:rPr>
        <w:t>anul 2015</w:t>
      </w:r>
      <w:r w:rsidRPr="00D6319B">
        <w:rPr>
          <w:rFonts w:ascii="Times New Roman" w:hAnsi="Times New Roman" w:cs="Times New Roman"/>
          <w:sz w:val="24"/>
          <w:szCs w:val="24"/>
        </w:rPr>
        <w:t xml:space="preserve">, conform tabelului </w:t>
      </w:r>
      <w:r w:rsidR="00F50B97" w:rsidRPr="00D6319B">
        <w:rPr>
          <w:rFonts w:ascii="Times New Roman" w:hAnsi="Times New Roman" w:cs="Times New Roman"/>
          <w:sz w:val="24"/>
          <w:szCs w:val="24"/>
        </w:rPr>
        <w:t>nr. 3</w:t>
      </w:r>
      <w:r w:rsidRPr="00D6319B">
        <w:rPr>
          <w:rFonts w:ascii="Times New Roman" w:hAnsi="Times New Roman" w:cs="Times New Roman"/>
          <w:sz w:val="24"/>
          <w:szCs w:val="24"/>
        </w:rPr>
        <w:t>, a rezultat următoarea situație:</w:t>
      </w:r>
    </w:p>
    <w:p w:rsidR="006C141F" w:rsidRPr="00B513B0" w:rsidRDefault="006C141F" w:rsidP="00B513B0">
      <w:pPr>
        <w:pStyle w:val="ListParagraph"/>
        <w:spacing w:line="276" w:lineRule="auto"/>
        <w:jc w:val="both"/>
        <w:rPr>
          <w:rFonts w:ascii="Times New Roman" w:hAnsi="Times New Roman" w:cs="Times New Roman"/>
          <w:b/>
          <w:sz w:val="24"/>
          <w:szCs w:val="24"/>
        </w:rPr>
      </w:pPr>
      <w:r w:rsidRPr="00B513B0">
        <w:rPr>
          <w:rFonts w:ascii="Times New Roman" w:hAnsi="Times New Roman" w:cs="Times New Roman"/>
          <w:b/>
          <w:sz w:val="24"/>
          <w:szCs w:val="24"/>
        </w:rPr>
        <w:t>Anul 2015</w:t>
      </w:r>
    </w:p>
    <w:p w:rsidR="006C141F" w:rsidRPr="00D6319B" w:rsidRDefault="006C141F" w:rsidP="00C7604C">
      <w:pPr>
        <w:pStyle w:val="ListParagraph"/>
        <w:numPr>
          <w:ilvl w:val="0"/>
          <w:numId w:val="36"/>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33 din cei 52 de ordonatori principali de credite, respectiv 63,46% </w:t>
      </w:r>
      <w:r w:rsidRPr="00D6319B">
        <w:rPr>
          <w:rFonts w:ascii="Times New Roman" w:hAnsi="Times New Roman" w:cs="Times New Roman"/>
          <w:i/>
          <w:sz w:val="24"/>
          <w:szCs w:val="24"/>
        </w:rPr>
        <w:t>au implementat</w:t>
      </w:r>
      <w:r w:rsidRPr="00D6319B">
        <w:rPr>
          <w:rFonts w:ascii="Times New Roman" w:hAnsi="Times New Roman" w:cs="Times New Roman"/>
          <w:sz w:val="24"/>
          <w:szCs w:val="24"/>
        </w:rPr>
        <w:t xml:space="preserve"> acest standard;</w:t>
      </w:r>
    </w:p>
    <w:p w:rsidR="006C141F" w:rsidRPr="00D6319B" w:rsidRDefault="006C141F" w:rsidP="00C7604C">
      <w:pPr>
        <w:pStyle w:val="ListParagraph"/>
        <w:numPr>
          <w:ilvl w:val="0"/>
          <w:numId w:val="36"/>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 18 din cei 52 de ordonatori principali de credite, respectiv 34,62% </w:t>
      </w:r>
      <w:r w:rsidRPr="00D6319B">
        <w:rPr>
          <w:rFonts w:ascii="Times New Roman" w:hAnsi="Times New Roman" w:cs="Times New Roman"/>
          <w:i/>
          <w:sz w:val="24"/>
          <w:szCs w:val="24"/>
        </w:rPr>
        <w:t>au implementat parţial</w:t>
      </w:r>
      <w:r w:rsidRPr="00D6319B">
        <w:rPr>
          <w:rFonts w:ascii="Times New Roman" w:hAnsi="Times New Roman" w:cs="Times New Roman"/>
          <w:sz w:val="24"/>
          <w:szCs w:val="24"/>
        </w:rPr>
        <w:t xml:space="preserve"> acest standard;</w:t>
      </w:r>
    </w:p>
    <w:p w:rsidR="006C141F" w:rsidRPr="00D6319B" w:rsidRDefault="006C141F" w:rsidP="00C7604C">
      <w:pPr>
        <w:pStyle w:val="ListParagraph"/>
        <w:numPr>
          <w:ilvl w:val="0"/>
          <w:numId w:val="36"/>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1 din cei 52 de ordonatori principali de credite, respectiv 1,92% </w:t>
      </w:r>
      <w:r w:rsidRPr="00D6319B">
        <w:rPr>
          <w:rFonts w:ascii="Times New Roman" w:hAnsi="Times New Roman" w:cs="Times New Roman"/>
          <w:i/>
          <w:sz w:val="24"/>
          <w:szCs w:val="24"/>
        </w:rPr>
        <w:t>nu a implementat</w:t>
      </w:r>
      <w:r w:rsidRPr="00D6319B">
        <w:rPr>
          <w:rFonts w:ascii="Times New Roman" w:hAnsi="Times New Roman" w:cs="Times New Roman"/>
          <w:sz w:val="24"/>
          <w:szCs w:val="24"/>
        </w:rPr>
        <w:t xml:space="preserve"> acest standard.</w:t>
      </w:r>
    </w:p>
    <w:p w:rsidR="006C141F" w:rsidRPr="00B513B0" w:rsidRDefault="006C141F" w:rsidP="00B513B0">
      <w:pPr>
        <w:pStyle w:val="ListParagraph"/>
        <w:tabs>
          <w:tab w:val="left" w:pos="1701"/>
        </w:tabs>
        <w:spacing w:line="276" w:lineRule="auto"/>
        <w:jc w:val="both"/>
        <w:rPr>
          <w:rFonts w:ascii="Times New Roman" w:hAnsi="Times New Roman" w:cs="Times New Roman"/>
          <w:b/>
          <w:sz w:val="24"/>
          <w:szCs w:val="24"/>
        </w:rPr>
      </w:pPr>
      <w:r w:rsidRPr="00B513B0">
        <w:rPr>
          <w:rFonts w:ascii="Times New Roman" w:hAnsi="Times New Roman" w:cs="Times New Roman"/>
          <w:b/>
          <w:sz w:val="24"/>
          <w:szCs w:val="24"/>
        </w:rPr>
        <w:t>Anul 2016</w:t>
      </w:r>
    </w:p>
    <w:p w:rsidR="006C141F" w:rsidRPr="00D6319B" w:rsidRDefault="006C141F" w:rsidP="00C7604C">
      <w:pPr>
        <w:pStyle w:val="ListParagraph"/>
        <w:numPr>
          <w:ilvl w:val="0"/>
          <w:numId w:val="37"/>
        </w:numPr>
        <w:tabs>
          <w:tab w:val="left" w:pos="1701"/>
        </w:tabs>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 26 din cei 50 de ordonatori principali de credite, respectiv 52,00% </w:t>
      </w:r>
      <w:r w:rsidRPr="00D6319B">
        <w:rPr>
          <w:rFonts w:ascii="Times New Roman" w:hAnsi="Times New Roman" w:cs="Times New Roman"/>
          <w:i/>
          <w:sz w:val="24"/>
          <w:szCs w:val="24"/>
        </w:rPr>
        <w:t xml:space="preserve">au implementat </w:t>
      </w:r>
      <w:r w:rsidRPr="00D6319B">
        <w:rPr>
          <w:rFonts w:ascii="Times New Roman" w:hAnsi="Times New Roman" w:cs="Times New Roman"/>
          <w:sz w:val="24"/>
          <w:szCs w:val="24"/>
        </w:rPr>
        <w:t>acest standard;</w:t>
      </w:r>
    </w:p>
    <w:p w:rsidR="006C141F" w:rsidRPr="00D6319B" w:rsidRDefault="006C141F" w:rsidP="00C7604C">
      <w:pPr>
        <w:pStyle w:val="ListParagraph"/>
        <w:numPr>
          <w:ilvl w:val="0"/>
          <w:numId w:val="37"/>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 21 din cei 50 de ordonatori principali de credite, respectiv 42,00% </w:t>
      </w:r>
      <w:r w:rsidRPr="00D6319B">
        <w:rPr>
          <w:rFonts w:ascii="Times New Roman" w:hAnsi="Times New Roman" w:cs="Times New Roman"/>
          <w:i/>
          <w:sz w:val="24"/>
          <w:szCs w:val="24"/>
        </w:rPr>
        <w:t>au</w:t>
      </w:r>
      <w:r w:rsidRPr="00D6319B">
        <w:rPr>
          <w:rFonts w:ascii="Times New Roman" w:hAnsi="Times New Roman" w:cs="Times New Roman"/>
          <w:sz w:val="24"/>
          <w:szCs w:val="24"/>
        </w:rPr>
        <w:t xml:space="preserve"> </w:t>
      </w:r>
      <w:r w:rsidRPr="00D6319B">
        <w:rPr>
          <w:rFonts w:ascii="Times New Roman" w:hAnsi="Times New Roman" w:cs="Times New Roman"/>
          <w:i/>
          <w:sz w:val="24"/>
          <w:szCs w:val="24"/>
        </w:rPr>
        <w:t xml:space="preserve">implementat parţial </w:t>
      </w:r>
      <w:r w:rsidRPr="00D6319B">
        <w:rPr>
          <w:rFonts w:ascii="Times New Roman" w:hAnsi="Times New Roman" w:cs="Times New Roman"/>
          <w:sz w:val="24"/>
          <w:szCs w:val="24"/>
        </w:rPr>
        <w:t>acest standard;</w:t>
      </w:r>
    </w:p>
    <w:p w:rsidR="006C141F" w:rsidRPr="00D6319B" w:rsidRDefault="006C141F" w:rsidP="00C7604C">
      <w:pPr>
        <w:pStyle w:val="ListParagraph"/>
        <w:numPr>
          <w:ilvl w:val="0"/>
          <w:numId w:val="38"/>
        </w:numPr>
        <w:tabs>
          <w:tab w:val="left" w:pos="1560"/>
          <w:tab w:val="left" w:pos="1701"/>
        </w:tabs>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 3 din cei 50 de ordonatori principali de credite, respectiv </w:t>
      </w:r>
      <w:r w:rsidR="0058301B" w:rsidRPr="00D6319B">
        <w:rPr>
          <w:rFonts w:ascii="Times New Roman" w:hAnsi="Times New Roman" w:cs="Times New Roman"/>
          <w:sz w:val="24"/>
          <w:szCs w:val="24"/>
        </w:rPr>
        <w:t>6</w:t>
      </w:r>
      <w:r w:rsidRPr="00D6319B">
        <w:rPr>
          <w:rFonts w:ascii="Times New Roman" w:hAnsi="Times New Roman" w:cs="Times New Roman"/>
          <w:sz w:val="24"/>
          <w:szCs w:val="24"/>
        </w:rPr>
        <w:t>,00</w:t>
      </w:r>
      <w:r w:rsidRPr="00D6319B">
        <w:rPr>
          <w:rFonts w:ascii="Times New Roman" w:hAnsi="Times New Roman" w:cs="Times New Roman"/>
          <w:i/>
          <w:sz w:val="24"/>
          <w:szCs w:val="24"/>
        </w:rPr>
        <w:t xml:space="preserve">%  nu au implementat </w:t>
      </w:r>
      <w:r w:rsidRPr="00D6319B">
        <w:rPr>
          <w:rFonts w:ascii="Times New Roman" w:hAnsi="Times New Roman" w:cs="Times New Roman"/>
          <w:sz w:val="24"/>
          <w:szCs w:val="24"/>
        </w:rPr>
        <w:t>acest standard</w:t>
      </w:r>
      <w:r w:rsidR="00E53463">
        <w:rPr>
          <w:rFonts w:ascii="Times New Roman" w:hAnsi="Times New Roman" w:cs="Times New Roman"/>
          <w:sz w:val="24"/>
          <w:szCs w:val="24"/>
        </w:rPr>
        <w:t>.</w:t>
      </w:r>
    </w:p>
    <w:p w:rsidR="004E7010" w:rsidRDefault="00F74B61" w:rsidP="004E7010">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676672" behindDoc="0" locked="0" layoutInCell="1" allowOverlap="1" wp14:anchorId="7445EFD0" wp14:editId="3A0DF014">
            <wp:simplePos x="0" y="0"/>
            <wp:positionH relativeFrom="column">
              <wp:posOffset>3152775</wp:posOffset>
            </wp:positionH>
            <wp:positionV relativeFrom="paragraph">
              <wp:posOffset>-2932</wp:posOffset>
            </wp:positionV>
            <wp:extent cx="2940685" cy="2230755"/>
            <wp:effectExtent l="0" t="0" r="12065" b="17145"/>
            <wp:wrapNone/>
            <wp:docPr id="94" name="Chart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anchor>
        </w:drawing>
      </w:r>
      <w:r>
        <w:rPr>
          <w:rFonts w:ascii="Times New Roman" w:hAnsi="Times New Roman" w:cs="Times New Roman"/>
          <w:noProof/>
          <w:sz w:val="24"/>
          <w:szCs w:val="24"/>
          <w:lang w:eastAsia="ro-RO"/>
        </w:rPr>
        <w:drawing>
          <wp:inline distT="0" distB="0" distL="0" distR="0" wp14:anchorId="31D12C99" wp14:editId="40A8A7FF">
            <wp:extent cx="2940710" cy="2231136"/>
            <wp:effectExtent l="0" t="0" r="12065" b="17145"/>
            <wp:docPr id="93" name="Chart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CF002C" w:rsidRPr="00B513B0" w:rsidRDefault="00AC1F6C" w:rsidP="00B513B0">
      <w:pPr>
        <w:rPr>
          <w:rFonts w:ascii="Times New Roman" w:hAnsi="Times New Roman" w:cs="Times New Roman"/>
          <w:b/>
          <w:sz w:val="24"/>
          <w:szCs w:val="24"/>
          <w:lang w:val="en-US"/>
        </w:rPr>
      </w:pPr>
      <w:r w:rsidRPr="00B513B0">
        <w:rPr>
          <w:rFonts w:ascii="Times New Roman" w:hAnsi="Times New Roman" w:cs="Times New Roman"/>
          <w:b/>
          <w:sz w:val="24"/>
          <w:szCs w:val="24"/>
          <w:lang w:val="en-US"/>
        </w:rPr>
        <w:t>S</w:t>
      </w:r>
      <w:r w:rsidR="00B513B0" w:rsidRPr="00B513B0">
        <w:rPr>
          <w:rFonts w:ascii="Times New Roman" w:hAnsi="Times New Roman" w:cs="Times New Roman"/>
          <w:b/>
          <w:sz w:val="24"/>
          <w:szCs w:val="24"/>
          <w:lang w:val="en-US"/>
        </w:rPr>
        <w:t xml:space="preserve">tandardul </w:t>
      </w:r>
      <w:r w:rsidRPr="00B513B0">
        <w:rPr>
          <w:rFonts w:ascii="Times New Roman" w:hAnsi="Times New Roman" w:cs="Times New Roman"/>
          <w:b/>
          <w:sz w:val="24"/>
          <w:szCs w:val="24"/>
          <w:lang w:val="en-US"/>
        </w:rPr>
        <w:t>10 – S</w:t>
      </w:r>
      <w:r w:rsidR="00B513B0" w:rsidRPr="00B513B0">
        <w:rPr>
          <w:rFonts w:ascii="Times New Roman" w:hAnsi="Times New Roman" w:cs="Times New Roman"/>
          <w:b/>
          <w:sz w:val="24"/>
          <w:szCs w:val="24"/>
          <w:lang w:val="en-US"/>
        </w:rPr>
        <w:t>upravegherea</w:t>
      </w:r>
    </w:p>
    <w:p w:rsidR="00CF002C" w:rsidRPr="00FD22A5" w:rsidRDefault="00CF002C" w:rsidP="00B513B0">
      <w:pPr>
        <w:spacing w:line="276" w:lineRule="auto"/>
        <w:jc w:val="both"/>
        <w:rPr>
          <w:rFonts w:ascii="Times New Roman" w:hAnsi="Times New Roman" w:cs="Times New Roman"/>
          <w:sz w:val="24"/>
          <w:szCs w:val="24"/>
          <w:lang w:val="en-US"/>
        </w:rPr>
      </w:pPr>
      <w:r w:rsidRPr="00FD22A5">
        <w:rPr>
          <w:rFonts w:ascii="Times New Roman" w:hAnsi="Times New Roman" w:cs="Times New Roman"/>
          <w:sz w:val="24"/>
          <w:szCs w:val="24"/>
          <w:lang w:val="en-US"/>
        </w:rPr>
        <w:t>Conduc</w:t>
      </w:r>
      <w:r>
        <w:rPr>
          <w:rFonts w:ascii="Times New Roman" w:hAnsi="Times New Roman" w:cs="Times New Roman"/>
          <w:sz w:val="24"/>
          <w:szCs w:val="24"/>
          <w:lang w:val="en-US"/>
        </w:rPr>
        <w:t>ătorii entităţilor</w:t>
      </w:r>
      <w:r w:rsidRPr="00FD22A5">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FD22A5">
        <w:rPr>
          <w:rFonts w:ascii="Times New Roman" w:hAnsi="Times New Roman" w:cs="Times New Roman"/>
          <w:sz w:val="24"/>
          <w:szCs w:val="24"/>
          <w:lang w:val="en-US"/>
        </w:rPr>
        <w:t>iniţi</w:t>
      </w:r>
      <w:r>
        <w:rPr>
          <w:rFonts w:ascii="Times New Roman" w:hAnsi="Times New Roman" w:cs="Times New Roman"/>
          <w:sz w:val="24"/>
          <w:szCs w:val="24"/>
          <w:lang w:val="en-US"/>
        </w:rPr>
        <w:t>eze</w:t>
      </w:r>
      <w:r w:rsidRPr="00FD22A5">
        <w:rPr>
          <w:rFonts w:ascii="Times New Roman" w:hAnsi="Times New Roman" w:cs="Times New Roman"/>
          <w:sz w:val="24"/>
          <w:szCs w:val="24"/>
          <w:lang w:val="en-US"/>
        </w:rPr>
        <w:t>, aplic</w:t>
      </w:r>
      <w:r>
        <w:rPr>
          <w:rFonts w:ascii="Times New Roman" w:hAnsi="Times New Roman" w:cs="Times New Roman"/>
          <w:sz w:val="24"/>
          <w:szCs w:val="24"/>
          <w:lang w:val="en-US"/>
        </w:rPr>
        <w:t>e</w:t>
      </w:r>
      <w:r w:rsidRPr="00FD22A5">
        <w:rPr>
          <w:rFonts w:ascii="Times New Roman" w:hAnsi="Times New Roman" w:cs="Times New Roman"/>
          <w:sz w:val="24"/>
          <w:szCs w:val="24"/>
          <w:lang w:val="en-US"/>
        </w:rPr>
        <w:t xml:space="preserve"> şi dezvolt</w:t>
      </w:r>
      <w:r>
        <w:rPr>
          <w:rFonts w:ascii="Times New Roman" w:hAnsi="Times New Roman" w:cs="Times New Roman"/>
          <w:sz w:val="24"/>
          <w:szCs w:val="24"/>
          <w:lang w:val="en-US"/>
        </w:rPr>
        <w:t>e</w:t>
      </w:r>
      <w:r w:rsidRPr="00FD22A5">
        <w:rPr>
          <w:rFonts w:ascii="Times New Roman" w:hAnsi="Times New Roman" w:cs="Times New Roman"/>
          <w:sz w:val="24"/>
          <w:szCs w:val="24"/>
          <w:lang w:val="en-US"/>
        </w:rPr>
        <w:t xml:space="preserve"> controale adecvate de supraveghere a activităţilor, operaţiunilor şi tranzacţiilor, în scopul realizării eficace a acestora.</w:t>
      </w:r>
    </w:p>
    <w:p w:rsidR="00CF002C" w:rsidRPr="00FD22A5" w:rsidRDefault="00CF002C" w:rsidP="00B513B0">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Conducătorii entităţilor</w:t>
      </w:r>
      <w:r w:rsidRPr="00FD22A5">
        <w:rPr>
          <w:rFonts w:ascii="Times New Roman" w:hAnsi="Times New Roman" w:cs="Times New Roman"/>
          <w:sz w:val="24"/>
          <w:szCs w:val="24"/>
          <w:lang w:val="en-US"/>
        </w:rPr>
        <w:t xml:space="preserve"> publice trebuie să monitorizeze efectuarea controalelor de supraveghere, pentru a se asigura că procedurile sunt respectate de către salariaţi în mod efectiv şi continuu.</w:t>
      </w:r>
    </w:p>
    <w:p w:rsidR="00CF002C" w:rsidRDefault="00CF002C" w:rsidP="00B513B0">
      <w:pPr>
        <w:spacing w:line="276" w:lineRule="auto"/>
        <w:jc w:val="both"/>
        <w:rPr>
          <w:rFonts w:ascii="Times New Roman" w:hAnsi="Times New Roman" w:cs="Times New Roman"/>
          <w:sz w:val="24"/>
          <w:szCs w:val="24"/>
          <w:lang w:val="en-US"/>
        </w:rPr>
      </w:pPr>
      <w:r w:rsidRPr="00FD22A5">
        <w:rPr>
          <w:rFonts w:ascii="Times New Roman" w:hAnsi="Times New Roman" w:cs="Times New Roman"/>
          <w:sz w:val="24"/>
          <w:szCs w:val="24"/>
          <w:lang w:val="en-US"/>
        </w:rPr>
        <w:t xml:space="preserve">Conducătorii compartimentelor </w:t>
      </w:r>
      <w:r>
        <w:rPr>
          <w:rFonts w:ascii="Times New Roman" w:hAnsi="Times New Roman" w:cs="Times New Roman"/>
          <w:sz w:val="24"/>
          <w:szCs w:val="24"/>
          <w:lang w:val="en-US"/>
        </w:rPr>
        <w:t xml:space="preserve">trebuie să </w:t>
      </w:r>
      <w:r w:rsidRPr="00FD22A5">
        <w:rPr>
          <w:rFonts w:ascii="Times New Roman" w:hAnsi="Times New Roman" w:cs="Times New Roman"/>
          <w:sz w:val="24"/>
          <w:szCs w:val="24"/>
          <w:lang w:val="en-US"/>
        </w:rPr>
        <w:t>verific</w:t>
      </w:r>
      <w:r>
        <w:rPr>
          <w:rFonts w:ascii="Times New Roman" w:hAnsi="Times New Roman" w:cs="Times New Roman"/>
          <w:sz w:val="24"/>
          <w:szCs w:val="24"/>
          <w:lang w:val="en-US"/>
        </w:rPr>
        <w:t>e</w:t>
      </w:r>
      <w:r w:rsidRPr="00FD22A5">
        <w:rPr>
          <w:rFonts w:ascii="Times New Roman" w:hAnsi="Times New Roman" w:cs="Times New Roman"/>
          <w:sz w:val="24"/>
          <w:szCs w:val="24"/>
          <w:lang w:val="en-US"/>
        </w:rPr>
        <w:t xml:space="preserve"> şi aprob</w:t>
      </w:r>
      <w:r>
        <w:rPr>
          <w:rFonts w:ascii="Times New Roman" w:hAnsi="Times New Roman" w:cs="Times New Roman"/>
          <w:sz w:val="24"/>
          <w:szCs w:val="24"/>
          <w:lang w:val="en-US"/>
        </w:rPr>
        <w:t>e</w:t>
      </w:r>
      <w:r w:rsidRPr="00FD22A5">
        <w:rPr>
          <w:rFonts w:ascii="Times New Roman" w:hAnsi="Times New Roman" w:cs="Times New Roman"/>
          <w:sz w:val="24"/>
          <w:szCs w:val="24"/>
          <w:lang w:val="en-US"/>
        </w:rPr>
        <w:t xml:space="preserve"> activităţile salariaţilor, d</w:t>
      </w:r>
      <w:r>
        <w:rPr>
          <w:rFonts w:ascii="Times New Roman" w:hAnsi="Times New Roman" w:cs="Times New Roman"/>
          <w:sz w:val="24"/>
          <w:szCs w:val="24"/>
          <w:lang w:val="en-US"/>
        </w:rPr>
        <w:t>ea</w:t>
      </w:r>
      <w:r w:rsidRPr="00FD22A5">
        <w:rPr>
          <w:rFonts w:ascii="Times New Roman" w:hAnsi="Times New Roman" w:cs="Times New Roman"/>
          <w:sz w:val="24"/>
          <w:szCs w:val="24"/>
          <w:lang w:val="en-US"/>
        </w:rPr>
        <w:t xml:space="preserve"> instrucţiunile necesare pentru a asigura minimizarea erorilor şi pierderilor, eliminarea neregulilor şi fraudei, respectarea legislaţiei şi corecta înţelegere şi aplicare a instrucţiunilor.</w:t>
      </w:r>
    </w:p>
    <w:p w:rsidR="00CF002C" w:rsidRDefault="00CF002C" w:rsidP="00B513B0">
      <w:pPr>
        <w:spacing w:line="276" w:lineRule="auto"/>
        <w:jc w:val="both"/>
        <w:rPr>
          <w:rFonts w:ascii="Times New Roman" w:hAnsi="Times New Roman" w:cs="Times New Roman"/>
          <w:sz w:val="24"/>
          <w:szCs w:val="24"/>
          <w:lang w:val="en-US"/>
        </w:rPr>
      </w:pPr>
      <w:r w:rsidRPr="00FD22A5">
        <w:rPr>
          <w:rFonts w:ascii="Times New Roman" w:hAnsi="Times New Roman" w:cs="Times New Roman"/>
          <w:sz w:val="24"/>
          <w:szCs w:val="24"/>
          <w:lang w:val="en-US"/>
        </w:rPr>
        <w:t>Supravegherea activităţilor este adecvată, în măsura în care: fiecărui salariat i se comunică atribuţiile, responsabilităţile şi limitele de competenţă atribuite; se evaluează sistematic activitatea fiecărui salariat;</w:t>
      </w:r>
      <w:r w:rsidR="00F97D81">
        <w:rPr>
          <w:rFonts w:ascii="Times New Roman" w:hAnsi="Times New Roman" w:cs="Times New Roman"/>
          <w:sz w:val="24"/>
          <w:szCs w:val="24"/>
          <w:lang w:val="en-US"/>
        </w:rPr>
        <w:t xml:space="preserve"> </w:t>
      </w:r>
      <w:r w:rsidRPr="00FD22A5">
        <w:rPr>
          <w:rFonts w:ascii="Times New Roman" w:hAnsi="Times New Roman" w:cs="Times New Roman"/>
          <w:sz w:val="24"/>
          <w:szCs w:val="24"/>
          <w:lang w:val="en-US"/>
        </w:rPr>
        <w:t>se aprobă rezultatele activităţii în diverse etape de realizare a acesteia.</w:t>
      </w:r>
    </w:p>
    <w:p w:rsidR="00884DF4" w:rsidRPr="00D6319B" w:rsidRDefault="00884DF4" w:rsidP="00B513B0">
      <w:pPr>
        <w:tabs>
          <w:tab w:val="left" w:pos="1701"/>
        </w:tabs>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Din analiza datelor cuprinse în raportările ordonatorilor principali de credite</w:t>
      </w:r>
      <w:r w:rsidR="003E2CF1" w:rsidRPr="00D6319B">
        <w:rPr>
          <w:rFonts w:ascii="Times New Roman" w:hAnsi="Times New Roman" w:cs="Times New Roman"/>
          <w:sz w:val="24"/>
          <w:szCs w:val="24"/>
        </w:rPr>
        <w:t>,</w:t>
      </w:r>
      <w:r w:rsidRPr="00D6319B">
        <w:rPr>
          <w:rFonts w:ascii="Times New Roman" w:hAnsi="Times New Roman" w:cs="Times New Roman"/>
          <w:sz w:val="24"/>
          <w:szCs w:val="24"/>
        </w:rPr>
        <w:t xml:space="preserve"> </w:t>
      </w:r>
      <w:r w:rsidR="003E2CF1" w:rsidRPr="00D6319B">
        <w:rPr>
          <w:rFonts w:ascii="Times New Roman" w:hAnsi="Times New Roman" w:cs="Times New Roman"/>
          <w:i/>
          <w:sz w:val="24"/>
          <w:szCs w:val="24"/>
        </w:rPr>
        <w:t>în anul 2016</w:t>
      </w:r>
      <w:r w:rsidR="003E2CF1" w:rsidRPr="00D6319B">
        <w:rPr>
          <w:rFonts w:ascii="Times New Roman" w:hAnsi="Times New Roman" w:cs="Times New Roman"/>
          <w:sz w:val="24"/>
          <w:szCs w:val="24"/>
        </w:rPr>
        <w:t xml:space="preserve"> comparativ cu </w:t>
      </w:r>
      <w:r w:rsidR="003E2CF1" w:rsidRPr="00D6319B">
        <w:rPr>
          <w:rFonts w:ascii="Times New Roman" w:hAnsi="Times New Roman" w:cs="Times New Roman"/>
          <w:i/>
          <w:sz w:val="24"/>
          <w:szCs w:val="24"/>
        </w:rPr>
        <w:t>anul 2015</w:t>
      </w:r>
      <w:r w:rsidRPr="00D6319B">
        <w:rPr>
          <w:rFonts w:ascii="Times New Roman" w:hAnsi="Times New Roman" w:cs="Times New Roman"/>
          <w:sz w:val="24"/>
          <w:szCs w:val="24"/>
        </w:rPr>
        <w:t xml:space="preserve">, conform tabelului </w:t>
      </w:r>
      <w:r w:rsidR="00F50B97" w:rsidRPr="00D6319B">
        <w:rPr>
          <w:rFonts w:ascii="Times New Roman" w:hAnsi="Times New Roman" w:cs="Times New Roman"/>
          <w:sz w:val="24"/>
          <w:szCs w:val="24"/>
        </w:rPr>
        <w:t>nr. 3</w:t>
      </w:r>
      <w:r w:rsidRPr="00D6319B">
        <w:rPr>
          <w:rFonts w:ascii="Times New Roman" w:hAnsi="Times New Roman" w:cs="Times New Roman"/>
          <w:sz w:val="24"/>
          <w:szCs w:val="24"/>
        </w:rPr>
        <w:t>, a rezultat următoarea situație:</w:t>
      </w:r>
    </w:p>
    <w:p w:rsidR="00884DF4" w:rsidRPr="00B513B0" w:rsidRDefault="00884DF4" w:rsidP="00B513B0">
      <w:pPr>
        <w:pStyle w:val="ListParagraph"/>
        <w:spacing w:line="276" w:lineRule="auto"/>
        <w:jc w:val="both"/>
        <w:rPr>
          <w:rFonts w:ascii="Times New Roman" w:hAnsi="Times New Roman" w:cs="Times New Roman"/>
          <w:b/>
          <w:sz w:val="24"/>
          <w:szCs w:val="24"/>
        </w:rPr>
      </w:pPr>
      <w:r w:rsidRPr="00B513B0">
        <w:rPr>
          <w:rFonts w:ascii="Times New Roman" w:hAnsi="Times New Roman" w:cs="Times New Roman"/>
          <w:b/>
          <w:sz w:val="24"/>
          <w:szCs w:val="24"/>
        </w:rPr>
        <w:t>Anul 2015</w:t>
      </w:r>
    </w:p>
    <w:p w:rsidR="00884DF4" w:rsidRPr="00D6319B" w:rsidRDefault="00884DF4" w:rsidP="00C7604C">
      <w:pPr>
        <w:pStyle w:val="ListParagraph"/>
        <w:numPr>
          <w:ilvl w:val="0"/>
          <w:numId w:val="39"/>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40 din cei 52 de ordonatori principali de credite, respectiv 76,92% </w:t>
      </w:r>
      <w:r w:rsidRPr="00D6319B">
        <w:rPr>
          <w:rFonts w:ascii="Times New Roman" w:hAnsi="Times New Roman" w:cs="Times New Roman"/>
          <w:i/>
          <w:sz w:val="24"/>
          <w:szCs w:val="24"/>
        </w:rPr>
        <w:t xml:space="preserve">au implementat </w:t>
      </w:r>
      <w:r w:rsidRPr="00D6319B">
        <w:rPr>
          <w:rFonts w:ascii="Times New Roman" w:hAnsi="Times New Roman" w:cs="Times New Roman"/>
          <w:sz w:val="24"/>
          <w:szCs w:val="24"/>
        </w:rPr>
        <w:t>acest standard;</w:t>
      </w:r>
    </w:p>
    <w:p w:rsidR="00884DF4" w:rsidRPr="00D6319B" w:rsidRDefault="00884DF4" w:rsidP="00C7604C">
      <w:pPr>
        <w:pStyle w:val="ListParagraph"/>
        <w:numPr>
          <w:ilvl w:val="0"/>
          <w:numId w:val="39"/>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10 din cei 52 de ordonatori principali de credite, respectiv 19,23% </w:t>
      </w:r>
      <w:r w:rsidRPr="00D6319B">
        <w:rPr>
          <w:rFonts w:ascii="Times New Roman" w:hAnsi="Times New Roman" w:cs="Times New Roman"/>
          <w:i/>
          <w:sz w:val="24"/>
          <w:szCs w:val="24"/>
        </w:rPr>
        <w:t>au implementat parţial</w:t>
      </w:r>
      <w:r w:rsidRPr="00D6319B">
        <w:rPr>
          <w:rFonts w:ascii="Times New Roman" w:hAnsi="Times New Roman" w:cs="Times New Roman"/>
          <w:sz w:val="24"/>
          <w:szCs w:val="24"/>
        </w:rPr>
        <w:t xml:space="preserve"> acest standard;</w:t>
      </w:r>
    </w:p>
    <w:p w:rsidR="00884DF4" w:rsidRPr="00D6319B" w:rsidRDefault="00884DF4" w:rsidP="00C7604C">
      <w:pPr>
        <w:pStyle w:val="ListParagraph"/>
        <w:numPr>
          <w:ilvl w:val="0"/>
          <w:numId w:val="39"/>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2 din cei 52 de ordonatori principali de credite, respectiv 3,85% </w:t>
      </w:r>
      <w:r w:rsidRPr="00D6319B">
        <w:rPr>
          <w:rFonts w:ascii="Times New Roman" w:hAnsi="Times New Roman" w:cs="Times New Roman"/>
          <w:i/>
          <w:sz w:val="24"/>
          <w:szCs w:val="24"/>
        </w:rPr>
        <w:t>nu a</w:t>
      </w:r>
      <w:r w:rsidR="00D51E7F" w:rsidRPr="00D6319B">
        <w:rPr>
          <w:rFonts w:ascii="Times New Roman" w:hAnsi="Times New Roman" w:cs="Times New Roman"/>
          <w:i/>
          <w:sz w:val="24"/>
          <w:szCs w:val="24"/>
        </w:rPr>
        <w:t>u</w:t>
      </w:r>
      <w:r w:rsidRPr="00D6319B">
        <w:rPr>
          <w:rFonts w:ascii="Times New Roman" w:hAnsi="Times New Roman" w:cs="Times New Roman"/>
          <w:i/>
          <w:sz w:val="24"/>
          <w:szCs w:val="24"/>
        </w:rPr>
        <w:t xml:space="preserve"> implementat</w:t>
      </w:r>
      <w:r w:rsidRPr="00D6319B">
        <w:rPr>
          <w:rFonts w:ascii="Times New Roman" w:hAnsi="Times New Roman" w:cs="Times New Roman"/>
          <w:sz w:val="24"/>
          <w:szCs w:val="24"/>
        </w:rPr>
        <w:t xml:space="preserve"> acest standard.</w:t>
      </w:r>
    </w:p>
    <w:p w:rsidR="00B513B0" w:rsidRDefault="00B513B0">
      <w:pPr>
        <w:rPr>
          <w:rFonts w:ascii="Times New Roman" w:hAnsi="Times New Roman" w:cs="Times New Roman"/>
          <w:b/>
          <w:sz w:val="24"/>
          <w:szCs w:val="24"/>
        </w:rPr>
      </w:pPr>
      <w:r>
        <w:rPr>
          <w:rFonts w:ascii="Times New Roman" w:hAnsi="Times New Roman" w:cs="Times New Roman"/>
          <w:b/>
          <w:sz w:val="24"/>
          <w:szCs w:val="24"/>
        </w:rPr>
        <w:br w:type="page"/>
      </w:r>
    </w:p>
    <w:p w:rsidR="00884DF4" w:rsidRPr="00B513B0" w:rsidRDefault="00884DF4" w:rsidP="00B513B0">
      <w:pPr>
        <w:pStyle w:val="ListParagraph"/>
        <w:tabs>
          <w:tab w:val="left" w:pos="1701"/>
        </w:tabs>
        <w:spacing w:line="276" w:lineRule="auto"/>
        <w:jc w:val="both"/>
        <w:rPr>
          <w:rFonts w:ascii="Times New Roman" w:hAnsi="Times New Roman" w:cs="Times New Roman"/>
          <w:b/>
          <w:sz w:val="24"/>
          <w:szCs w:val="24"/>
        </w:rPr>
      </w:pPr>
      <w:r w:rsidRPr="00B513B0">
        <w:rPr>
          <w:rFonts w:ascii="Times New Roman" w:hAnsi="Times New Roman" w:cs="Times New Roman"/>
          <w:b/>
          <w:sz w:val="24"/>
          <w:szCs w:val="24"/>
        </w:rPr>
        <w:t>Anul 2016</w:t>
      </w:r>
    </w:p>
    <w:p w:rsidR="00884DF4" w:rsidRPr="00D6319B" w:rsidRDefault="00884DF4" w:rsidP="00C7604C">
      <w:pPr>
        <w:pStyle w:val="ListParagraph"/>
        <w:numPr>
          <w:ilvl w:val="0"/>
          <w:numId w:val="40"/>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38 din cei 50 de ordonatori principali de credite, respectiv </w:t>
      </w:r>
      <w:r w:rsidR="0058301B" w:rsidRPr="00D6319B">
        <w:rPr>
          <w:rFonts w:ascii="Times New Roman" w:hAnsi="Times New Roman" w:cs="Times New Roman"/>
          <w:sz w:val="24"/>
          <w:szCs w:val="24"/>
        </w:rPr>
        <w:t>76</w:t>
      </w:r>
      <w:r w:rsidRPr="00D6319B">
        <w:rPr>
          <w:rFonts w:ascii="Times New Roman" w:hAnsi="Times New Roman" w:cs="Times New Roman"/>
          <w:sz w:val="24"/>
          <w:szCs w:val="24"/>
        </w:rPr>
        <w:t xml:space="preserve">,00% </w:t>
      </w:r>
      <w:r w:rsidRPr="00D6319B">
        <w:rPr>
          <w:rFonts w:ascii="Times New Roman" w:hAnsi="Times New Roman" w:cs="Times New Roman"/>
          <w:i/>
          <w:sz w:val="24"/>
          <w:szCs w:val="24"/>
        </w:rPr>
        <w:t xml:space="preserve">au implementat </w:t>
      </w:r>
      <w:r w:rsidRPr="00D6319B">
        <w:rPr>
          <w:rFonts w:ascii="Times New Roman" w:hAnsi="Times New Roman" w:cs="Times New Roman"/>
          <w:sz w:val="24"/>
          <w:szCs w:val="24"/>
        </w:rPr>
        <w:t>acest standard;</w:t>
      </w:r>
    </w:p>
    <w:p w:rsidR="00884DF4" w:rsidRPr="00D6319B" w:rsidRDefault="00884DF4" w:rsidP="00C7604C">
      <w:pPr>
        <w:pStyle w:val="ListParagraph"/>
        <w:numPr>
          <w:ilvl w:val="0"/>
          <w:numId w:val="40"/>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12 din cei 50 de ordonatori principali de credite, respectiv </w:t>
      </w:r>
      <w:r w:rsidR="0058301B" w:rsidRPr="00D6319B">
        <w:rPr>
          <w:rFonts w:ascii="Times New Roman" w:hAnsi="Times New Roman" w:cs="Times New Roman"/>
          <w:sz w:val="24"/>
          <w:szCs w:val="24"/>
        </w:rPr>
        <w:t>24</w:t>
      </w:r>
      <w:r w:rsidRPr="00D6319B">
        <w:rPr>
          <w:rFonts w:ascii="Times New Roman" w:hAnsi="Times New Roman" w:cs="Times New Roman"/>
          <w:sz w:val="24"/>
          <w:szCs w:val="24"/>
        </w:rPr>
        <w:t xml:space="preserve">,00% </w:t>
      </w:r>
      <w:r w:rsidRPr="00D6319B">
        <w:rPr>
          <w:rFonts w:ascii="Times New Roman" w:hAnsi="Times New Roman" w:cs="Times New Roman"/>
          <w:i/>
          <w:sz w:val="24"/>
          <w:szCs w:val="24"/>
        </w:rPr>
        <w:t>au</w:t>
      </w:r>
      <w:r w:rsidRPr="00D6319B">
        <w:rPr>
          <w:rFonts w:ascii="Times New Roman" w:hAnsi="Times New Roman" w:cs="Times New Roman"/>
          <w:sz w:val="24"/>
          <w:szCs w:val="24"/>
        </w:rPr>
        <w:t xml:space="preserve"> </w:t>
      </w:r>
      <w:r w:rsidRPr="00D6319B">
        <w:rPr>
          <w:rFonts w:ascii="Times New Roman" w:hAnsi="Times New Roman" w:cs="Times New Roman"/>
          <w:i/>
          <w:sz w:val="24"/>
          <w:szCs w:val="24"/>
        </w:rPr>
        <w:t xml:space="preserve">implementat parţial </w:t>
      </w:r>
      <w:r w:rsidR="00C76AF5">
        <w:rPr>
          <w:rFonts w:ascii="Times New Roman" w:hAnsi="Times New Roman" w:cs="Times New Roman"/>
          <w:sz w:val="24"/>
          <w:szCs w:val="24"/>
        </w:rPr>
        <w:t>acest standard.</w:t>
      </w:r>
    </w:p>
    <w:p w:rsidR="00884DF4" w:rsidRPr="00FD22A5" w:rsidRDefault="00BF2946" w:rsidP="00BF2946">
      <w:pPr>
        <w:spacing w:line="276"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o-RO"/>
        </w:rPr>
        <w:drawing>
          <wp:anchor distT="0" distB="0" distL="114300" distR="114300" simplePos="0" relativeHeight="251678720" behindDoc="0" locked="0" layoutInCell="1" allowOverlap="1" wp14:anchorId="1F7476B3" wp14:editId="51FA797B">
            <wp:simplePos x="0" y="0"/>
            <wp:positionH relativeFrom="column">
              <wp:posOffset>3135085</wp:posOffset>
            </wp:positionH>
            <wp:positionV relativeFrom="paragraph">
              <wp:posOffset>-635</wp:posOffset>
            </wp:positionV>
            <wp:extent cx="2940685" cy="2230755"/>
            <wp:effectExtent l="0" t="0" r="12065" b="17145"/>
            <wp:wrapNone/>
            <wp:docPr id="96" name="Chart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r>
        <w:rPr>
          <w:rFonts w:ascii="Times New Roman" w:hAnsi="Times New Roman" w:cs="Times New Roman"/>
          <w:noProof/>
          <w:sz w:val="24"/>
          <w:szCs w:val="24"/>
          <w:lang w:eastAsia="ro-RO"/>
        </w:rPr>
        <w:drawing>
          <wp:inline distT="0" distB="0" distL="0" distR="0" wp14:anchorId="2556D4BF" wp14:editId="0F2C700B">
            <wp:extent cx="2940710" cy="2231136"/>
            <wp:effectExtent l="0" t="0" r="12065" b="17145"/>
            <wp:docPr id="95" name="Chart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B513B0" w:rsidRDefault="00B513B0" w:rsidP="00602BDC">
      <w:pPr>
        <w:spacing w:line="276" w:lineRule="auto"/>
        <w:jc w:val="both"/>
        <w:rPr>
          <w:rFonts w:ascii="Times New Roman" w:hAnsi="Times New Roman" w:cs="Times New Roman"/>
          <w:b/>
          <w:i/>
          <w:outline/>
          <w:color w:val="4472C4" w:themeColor="accent5"/>
          <w:sz w:val="24"/>
          <w:szCs w:val="24"/>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p>
    <w:p w:rsidR="00CF002C" w:rsidRPr="00B513B0" w:rsidRDefault="00AC1F6C" w:rsidP="00B513B0">
      <w:pPr>
        <w:rPr>
          <w:rFonts w:ascii="Times New Roman" w:hAnsi="Times New Roman" w:cs="Times New Roman"/>
          <w:b/>
          <w:sz w:val="24"/>
          <w:szCs w:val="24"/>
          <w:lang w:val="en-US"/>
        </w:rPr>
      </w:pPr>
      <w:r w:rsidRPr="00B513B0">
        <w:rPr>
          <w:rFonts w:ascii="Times New Roman" w:hAnsi="Times New Roman" w:cs="Times New Roman"/>
          <w:b/>
          <w:sz w:val="24"/>
          <w:szCs w:val="24"/>
          <w:lang w:val="en-US"/>
        </w:rPr>
        <w:t>S</w:t>
      </w:r>
      <w:r w:rsidR="00B513B0" w:rsidRPr="00B513B0">
        <w:rPr>
          <w:rFonts w:ascii="Times New Roman" w:hAnsi="Times New Roman" w:cs="Times New Roman"/>
          <w:b/>
          <w:sz w:val="24"/>
          <w:szCs w:val="24"/>
          <w:lang w:val="en-US"/>
        </w:rPr>
        <w:t xml:space="preserve">tandardul </w:t>
      </w:r>
      <w:r w:rsidRPr="00B513B0">
        <w:rPr>
          <w:rFonts w:ascii="Times New Roman" w:hAnsi="Times New Roman" w:cs="Times New Roman"/>
          <w:b/>
          <w:sz w:val="24"/>
          <w:szCs w:val="24"/>
          <w:lang w:val="en-US"/>
        </w:rPr>
        <w:t>11 - C</w:t>
      </w:r>
      <w:r w:rsidR="00B513B0" w:rsidRPr="00B513B0">
        <w:rPr>
          <w:rFonts w:ascii="Times New Roman" w:hAnsi="Times New Roman" w:cs="Times New Roman"/>
          <w:b/>
          <w:sz w:val="24"/>
          <w:szCs w:val="24"/>
          <w:lang w:val="en-US"/>
        </w:rPr>
        <w:t>ontinuitatea activităţii</w:t>
      </w:r>
    </w:p>
    <w:p w:rsidR="00CF002C" w:rsidRDefault="00CF002C" w:rsidP="00B513B0">
      <w:pPr>
        <w:spacing w:line="276" w:lineRule="auto"/>
        <w:jc w:val="both"/>
        <w:rPr>
          <w:rFonts w:ascii="Times New Roman" w:hAnsi="Times New Roman" w:cs="Times New Roman"/>
          <w:sz w:val="24"/>
          <w:szCs w:val="24"/>
          <w:lang w:val="en-US"/>
        </w:rPr>
      </w:pPr>
      <w:r w:rsidRPr="008F6EEA">
        <w:rPr>
          <w:rFonts w:ascii="Times New Roman" w:hAnsi="Times New Roman" w:cs="Times New Roman"/>
          <w:sz w:val="24"/>
          <w:szCs w:val="24"/>
          <w:lang w:val="en-US"/>
        </w:rPr>
        <w:t>Conduc</w:t>
      </w:r>
      <w:r>
        <w:rPr>
          <w:rFonts w:ascii="Times New Roman" w:hAnsi="Times New Roman" w:cs="Times New Roman"/>
          <w:sz w:val="24"/>
          <w:szCs w:val="24"/>
          <w:lang w:val="en-US"/>
        </w:rPr>
        <w:t>ătorii entităţilor</w:t>
      </w:r>
      <w:r w:rsidRPr="008F6EEA">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8F6EEA">
        <w:rPr>
          <w:rFonts w:ascii="Times New Roman" w:hAnsi="Times New Roman" w:cs="Times New Roman"/>
          <w:sz w:val="24"/>
          <w:szCs w:val="24"/>
          <w:lang w:val="en-US"/>
        </w:rPr>
        <w:t>identific</w:t>
      </w:r>
      <w:r>
        <w:rPr>
          <w:rFonts w:ascii="Times New Roman" w:hAnsi="Times New Roman" w:cs="Times New Roman"/>
          <w:sz w:val="24"/>
          <w:szCs w:val="24"/>
          <w:lang w:val="en-US"/>
        </w:rPr>
        <w:t>e</w:t>
      </w:r>
      <w:r w:rsidRPr="008F6EEA">
        <w:rPr>
          <w:rFonts w:ascii="Times New Roman" w:hAnsi="Times New Roman" w:cs="Times New Roman"/>
          <w:sz w:val="24"/>
          <w:szCs w:val="24"/>
          <w:lang w:val="en-US"/>
        </w:rPr>
        <w:t xml:space="preserve"> principalele ameninţări cu privire la continuitatea derulării proceselor şi activităţilor şi </w:t>
      </w:r>
      <w:r>
        <w:rPr>
          <w:rFonts w:ascii="Times New Roman" w:hAnsi="Times New Roman" w:cs="Times New Roman"/>
          <w:sz w:val="24"/>
          <w:szCs w:val="24"/>
          <w:lang w:val="en-US"/>
        </w:rPr>
        <w:t xml:space="preserve">trebuie să </w:t>
      </w:r>
      <w:r w:rsidRPr="008F6EEA">
        <w:rPr>
          <w:rFonts w:ascii="Times New Roman" w:hAnsi="Times New Roman" w:cs="Times New Roman"/>
          <w:sz w:val="24"/>
          <w:szCs w:val="24"/>
          <w:lang w:val="en-US"/>
        </w:rPr>
        <w:t>asigur</w:t>
      </w:r>
      <w:r>
        <w:rPr>
          <w:rFonts w:ascii="Times New Roman" w:hAnsi="Times New Roman" w:cs="Times New Roman"/>
          <w:sz w:val="24"/>
          <w:szCs w:val="24"/>
          <w:lang w:val="en-US"/>
        </w:rPr>
        <w:t>e</w:t>
      </w:r>
      <w:r w:rsidRPr="008F6EEA">
        <w:rPr>
          <w:rFonts w:ascii="Times New Roman" w:hAnsi="Times New Roman" w:cs="Times New Roman"/>
          <w:sz w:val="24"/>
          <w:szCs w:val="24"/>
          <w:lang w:val="en-US"/>
        </w:rPr>
        <w:t xml:space="preserve"> măsurile corespunzătoare pentru ca activitatea acesteia să poată continua în orice moment, în toate împrejurările şi în toate planurile, indiferent care ar fi natura unei perturbări majore.</w:t>
      </w:r>
    </w:p>
    <w:p w:rsidR="00CF002C" w:rsidRPr="008F6EEA" w:rsidRDefault="00CF002C" w:rsidP="00B513B0">
      <w:pPr>
        <w:spacing w:line="276" w:lineRule="auto"/>
        <w:jc w:val="both"/>
        <w:rPr>
          <w:rFonts w:ascii="Times New Roman" w:hAnsi="Times New Roman" w:cs="Times New Roman"/>
          <w:sz w:val="24"/>
          <w:szCs w:val="24"/>
          <w:lang w:val="en-US"/>
        </w:rPr>
      </w:pPr>
      <w:r w:rsidRPr="008F6EEA">
        <w:rPr>
          <w:rFonts w:ascii="Times New Roman" w:hAnsi="Times New Roman" w:cs="Times New Roman"/>
          <w:sz w:val="24"/>
          <w:szCs w:val="24"/>
          <w:lang w:val="en-US"/>
        </w:rPr>
        <w:t>Conduc</w:t>
      </w:r>
      <w:r>
        <w:rPr>
          <w:rFonts w:ascii="Times New Roman" w:hAnsi="Times New Roman" w:cs="Times New Roman"/>
          <w:sz w:val="24"/>
          <w:szCs w:val="24"/>
          <w:lang w:val="en-US"/>
        </w:rPr>
        <w:t>ătorii entităţilor</w:t>
      </w:r>
      <w:r w:rsidRPr="008F6EEA">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8F6EEA">
        <w:rPr>
          <w:rFonts w:ascii="Times New Roman" w:hAnsi="Times New Roman" w:cs="Times New Roman"/>
          <w:sz w:val="24"/>
          <w:szCs w:val="24"/>
          <w:lang w:val="en-US"/>
        </w:rPr>
        <w:t>inventari</w:t>
      </w:r>
      <w:r>
        <w:rPr>
          <w:rFonts w:ascii="Times New Roman" w:hAnsi="Times New Roman" w:cs="Times New Roman"/>
          <w:sz w:val="24"/>
          <w:szCs w:val="24"/>
          <w:lang w:val="en-US"/>
        </w:rPr>
        <w:t>eze</w:t>
      </w:r>
      <w:r w:rsidRPr="008F6EEA">
        <w:rPr>
          <w:rFonts w:ascii="Times New Roman" w:hAnsi="Times New Roman" w:cs="Times New Roman"/>
          <w:sz w:val="24"/>
          <w:szCs w:val="24"/>
          <w:lang w:val="en-US"/>
        </w:rPr>
        <w:t xml:space="preserve"> situaţiile care pot conduce la discontinuităţi în activitate şi </w:t>
      </w:r>
      <w:r>
        <w:rPr>
          <w:rFonts w:ascii="Times New Roman" w:hAnsi="Times New Roman" w:cs="Times New Roman"/>
          <w:sz w:val="24"/>
          <w:szCs w:val="24"/>
          <w:lang w:val="en-US"/>
        </w:rPr>
        <w:t xml:space="preserve">trebuie să </w:t>
      </w:r>
      <w:r w:rsidRPr="008F6EEA">
        <w:rPr>
          <w:rFonts w:ascii="Times New Roman" w:hAnsi="Times New Roman" w:cs="Times New Roman"/>
          <w:sz w:val="24"/>
          <w:szCs w:val="24"/>
          <w:lang w:val="en-US"/>
        </w:rPr>
        <w:t>întocme</w:t>
      </w:r>
      <w:r>
        <w:rPr>
          <w:rFonts w:ascii="Times New Roman" w:hAnsi="Times New Roman" w:cs="Times New Roman"/>
          <w:sz w:val="24"/>
          <w:szCs w:val="24"/>
          <w:lang w:val="en-US"/>
        </w:rPr>
        <w:t>ască</w:t>
      </w:r>
      <w:r w:rsidRPr="008F6EEA">
        <w:rPr>
          <w:rFonts w:ascii="Times New Roman" w:hAnsi="Times New Roman" w:cs="Times New Roman"/>
          <w:sz w:val="24"/>
          <w:szCs w:val="24"/>
          <w:lang w:val="en-US"/>
        </w:rPr>
        <w:t xml:space="preserve"> un plan de continuitate a activităţii, care are la bază identificarea şi evaluarea riscurilor care pot afecta continuitatea operaţională.</w:t>
      </w:r>
    </w:p>
    <w:p w:rsidR="00CF002C" w:rsidRPr="008F6EEA" w:rsidRDefault="00CF002C" w:rsidP="00B513B0">
      <w:pPr>
        <w:spacing w:line="276" w:lineRule="auto"/>
        <w:jc w:val="both"/>
        <w:rPr>
          <w:rFonts w:ascii="Times New Roman" w:hAnsi="Times New Roman" w:cs="Times New Roman"/>
          <w:sz w:val="24"/>
          <w:szCs w:val="24"/>
          <w:lang w:val="en-US"/>
        </w:rPr>
      </w:pPr>
      <w:r w:rsidRPr="008F6EEA">
        <w:rPr>
          <w:rFonts w:ascii="Times New Roman" w:hAnsi="Times New Roman" w:cs="Times New Roman"/>
          <w:sz w:val="24"/>
          <w:szCs w:val="24"/>
          <w:lang w:val="en-US"/>
        </w:rPr>
        <w:t>Situaţii generatoare de discontinuităţi</w:t>
      </w:r>
      <w:r>
        <w:rPr>
          <w:rFonts w:ascii="Times New Roman" w:hAnsi="Times New Roman" w:cs="Times New Roman"/>
          <w:sz w:val="24"/>
          <w:szCs w:val="24"/>
          <w:lang w:val="en-US"/>
        </w:rPr>
        <w:t xml:space="preserve"> sunt </w:t>
      </w:r>
      <w:r w:rsidRPr="008F6EEA">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8F6EEA">
        <w:rPr>
          <w:rFonts w:ascii="Times New Roman" w:hAnsi="Times New Roman" w:cs="Times New Roman"/>
          <w:sz w:val="24"/>
          <w:szCs w:val="24"/>
          <w:lang w:val="en-US"/>
        </w:rPr>
        <w:t>fluctuaţia personalului;</w:t>
      </w:r>
      <w:r>
        <w:rPr>
          <w:rFonts w:ascii="Times New Roman" w:hAnsi="Times New Roman" w:cs="Times New Roman"/>
          <w:sz w:val="24"/>
          <w:szCs w:val="24"/>
          <w:lang w:val="en-US"/>
        </w:rPr>
        <w:t xml:space="preserve"> </w:t>
      </w:r>
      <w:r w:rsidRPr="008F6EEA">
        <w:rPr>
          <w:rFonts w:ascii="Times New Roman" w:hAnsi="Times New Roman" w:cs="Times New Roman"/>
          <w:sz w:val="24"/>
          <w:szCs w:val="24"/>
          <w:lang w:val="en-US"/>
        </w:rPr>
        <w:t>lipsa de coordonare, rezultat al unui management defectuos;</w:t>
      </w:r>
      <w:r>
        <w:rPr>
          <w:rFonts w:ascii="Times New Roman" w:hAnsi="Times New Roman" w:cs="Times New Roman"/>
          <w:sz w:val="24"/>
          <w:szCs w:val="24"/>
          <w:lang w:val="en-US"/>
        </w:rPr>
        <w:t xml:space="preserve"> </w:t>
      </w:r>
      <w:r w:rsidRPr="008F6EEA">
        <w:rPr>
          <w:rFonts w:ascii="Times New Roman" w:hAnsi="Times New Roman" w:cs="Times New Roman"/>
          <w:sz w:val="24"/>
          <w:szCs w:val="24"/>
          <w:lang w:val="en-US"/>
        </w:rPr>
        <w:t>fraude;</w:t>
      </w:r>
      <w:r>
        <w:rPr>
          <w:rFonts w:ascii="Times New Roman" w:hAnsi="Times New Roman" w:cs="Times New Roman"/>
          <w:sz w:val="24"/>
          <w:szCs w:val="24"/>
          <w:lang w:val="en-US"/>
        </w:rPr>
        <w:t xml:space="preserve"> </w:t>
      </w:r>
      <w:r w:rsidRPr="008F6EEA">
        <w:rPr>
          <w:rFonts w:ascii="Times New Roman" w:hAnsi="Times New Roman" w:cs="Times New Roman"/>
          <w:sz w:val="24"/>
          <w:szCs w:val="24"/>
          <w:lang w:val="en-US"/>
        </w:rPr>
        <w:t>dificultăţi şi/sau disfuncţionalităţi în funcţionarea echipamentelor din dotare;</w:t>
      </w:r>
      <w:r>
        <w:rPr>
          <w:rFonts w:ascii="Times New Roman" w:hAnsi="Times New Roman" w:cs="Times New Roman"/>
          <w:sz w:val="24"/>
          <w:szCs w:val="24"/>
          <w:lang w:val="en-US"/>
        </w:rPr>
        <w:t xml:space="preserve">  </w:t>
      </w:r>
      <w:r w:rsidRPr="008F6EEA">
        <w:rPr>
          <w:rFonts w:ascii="Times New Roman" w:hAnsi="Times New Roman" w:cs="Times New Roman"/>
          <w:sz w:val="24"/>
          <w:szCs w:val="24"/>
          <w:lang w:val="en-US"/>
        </w:rPr>
        <w:t>disfuncţionalităţi produse de unii prestatori de servicii;</w:t>
      </w:r>
      <w:r>
        <w:rPr>
          <w:rFonts w:ascii="Times New Roman" w:hAnsi="Times New Roman" w:cs="Times New Roman"/>
          <w:sz w:val="24"/>
          <w:szCs w:val="24"/>
          <w:lang w:val="en-US"/>
        </w:rPr>
        <w:t xml:space="preserve">  </w:t>
      </w:r>
      <w:r w:rsidRPr="008F6EEA">
        <w:rPr>
          <w:rFonts w:ascii="Times New Roman" w:hAnsi="Times New Roman" w:cs="Times New Roman"/>
          <w:sz w:val="24"/>
          <w:szCs w:val="24"/>
          <w:lang w:val="en-US"/>
        </w:rPr>
        <w:t>schimbări de proceduri etc.</w:t>
      </w:r>
    </w:p>
    <w:p w:rsidR="00CF002C" w:rsidRDefault="00CF002C" w:rsidP="00B513B0">
      <w:pPr>
        <w:spacing w:line="276" w:lineRule="auto"/>
        <w:jc w:val="both"/>
        <w:rPr>
          <w:rFonts w:ascii="Times New Roman" w:hAnsi="Times New Roman" w:cs="Times New Roman"/>
          <w:sz w:val="24"/>
          <w:szCs w:val="24"/>
          <w:lang w:val="en-US"/>
        </w:rPr>
      </w:pPr>
      <w:r w:rsidRPr="008F6EEA">
        <w:rPr>
          <w:rFonts w:ascii="Times New Roman" w:hAnsi="Times New Roman" w:cs="Times New Roman"/>
          <w:sz w:val="24"/>
          <w:szCs w:val="24"/>
          <w:lang w:val="en-US"/>
        </w:rPr>
        <w:t>Conduc</w:t>
      </w:r>
      <w:r>
        <w:rPr>
          <w:rFonts w:ascii="Times New Roman" w:hAnsi="Times New Roman" w:cs="Times New Roman"/>
          <w:sz w:val="24"/>
          <w:szCs w:val="24"/>
          <w:lang w:val="en-US"/>
        </w:rPr>
        <w:t>ătorii entităţilor</w:t>
      </w:r>
      <w:r w:rsidRPr="008F6EEA">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8F6EEA">
        <w:rPr>
          <w:rFonts w:ascii="Times New Roman" w:hAnsi="Times New Roman" w:cs="Times New Roman"/>
          <w:sz w:val="24"/>
          <w:szCs w:val="24"/>
          <w:lang w:val="en-US"/>
        </w:rPr>
        <w:t>acţione</w:t>
      </w:r>
      <w:r>
        <w:rPr>
          <w:rFonts w:ascii="Times New Roman" w:hAnsi="Times New Roman" w:cs="Times New Roman"/>
          <w:sz w:val="24"/>
          <w:szCs w:val="24"/>
          <w:lang w:val="en-US"/>
        </w:rPr>
        <w:t>ze</w:t>
      </w:r>
      <w:r w:rsidRPr="008F6EEA">
        <w:rPr>
          <w:rFonts w:ascii="Times New Roman" w:hAnsi="Times New Roman" w:cs="Times New Roman"/>
          <w:sz w:val="24"/>
          <w:szCs w:val="24"/>
          <w:lang w:val="en-US"/>
        </w:rPr>
        <w:t xml:space="preserve"> în vederea asigurării continuităţii activităţii prin măsuri</w:t>
      </w:r>
      <w:r>
        <w:rPr>
          <w:rFonts w:ascii="Times New Roman" w:hAnsi="Times New Roman" w:cs="Times New Roman"/>
          <w:sz w:val="24"/>
          <w:szCs w:val="24"/>
          <w:lang w:val="en-US"/>
        </w:rPr>
        <w:t>,</w:t>
      </w:r>
      <w:r w:rsidRPr="008F6EEA">
        <w:rPr>
          <w:rFonts w:ascii="Times New Roman" w:hAnsi="Times New Roman" w:cs="Times New Roman"/>
          <w:sz w:val="24"/>
          <w:szCs w:val="24"/>
          <w:lang w:val="en-US"/>
        </w:rPr>
        <w:t xml:space="preserve"> care să prevină apariţia situaţiilor de discontinuitate</w:t>
      </w:r>
      <w:r>
        <w:rPr>
          <w:rFonts w:ascii="Times New Roman" w:hAnsi="Times New Roman" w:cs="Times New Roman"/>
          <w:sz w:val="24"/>
          <w:szCs w:val="24"/>
          <w:lang w:val="en-US"/>
        </w:rPr>
        <w:t>.</w:t>
      </w:r>
    </w:p>
    <w:p w:rsidR="00CF002C" w:rsidRDefault="00CF002C" w:rsidP="00B513B0">
      <w:pPr>
        <w:spacing w:line="276" w:lineRule="auto"/>
        <w:jc w:val="both"/>
        <w:rPr>
          <w:rFonts w:ascii="Times New Roman" w:hAnsi="Times New Roman" w:cs="Times New Roman"/>
          <w:sz w:val="24"/>
          <w:szCs w:val="24"/>
          <w:lang w:val="en-US"/>
        </w:rPr>
      </w:pPr>
      <w:r w:rsidRPr="008F6EEA">
        <w:rPr>
          <w:rFonts w:ascii="Times New Roman" w:hAnsi="Times New Roman" w:cs="Times New Roman"/>
          <w:sz w:val="24"/>
          <w:szCs w:val="24"/>
          <w:lang w:val="en-US"/>
        </w:rPr>
        <w:t>Conduc</w:t>
      </w:r>
      <w:r>
        <w:rPr>
          <w:rFonts w:ascii="Times New Roman" w:hAnsi="Times New Roman" w:cs="Times New Roman"/>
          <w:sz w:val="24"/>
          <w:szCs w:val="24"/>
          <w:lang w:val="en-US"/>
        </w:rPr>
        <w:t>ătorii entităţilor</w:t>
      </w:r>
      <w:r w:rsidRPr="008F6EEA">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8F6EEA">
        <w:rPr>
          <w:rFonts w:ascii="Times New Roman" w:hAnsi="Times New Roman" w:cs="Times New Roman"/>
          <w:sz w:val="24"/>
          <w:szCs w:val="24"/>
          <w:lang w:val="en-US"/>
        </w:rPr>
        <w:t>asigur</w:t>
      </w:r>
      <w:r>
        <w:rPr>
          <w:rFonts w:ascii="Times New Roman" w:hAnsi="Times New Roman" w:cs="Times New Roman"/>
          <w:sz w:val="24"/>
          <w:szCs w:val="24"/>
          <w:lang w:val="en-US"/>
        </w:rPr>
        <w:t>e</w:t>
      </w:r>
      <w:r w:rsidRPr="008F6EEA">
        <w:rPr>
          <w:rFonts w:ascii="Times New Roman" w:hAnsi="Times New Roman" w:cs="Times New Roman"/>
          <w:sz w:val="24"/>
          <w:szCs w:val="24"/>
          <w:lang w:val="en-US"/>
        </w:rPr>
        <w:t xml:space="preserve"> revizuirea şi îmbunătăţirea planulu</w:t>
      </w:r>
      <w:r>
        <w:rPr>
          <w:rFonts w:ascii="Times New Roman" w:hAnsi="Times New Roman" w:cs="Times New Roman"/>
          <w:sz w:val="24"/>
          <w:szCs w:val="24"/>
          <w:lang w:val="en-US"/>
        </w:rPr>
        <w:t>i de continuitate a activităţii.</w:t>
      </w:r>
    </w:p>
    <w:p w:rsidR="00D51E7F" w:rsidRPr="00D6319B" w:rsidRDefault="00D51E7F" w:rsidP="00B513B0">
      <w:pPr>
        <w:tabs>
          <w:tab w:val="left" w:pos="1701"/>
        </w:tabs>
        <w:spacing w:line="276" w:lineRule="auto"/>
        <w:jc w:val="both"/>
        <w:rPr>
          <w:rFonts w:ascii="Times New Roman" w:hAnsi="Times New Roman" w:cs="Times New Roman"/>
          <w:sz w:val="24"/>
          <w:szCs w:val="24"/>
        </w:rPr>
      </w:pPr>
      <w:r w:rsidRPr="00A45B97">
        <w:rPr>
          <w:rFonts w:ascii="Times New Roman" w:hAnsi="Times New Roman" w:cs="Times New Roman"/>
          <w:sz w:val="24"/>
          <w:szCs w:val="24"/>
        </w:rPr>
        <w:t>Din analiza datelor cuprinse în raportările ordonatorilor principali de credite</w:t>
      </w:r>
      <w:r w:rsidR="003E2CF1">
        <w:rPr>
          <w:rFonts w:ascii="Times New Roman" w:hAnsi="Times New Roman" w:cs="Times New Roman"/>
          <w:sz w:val="24"/>
          <w:szCs w:val="24"/>
        </w:rPr>
        <w:t>,</w:t>
      </w:r>
      <w:r>
        <w:rPr>
          <w:rFonts w:ascii="Times New Roman" w:hAnsi="Times New Roman" w:cs="Times New Roman"/>
          <w:sz w:val="24"/>
          <w:szCs w:val="24"/>
        </w:rPr>
        <w:t xml:space="preserve"> </w:t>
      </w:r>
      <w:r w:rsidR="003E2CF1" w:rsidRPr="00D6319B">
        <w:rPr>
          <w:rFonts w:ascii="Times New Roman" w:hAnsi="Times New Roman" w:cs="Times New Roman"/>
          <w:i/>
          <w:sz w:val="24"/>
          <w:szCs w:val="24"/>
        </w:rPr>
        <w:t>în anul 2016</w:t>
      </w:r>
      <w:r w:rsidR="003E2CF1" w:rsidRPr="00D6319B">
        <w:rPr>
          <w:rFonts w:ascii="Times New Roman" w:hAnsi="Times New Roman" w:cs="Times New Roman"/>
          <w:sz w:val="24"/>
          <w:szCs w:val="24"/>
        </w:rPr>
        <w:t xml:space="preserve"> comparativ cu </w:t>
      </w:r>
      <w:r w:rsidR="003E2CF1" w:rsidRPr="00D6319B">
        <w:rPr>
          <w:rFonts w:ascii="Times New Roman" w:hAnsi="Times New Roman" w:cs="Times New Roman"/>
          <w:i/>
          <w:sz w:val="24"/>
          <w:szCs w:val="24"/>
        </w:rPr>
        <w:t>anul 2015</w:t>
      </w:r>
      <w:r w:rsidRPr="00D6319B">
        <w:rPr>
          <w:rFonts w:ascii="Times New Roman" w:hAnsi="Times New Roman" w:cs="Times New Roman"/>
          <w:sz w:val="24"/>
          <w:szCs w:val="24"/>
        </w:rPr>
        <w:t xml:space="preserve">, conform tabelului </w:t>
      </w:r>
      <w:r w:rsidR="00F50B97" w:rsidRPr="00D6319B">
        <w:rPr>
          <w:rFonts w:ascii="Times New Roman" w:hAnsi="Times New Roman" w:cs="Times New Roman"/>
          <w:sz w:val="24"/>
          <w:szCs w:val="24"/>
        </w:rPr>
        <w:t>nr. 3</w:t>
      </w:r>
      <w:r w:rsidRPr="00D6319B">
        <w:rPr>
          <w:rFonts w:ascii="Times New Roman" w:hAnsi="Times New Roman" w:cs="Times New Roman"/>
          <w:sz w:val="24"/>
          <w:szCs w:val="24"/>
        </w:rPr>
        <w:t>, a rezultat următoarea situație:</w:t>
      </w:r>
    </w:p>
    <w:p w:rsidR="00D51E7F" w:rsidRPr="00B513B0" w:rsidRDefault="00D51E7F" w:rsidP="00B513B0">
      <w:pPr>
        <w:pStyle w:val="ListParagraph"/>
        <w:spacing w:line="276" w:lineRule="auto"/>
        <w:jc w:val="both"/>
        <w:rPr>
          <w:rFonts w:ascii="Times New Roman" w:hAnsi="Times New Roman" w:cs="Times New Roman"/>
          <w:b/>
          <w:sz w:val="24"/>
          <w:szCs w:val="24"/>
        </w:rPr>
      </w:pPr>
      <w:r w:rsidRPr="00B513B0">
        <w:rPr>
          <w:rFonts w:ascii="Times New Roman" w:hAnsi="Times New Roman" w:cs="Times New Roman"/>
          <w:b/>
          <w:sz w:val="24"/>
          <w:szCs w:val="24"/>
        </w:rPr>
        <w:t>Anul 2015</w:t>
      </w:r>
    </w:p>
    <w:p w:rsidR="00D51E7F" w:rsidRPr="00D6319B" w:rsidRDefault="00D51E7F" w:rsidP="00C7604C">
      <w:pPr>
        <w:pStyle w:val="ListParagraph"/>
        <w:numPr>
          <w:ilvl w:val="0"/>
          <w:numId w:val="41"/>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35 din cei 51 de ordonatori principali de credite, respectiv 67,31% </w:t>
      </w:r>
      <w:r w:rsidRPr="00D6319B">
        <w:rPr>
          <w:rFonts w:ascii="Times New Roman" w:hAnsi="Times New Roman" w:cs="Times New Roman"/>
          <w:i/>
          <w:sz w:val="24"/>
          <w:szCs w:val="24"/>
        </w:rPr>
        <w:t>au implementat</w:t>
      </w:r>
      <w:r w:rsidRPr="00D6319B">
        <w:rPr>
          <w:rFonts w:ascii="Times New Roman" w:hAnsi="Times New Roman" w:cs="Times New Roman"/>
          <w:sz w:val="24"/>
          <w:szCs w:val="24"/>
        </w:rPr>
        <w:t xml:space="preserve"> acest standard;</w:t>
      </w:r>
    </w:p>
    <w:p w:rsidR="00D51E7F" w:rsidRPr="00D6319B" w:rsidRDefault="00D51E7F" w:rsidP="00C7604C">
      <w:pPr>
        <w:pStyle w:val="ListParagraph"/>
        <w:numPr>
          <w:ilvl w:val="0"/>
          <w:numId w:val="41"/>
        </w:numPr>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14 din cei 51 de ordonatori principali de credite, respectiv 26,92% </w:t>
      </w:r>
      <w:r w:rsidRPr="00D6319B">
        <w:rPr>
          <w:rFonts w:ascii="Times New Roman" w:hAnsi="Times New Roman" w:cs="Times New Roman"/>
          <w:i/>
          <w:sz w:val="24"/>
          <w:szCs w:val="24"/>
        </w:rPr>
        <w:t>au implementat parţial</w:t>
      </w:r>
      <w:r w:rsidRPr="00D6319B">
        <w:rPr>
          <w:rFonts w:ascii="Times New Roman" w:hAnsi="Times New Roman" w:cs="Times New Roman"/>
          <w:sz w:val="24"/>
          <w:szCs w:val="24"/>
        </w:rPr>
        <w:t xml:space="preserve"> acest standard;</w:t>
      </w:r>
    </w:p>
    <w:p w:rsidR="00D51E7F" w:rsidRPr="00D6319B" w:rsidRDefault="00D51E7F" w:rsidP="00C7604C">
      <w:pPr>
        <w:pStyle w:val="ListParagraph"/>
        <w:numPr>
          <w:ilvl w:val="0"/>
          <w:numId w:val="41"/>
        </w:numPr>
        <w:tabs>
          <w:tab w:val="left" w:pos="1701"/>
        </w:tabs>
        <w:spacing w:line="276" w:lineRule="auto"/>
        <w:jc w:val="both"/>
        <w:rPr>
          <w:rFonts w:ascii="Times New Roman" w:hAnsi="Times New Roman" w:cs="Times New Roman"/>
          <w:sz w:val="24"/>
          <w:szCs w:val="24"/>
        </w:rPr>
      </w:pPr>
      <w:r w:rsidRPr="00D6319B">
        <w:rPr>
          <w:rFonts w:ascii="Times New Roman" w:hAnsi="Times New Roman" w:cs="Times New Roman"/>
          <w:sz w:val="24"/>
          <w:szCs w:val="24"/>
        </w:rPr>
        <w:t xml:space="preserve">3 din cei 51 de ordonatori principali de credite, respectiv 5,77% </w:t>
      </w:r>
      <w:r w:rsidRPr="00D6319B">
        <w:rPr>
          <w:rFonts w:ascii="Times New Roman" w:hAnsi="Times New Roman" w:cs="Times New Roman"/>
          <w:i/>
          <w:sz w:val="24"/>
          <w:szCs w:val="24"/>
        </w:rPr>
        <w:t>nu au implementat</w:t>
      </w:r>
      <w:r w:rsidRPr="00D6319B">
        <w:rPr>
          <w:rFonts w:ascii="Times New Roman" w:hAnsi="Times New Roman" w:cs="Times New Roman"/>
          <w:sz w:val="24"/>
          <w:szCs w:val="24"/>
        </w:rPr>
        <w:t xml:space="preserve"> acest standard</w:t>
      </w:r>
      <w:r w:rsidR="00122ABC">
        <w:rPr>
          <w:rFonts w:ascii="Times New Roman" w:hAnsi="Times New Roman" w:cs="Times New Roman"/>
          <w:sz w:val="24"/>
          <w:szCs w:val="24"/>
        </w:rPr>
        <w:t>.</w:t>
      </w:r>
      <w:r w:rsidRPr="00D6319B">
        <w:rPr>
          <w:rFonts w:ascii="Times New Roman" w:hAnsi="Times New Roman" w:cs="Times New Roman"/>
          <w:sz w:val="24"/>
          <w:szCs w:val="24"/>
        </w:rPr>
        <w:t xml:space="preserve"> </w:t>
      </w:r>
    </w:p>
    <w:p w:rsidR="00D51E7F" w:rsidRPr="00B513B0" w:rsidRDefault="00D51E7F" w:rsidP="00B513B0">
      <w:pPr>
        <w:pStyle w:val="ListParagraph"/>
        <w:tabs>
          <w:tab w:val="left" w:pos="1701"/>
        </w:tabs>
        <w:spacing w:line="276" w:lineRule="auto"/>
        <w:jc w:val="both"/>
        <w:rPr>
          <w:rFonts w:ascii="Times New Roman" w:hAnsi="Times New Roman" w:cs="Times New Roman"/>
          <w:b/>
          <w:sz w:val="24"/>
          <w:szCs w:val="24"/>
        </w:rPr>
      </w:pPr>
      <w:r w:rsidRPr="00B513B0">
        <w:rPr>
          <w:rFonts w:ascii="Times New Roman" w:hAnsi="Times New Roman" w:cs="Times New Roman"/>
          <w:b/>
          <w:sz w:val="24"/>
          <w:szCs w:val="24"/>
        </w:rPr>
        <w:t>Anul 2016</w:t>
      </w:r>
    </w:p>
    <w:p w:rsidR="00D51E7F" w:rsidRPr="00D6319B" w:rsidRDefault="00D51E7F" w:rsidP="00C7604C">
      <w:pPr>
        <w:pStyle w:val="ListParagraph"/>
        <w:numPr>
          <w:ilvl w:val="0"/>
          <w:numId w:val="42"/>
        </w:numPr>
        <w:spacing w:line="276" w:lineRule="auto"/>
        <w:ind w:left="1560" w:hanging="426"/>
        <w:jc w:val="both"/>
        <w:rPr>
          <w:rFonts w:ascii="Times New Roman" w:hAnsi="Times New Roman" w:cs="Times New Roman"/>
          <w:sz w:val="24"/>
          <w:szCs w:val="24"/>
        </w:rPr>
      </w:pPr>
      <w:r w:rsidRPr="00D6319B">
        <w:rPr>
          <w:rFonts w:ascii="Times New Roman" w:hAnsi="Times New Roman" w:cs="Times New Roman"/>
          <w:sz w:val="24"/>
          <w:szCs w:val="24"/>
        </w:rPr>
        <w:t xml:space="preserve">30 din cei 50 de ordonatori principali de credite, respectiv 60,00% </w:t>
      </w:r>
      <w:r w:rsidRPr="00D6319B">
        <w:rPr>
          <w:rFonts w:ascii="Times New Roman" w:hAnsi="Times New Roman" w:cs="Times New Roman"/>
          <w:i/>
          <w:sz w:val="24"/>
          <w:szCs w:val="24"/>
        </w:rPr>
        <w:t xml:space="preserve">au implementat </w:t>
      </w:r>
      <w:r w:rsidRPr="00D6319B">
        <w:rPr>
          <w:rFonts w:ascii="Times New Roman" w:hAnsi="Times New Roman" w:cs="Times New Roman"/>
          <w:sz w:val="24"/>
          <w:szCs w:val="24"/>
        </w:rPr>
        <w:t>acest standard;</w:t>
      </w:r>
    </w:p>
    <w:p w:rsidR="00D51E7F" w:rsidRPr="00D6319B" w:rsidRDefault="00D51E7F" w:rsidP="00C7604C">
      <w:pPr>
        <w:pStyle w:val="ListParagraph"/>
        <w:numPr>
          <w:ilvl w:val="0"/>
          <w:numId w:val="42"/>
        </w:numPr>
        <w:spacing w:line="276" w:lineRule="auto"/>
        <w:ind w:left="1560" w:hanging="426"/>
        <w:jc w:val="both"/>
        <w:rPr>
          <w:rFonts w:ascii="Times New Roman" w:hAnsi="Times New Roman" w:cs="Times New Roman"/>
          <w:sz w:val="24"/>
          <w:szCs w:val="24"/>
        </w:rPr>
      </w:pPr>
      <w:r w:rsidRPr="00D6319B">
        <w:rPr>
          <w:rFonts w:ascii="Times New Roman" w:hAnsi="Times New Roman" w:cs="Times New Roman"/>
          <w:sz w:val="24"/>
          <w:szCs w:val="24"/>
        </w:rPr>
        <w:t xml:space="preserve">18 din cei 50 de ordonatori principali de credite, respectiv 36,00% </w:t>
      </w:r>
      <w:r w:rsidRPr="00D6319B">
        <w:rPr>
          <w:rFonts w:ascii="Times New Roman" w:hAnsi="Times New Roman" w:cs="Times New Roman"/>
          <w:i/>
          <w:sz w:val="24"/>
          <w:szCs w:val="24"/>
        </w:rPr>
        <w:t>au</w:t>
      </w:r>
      <w:r w:rsidRPr="00D6319B">
        <w:rPr>
          <w:rFonts w:ascii="Times New Roman" w:hAnsi="Times New Roman" w:cs="Times New Roman"/>
          <w:sz w:val="24"/>
          <w:szCs w:val="24"/>
        </w:rPr>
        <w:t xml:space="preserve"> </w:t>
      </w:r>
      <w:r w:rsidRPr="00D6319B">
        <w:rPr>
          <w:rFonts w:ascii="Times New Roman" w:hAnsi="Times New Roman" w:cs="Times New Roman"/>
          <w:i/>
          <w:sz w:val="24"/>
          <w:szCs w:val="24"/>
        </w:rPr>
        <w:t xml:space="preserve">implementat parţial </w:t>
      </w:r>
      <w:r w:rsidRPr="00D6319B">
        <w:rPr>
          <w:rFonts w:ascii="Times New Roman" w:hAnsi="Times New Roman" w:cs="Times New Roman"/>
          <w:sz w:val="24"/>
          <w:szCs w:val="24"/>
        </w:rPr>
        <w:t>acest standard;</w:t>
      </w:r>
    </w:p>
    <w:p w:rsidR="00225E6F" w:rsidRPr="00D6319B" w:rsidRDefault="00D51E7F" w:rsidP="00C7604C">
      <w:pPr>
        <w:pStyle w:val="ListParagraph"/>
        <w:numPr>
          <w:ilvl w:val="0"/>
          <w:numId w:val="42"/>
        </w:numPr>
        <w:spacing w:line="276" w:lineRule="auto"/>
        <w:ind w:left="1560" w:hanging="426"/>
        <w:jc w:val="both"/>
        <w:rPr>
          <w:rFonts w:ascii="Times New Roman" w:hAnsi="Times New Roman" w:cs="Times New Roman"/>
          <w:sz w:val="24"/>
          <w:szCs w:val="24"/>
        </w:rPr>
      </w:pPr>
      <w:r w:rsidRPr="00D6319B">
        <w:rPr>
          <w:rFonts w:ascii="Times New Roman" w:hAnsi="Times New Roman" w:cs="Times New Roman"/>
          <w:sz w:val="24"/>
          <w:szCs w:val="24"/>
        </w:rPr>
        <w:t>2</w:t>
      </w:r>
      <w:r w:rsidR="00225E6F" w:rsidRPr="00D6319B">
        <w:rPr>
          <w:rFonts w:ascii="Times New Roman" w:hAnsi="Times New Roman" w:cs="Times New Roman"/>
          <w:sz w:val="24"/>
          <w:szCs w:val="24"/>
        </w:rPr>
        <w:t xml:space="preserve"> din cei </w:t>
      </w:r>
      <w:r w:rsidRPr="00D6319B">
        <w:rPr>
          <w:rFonts w:ascii="Times New Roman" w:hAnsi="Times New Roman" w:cs="Times New Roman"/>
          <w:sz w:val="24"/>
          <w:szCs w:val="24"/>
        </w:rPr>
        <w:t>50</w:t>
      </w:r>
      <w:r w:rsidR="00225E6F" w:rsidRPr="00D6319B">
        <w:rPr>
          <w:rFonts w:ascii="Times New Roman" w:hAnsi="Times New Roman" w:cs="Times New Roman"/>
          <w:sz w:val="24"/>
          <w:szCs w:val="24"/>
        </w:rPr>
        <w:t xml:space="preserve"> de ordonatori principali de credite, respectiv </w:t>
      </w:r>
      <w:r w:rsidRPr="00D6319B">
        <w:rPr>
          <w:rFonts w:ascii="Times New Roman" w:hAnsi="Times New Roman" w:cs="Times New Roman"/>
          <w:sz w:val="24"/>
          <w:szCs w:val="24"/>
        </w:rPr>
        <w:t>4,00</w:t>
      </w:r>
      <w:r w:rsidR="00225E6F" w:rsidRPr="00D6319B">
        <w:rPr>
          <w:rFonts w:ascii="Times New Roman" w:hAnsi="Times New Roman" w:cs="Times New Roman"/>
          <w:sz w:val="24"/>
          <w:szCs w:val="24"/>
        </w:rPr>
        <w:t xml:space="preserve">% </w:t>
      </w:r>
      <w:r w:rsidRPr="00D6319B">
        <w:rPr>
          <w:rFonts w:ascii="Times New Roman" w:hAnsi="Times New Roman" w:cs="Times New Roman"/>
          <w:i/>
          <w:sz w:val="24"/>
          <w:szCs w:val="24"/>
        </w:rPr>
        <w:t>nu</w:t>
      </w:r>
      <w:r w:rsidRPr="00D6319B">
        <w:rPr>
          <w:rFonts w:ascii="Times New Roman" w:hAnsi="Times New Roman" w:cs="Times New Roman"/>
          <w:sz w:val="24"/>
          <w:szCs w:val="24"/>
        </w:rPr>
        <w:t xml:space="preserve"> </w:t>
      </w:r>
      <w:r w:rsidR="00225E6F" w:rsidRPr="00D6319B">
        <w:rPr>
          <w:rFonts w:ascii="Times New Roman" w:hAnsi="Times New Roman" w:cs="Times New Roman"/>
          <w:i/>
          <w:sz w:val="24"/>
          <w:szCs w:val="24"/>
        </w:rPr>
        <w:t>au implementat</w:t>
      </w:r>
      <w:r w:rsidR="00122ABC">
        <w:rPr>
          <w:rFonts w:ascii="Times New Roman" w:hAnsi="Times New Roman" w:cs="Times New Roman"/>
          <w:sz w:val="24"/>
          <w:szCs w:val="24"/>
        </w:rPr>
        <w:t xml:space="preserve"> acest standard.</w:t>
      </w:r>
    </w:p>
    <w:p w:rsidR="004501E3" w:rsidRDefault="00895616" w:rsidP="004501E3">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680768" behindDoc="0" locked="0" layoutInCell="1" allowOverlap="1" wp14:anchorId="6DBF253D" wp14:editId="5904998F">
            <wp:simplePos x="0" y="0"/>
            <wp:positionH relativeFrom="column">
              <wp:posOffset>3158836</wp:posOffset>
            </wp:positionH>
            <wp:positionV relativeFrom="paragraph">
              <wp:posOffset>-635</wp:posOffset>
            </wp:positionV>
            <wp:extent cx="2940685" cy="2230755"/>
            <wp:effectExtent l="0" t="0" r="12065" b="17145"/>
            <wp:wrapNone/>
            <wp:docPr id="98" name="Chart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r>
        <w:rPr>
          <w:rFonts w:ascii="Times New Roman" w:hAnsi="Times New Roman" w:cs="Times New Roman"/>
          <w:noProof/>
          <w:sz w:val="24"/>
          <w:szCs w:val="24"/>
          <w:lang w:eastAsia="ro-RO"/>
        </w:rPr>
        <w:drawing>
          <wp:inline distT="0" distB="0" distL="0" distR="0" wp14:anchorId="7818D86A" wp14:editId="6C335ADC">
            <wp:extent cx="2940710" cy="2231136"/>
            <wp:effectExtent l="0" t="0" r="12065" b="17145"/>
            <wp:docPr id="97" name="Chart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4501E3" w:rsidRDefault="004501E3" w:rsidP="004501E3">
      <w:pPr>
        <w:spacing w:line="276" w:lineRule="auto"/>
        <w:jc w:val="both"/>
        <w:rPr>
          <w:rFonts w:ascii="Times New Roman" w:hAnsi="Times New Roman" w:cs="Times New Roman"/>
          <w:sz w:val="24"/>
          <w:szCs w:val="24"/>
        </w:rPr>
      </w:pPr>
    </w:p>
    <w:p w:rsidR="00BC4177" w:rsidRDefault="00BC4177">
      <w:pPr>
        <w:rPr>
          <w:rFonts w:ascii="Times New Roman" w:hAnsi="Times New Roman" w:cs="Times New Roman"/>
          <w:sz w:val="24"/>
          <w:szCs w:val="24"/>
        </w:rPr>
      </w:pPr>
      <w:r>
        <w:rPr>
          <w:rFonts w:ascii="Times New Roman" w:hAnsi="Times New Roman" w:cs="Times New Roman"/>
          <w:sz w:val="24"/>
          <w:szCs w:val="24"/>
        </w:rPr>
        <w:br w:type="page"/>
      </w:r>
    </w:p>
    <w:p w:rsidR="00CF002C" w:rsidRPr="00B513B0" w:rsidRDefault="00CF002C" w:rsidP="00B513B0">
      <w:pPr>
        <w:spacing w:line="276" w:lineRule="auto"/>
        <w:jc w:val="both"/>
        <w:rPr>
          <w:rFonts w:ascii="Times New Roman" w:hAnsi="Times New Roman" w:cs="Times New Roman"/>
          <w:b/>
          <w:sz w:val="24"/>
          <w:szCs w:val="24"/>
          <w:lang w:val="en-US"/>
        </w:rPr>
      </w:pPr>
      <w:r w:rsidRPr="00B513B0">
        <w:rPr>
          <w:rFonts w:ascii="Times New Roman" w:hAnsi="Times New Roman" w:cs="Times New Roman"/>
          <w:b/>
          <w:sz w:val="24"/>
          <w:szCs w:val="24"/>
          <w:lang w:val="en-US"/>
        </w:rPr>
        <w:t>IV.</w:t>
      </w:r>
      <w:r w:rsidR="00DC6F35" w:rsidRPr="00B513B0">
        <w:rPr>
          <w:rFonts w:ascii="Times New Roman" w:hAnsi="Times New Roman" w:cs="Times New Roman"/>
          <w:b/>
          <w:sz w:val="24"/>
          <w:szCs w:val="24"/>
          <w:lang w:val="en-US"/>
        </w:rPr>
        <w:t xml:space="preserve"> </w:t>
      </w:r>
      <w:r w:rsidRPr="00B513B0">
        <w:rPr>
          <w:rFonts w:ascii="Times New Roman" w:hAnsi="Times New Roman" w:cs="Times New Roman"/>
          <w:b/>
          <w:sz w:val="24"/>
          <w:szCs w:val="24"/>
          <w:lang w:val="en-US"/>
        </w:rPr>
        <w:t>Informarea şi comunicarea</w:t>
      </w:r>
    </w:p>
    <w:p w:rsidR="00CF002C" w:rsidRPr="00B513B0" w:rsidRDefault="00AC1F6C" w:rsidP="00B513B0">
      <w:pPr>
        <w:rPr>
          <w:rFonts w:ascii="Times New Roman" w:hAnsi="Times New Roman" w:cs="Times New Roman"/>
          <w:b/>
          <w:sz w:val="24"/>
          <w:szCs w:val="24"/>
          <w:lang w:val="en-US"/>
        </w:rPr>
      </w:pPr>
      <w:r w:rsidRPr="00B513B0">
        <w:rPr>
          <w:rFonts w:ascii="Times New Roman" w:hAnsi="Times New Roman" w:cs="Times New Roman"/>
          <w:b/>
          <w:sz w:val="24"/>
          <w:szCs w:val="24"/>
          <w:lang w:val="en-US"/>
        </w:rPr>
        <w:t>S</w:t>
      </w:r>
      <w:r w:rsidR="00B513B0" w:rsidRPr="00B513B0">
        <w:rPr>
          <w:rFonts w:ascii="Times New Roman" w:hAnsi="Times New Roman" w:cs="Times New Roman"/>
          <w:b/>
          <w:sz w:val="24"/>
          <w:szCs w:val="24"/>
          <w:lang w:val="en-US"/>
        </w:rPr>
        <w:t xml:space="preserve">tandardul </w:t>
      </w:r>
      <w:r w:rsidRPr="00B513B0">
        <w:rPr>
          <w:rFonts w:ascii="Times New Roman" w:hAnsi="Times New Roman" w:cs="Times New Roman"/>
          <w:b/>
          <w:sz w:val="24"/>
          <w:szCs w:val="24"/>
          <w:lang w:val="en-US"/>
        </w:rPr>
        <w:t>12 - I</w:t>
      </w:r>
      <w:r w:rsidR="00B513B0" w:rsidRPr="00B513B0">
        <w:rPr>
          <w:rFonts w:ascii="Times New Roman" w:hAnsi="Times New Roman" w:cs="Times New Roman"/>
          <w:b/>
          <w:sz w:val="24"/>
          <w:szCs w:val="24"/>
          <w:lang w:val="en-US"/>
        </w:rPr>
        <w:t>nformarea şi comunicarea</w:t>
      </w:r>
    </w:p>
    <w:p w:rsidR="00CF002C" w:rsidRPr="00D328B4" w:rsidRDefault="00CF002C" w:rsidP="00B513B0">
      <w:pPr>
        <w:spacing w:line="276" w:lineRule="auto"/>
        <w:jc w:val="both"/>
        <w:rPr>
          <w:rFonts w:ascii="Times New Roman" w:hAnsi="Times New Roman" w:cs="Times New Roman"/>
          <w:sz w:val="24"/>
          <w:szCs w:val="24"/>
          <w:lang w:val="en-US"/>
        </w:rPr>
      </w:pPr>
      <w:r w:rsidRPr="00D328B4">
        <w:rPr>
          <w:rFonts w:ascii="Times New Roman" w:hAnsi="Times New Roman" w:cs="Times New Roman"/>
          <w:sz w:val="24"/>
          <w:szCs w:val="24"/>
          <w:lang w:val="en-US"/>
        </w:rPr>
        <w:t xml:space="preserve">În </w:t>
      </w:r>
      <w:r>
        <w:rPr>
          <w:rFonts w:ascii="Times New Roman" w:hAnsi="Times New Roman" w:cs="Times New Roman"/>
          <w:sz w:val="24"/>
          <w:szCs w:val="24"/>
          <w:lang w:val="en-US"/>
        </w:rPr>
        <w:t xml:space="preserve">fiecare </w:t>
      </w:r>
      <w:r w:rsidRPr="00D328B4">
        <w:rPr>
          <w:rFonts w:ascii="Times New Roman" w:hAnsi="Times New Roman" w:cs="Times New Roman"/>
          <w:sz w:val="24"/>
          <w:szCs w:val="24"/>
          <w:lang w:val="en-US"/>
        </w:rPr>
        <w:t>entitatea publică sunt stabilite tipurile de informaţii, conţinutul, calitatea, frecvenţa, sursele, destinatarii acestora şi se dezvoltă un sistem eficient de comunicare internă şi externă, astfel încât conducerea şi salariaţii să îşi poată îndeplini în mod eficace şi eficient sarcinile, iar informaţiile să ajungă complete şi la timp la utilizatori.</w:t>
      </w:r>
    </w:p>
    <w:p w:rsidR="00CF002C" w:rsidRDefault="00CF002C" w:rsidP="00B513B0">
      <w:pPr>
        <w:spacing w:line="276" w:lineRule="auto"/>
        <w:jc w:val="both"/>
        <w:rPr>
          <w:rFonts w:ascii="Times New Roman" w:hAnsi="Times New Roman" w:cs="Times New Roman"/>
          <w:sz w:val="24"/>
          <w:szCs w:val="24"/>
          <w:lang w:val="en-US"/>
        </w:rPr>
      </w:pPr>
      <w:r w:rsidRPr="00D328B4">
        <w:rPr>
          <w:rFonts w:ascii="Times New Roman" w:hAnsi="Times New Roman" w:cs="Times New Roman"/>
          <w:sz w:val="24"/>
          <w:szCs w:val="24"/>
          <w:lang w:val="en-US"/>
        </w:rPr>
        <w:t>Calitatea informaţiilor şi comunicarea eficientă sprijină conducerea şi angajaţii entităţii în îndeplinirea sarcinilor, a responsabilităţilor şi în atingerea obiectivelor şi ţintelor privind controlul intern managerial.</w:t>
      </w:r>
    </w:p>
    <w:p w:rsidR="00CF002C" w:rsidRPr="00D328B4" w:rsidRDefault="00CF002C" w:rsidP="00B513B0">
      <w:pPr>
        <w:spacing w:line="276" w:lineRule="auto"/>
        <w:jc w:val="both"/>
        <w:rPr>
          <w:rFonts w:ascii="Times New Roman" w:hAnsi="Times New Roman" w:cs="Times New Roman"/>
          <w:sz w:val="24"/>
          <w:szCs w:val="24"/>
          <w:lang w:val="en-US"/>
        </w:rPr>
      </w:pPr>
      <w:r w:rsidRPr="00D328B4">
        <w:rPr>
          <w:rFonts w:ascii="Times New Roman" w:hAnsi="Times New Roman" w:cs="Times New Roman"/>
          <w:sz w:val="24"/>
          <w:szCs w:val="24"/>
          <w:lang w:val="en-US"/>
        </w:rPr>
        <w:t>Conduc</w:t>
      </w:r>
      <w:r>
        <w:rPr>
          <w:rFonts w:ascii="Times New Roman" w:hAnsi="Times New Roman" w:cs="Times New Roman"/>
          <w:sz w:val="24"/>
          <w:szCs w:val="24"/>
          <w:lang w:val="en-US"/>
        </w:rPr>
        <w:t>ătorii entităţilor</w:t>
      </w:r>
      <w:r w:rsidRPr="00D328B4">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D328B4">
        <w:rPr>
          <w:rFonts w:ascii="Times New Roman" w:hAnsi="Times New Roman" w:cs="Times New Roman"/>
          <w:sz w:val="24"/>
          <w:szCs w:val="24"/>
          <w:lang w:val="en-US"/>
        </w:rPr>
        <w:t>stabile</w:t>
      </w:r>
      <w:r>
        <w:rPr>
          <w:rFonts w:ascii="Times New Roman" w:hAnsi="Times New Roman" w:cs="Times New Roman"/>
          <w:sz w:val="24"/>
          <w:szCs w:val="24"/>
          <w:lang w:val="en-US"/>
        </w:rPr>
        <w:t>ască</w:t>
      </w:r>
      <w:r w:rsidRPr="00D328B4">
        <w:rPr>
          <w:rFonts w:ascii="Times New Roman" w:hAnsi="Times New Roman" w:cs="Times New Roman"/>
          <w:sz w:val="24"/>
          <w:szCs w:val="24"/>
          <w:lang w:val="en-US"/>
        </w:rPr>
        <w:t xml:space="preserve"> metode şi căi de comunicare care să asigure transmiterea eficace a datelor, informaţiilor şi deciziilor necesare desfăşurării proceselor organizaţiei, inclusiv îndeplinirii obiectivelor de control.</w:t>
      </w:r>
    </w:p>
    <w:p w:rsidR="00CF002C" w:rsidRDefault="00CF002C" w:rsidP="00B513B0">
      <w:pPr>
        <w:spacing w:line="276" w:lineRule="auto"/>
        <w:jc w:val="both"/>
        <w:rPr>
          <w:rFonts w:ascii="Times New Roman" w:hAnsi="Times New Roman" w:cs="Times New Roman"/>
          <w:sz w:val="24"/>
          <w:szCs w:val="24"/>
          <w:lang w:val="en-US"/>
        </w:rPr>
      </w:pPr>
      <w:r w:rsidRPr="00D328B4">
        <w:rPr>
          <w:rFonts w:ascii="Times New Roman" w:hAnsi="Times New Roman" w:cs="Times New Roman"/>
          <w:sz w:val="24"/>
          <w:szCs w:val="24"/>
          <w:lang w:val="en-US"/>
        </w:rPr>
        <w:t>Conduc</w:t>
      </w:r>
      <w:r>
        <w:rPr>
          <w:rFonts w:ascii="Times New Roman" w:hAnsi="Times New Roman" w:cs="Times New Roman"/>
          <w:sz w:val="24"/>
          <w:szCs w:val="24"/>
          <w:lang w:val="en-US"/>
        </w:rPr>
        <w:t>ătorii entităţilor</w:t>
      </w:r>
      <w:r w:rsidRPr="00D328B4">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D328B4">
        <w:rPr>
          <w:rFonts w:ascii="Times New Roman" w:hAnsi="Times New Roman" w:cs="Times New Roman"/>
          <w:sz w:val="24"/>
          <w:szCs w:val="24"/>
          <w:lang w:val="en-US"/>
        </w:rPr>
        <w:t>reevalue</w:t>
      </w:r>
      <w:r>
        <w:rPr>
          <w:rFonts w:ascii="Times New Roman" w:hAnsi="Times New Roman" w:cs="Times New Roman"/>
          <w:sz w:val="24"/>
          <w:szCs w:val="24"/>
          <w:lang w:val="en-US"/>
        </w:rPr>
        <w:t>ze</w:t>
      </w:r>
      <w:r w:rsidRPr="00D328B4">
        <w:rPr>
          <w:rFonts w:ascii="Times New Roman" w:hAnsi="Times New Roman" w:cs="Times New Roman"/>
          <w:sz w:val="24"/>
          <w:szCs w:val="24"/>
          <w:lang w:val="en-US"/>
        </w:rPr>
        <w:t xml:space="preserve"> sistematic şi periodic cerinţele de informaţii şi </w:t>
      </w:r>
      <w:r>
        <w:rPr>
          <w:rFonts w:ascii="Times New Roman" w:hAnsi="Times New Roman" w:cs="Times New Roman"/>
          <w:sz w:val="24"/>
          <w:szCs w:val="24"/>
          <w:lang w:val="en-US"/>
        </w:rPr>
        <w:t xml:space="preserve">să </w:t>
      </w:r>
      <w:r w:rsidRPr="00D328B4">
        <w:rPr>
          <w:rFonts w:ascii="Times New Roman" w:hAnsi="Times New Roman" w:cs="Times New Roman"/>
          <w:sz w:val="24"/>
          <w:szCs w:val="24"/>
          <w:lang w:val="en-US"/>
        </w:rPr>
        <w:t>stabile</w:t>
      </w:r>
      <w:r>
        <w:rPr>
          <w:rFonts w:ascii="Times New Roman" w:hAnsi="Times New Roman" w:cs="Times New Roman"/>
          <w:sz w:val="24"/>
          <w:szCs w:val="24"/>
          <w:lang w:val="en-US"/>
        </w:rPr>
        <w:t>ască</w:t>
      </w:r>
      <w:r w:rsidRPr="00D328B4">
        <w:rPr>
          <w:rFonts w:ascii="Times New Roman" w:hAnsi="Times New Roman" w:cs="Times New Roman"/>
          <w:sz w:val="24"/>
          <w:szCs w:val="24"/>
          <w:lang w:val="en-US"/>
        </w:rPr>
        <w:t xml:space="preserve"> natura, dimensiunea şi sursele de informaţii şi date care corespund satisfacerii nevoilor de informare a entităţii.</w:t>
      </w:r>
    </w:p>
    <w:p w:rsidR="00D51E7F" w:rsidRPr="00B202CB" w:rsidRDefault="00D51E7F" w:rsidP="00B513B0">
      <w:pPr>
        <w:tabs>
          <w:tab w:val="left" w:pos="1701"/>
        </w:tabs>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Din analiza datelor cuprinse în raportările ordonatorilor principali de credite</w:t>
      </w:r>
      <w:r w:rsidR="003E2CF1" w:rsidRPr="00B202CB">
        <w:rPr>
          <w:rFonts w:ascii="Times New Roman" w:hAnsi="Times New Roman" w:cs="Times New Roman"/>
          <w:i/>
          <w:color w:val="000000" w:themeColor="text1"/>
          <w:sz w:val="24"/>
          <w:szCs w:val="24"/>
        </w:rPr>
        <w:t>,</w:t>
      </w:r>
      <w:r w:rsidRPr="00B202CB">
        <w:rPr>
          <w:rFonts w:ascii="Times New Roman" w:hAnsi="Times New Roman" w:cs="Times New Roman"/>
          <w:i/>
          <w:color w:val="000000" w:themeColor="text1"/>
          <w:sz w:val="24"/>
          <w:szCs w:val="24"/>
        </w:rPr>
        <w:t xml:space="preserve"> </w:t>
      </w:r>
      <w:r w:rsidR="003E2CF1" w:rsidRPr="00B202CB">
        <w:rPr>
          <w:rFonts w:ascii="Times New Roman" w:hAnsi="Times New Roman" w:cs="Times New Roman"/>
          <w:i/>
          <w:color w:val="000000" w:themeColor="text1"/>
          <w:sz w:val="24"/>
          <w:szCs w:val="24"/>
        </w:rPr>
        <w:t xml:space="preserve">în anul 2016 </w:t>
      </w:r>
      <w:r w:rsidR="003E2CF1" w:rsidRPr="00B202CB">
        <w:rPr>
          <w:rFonts w:ascii="Times New Roman" w:hAnsi="Times New Roman" w:cs="Times New Roman"/>
          <w:color w:val="000000" w:themeColor="text1"/>
          <w:sz w:val="24"/>
          <w:szCs w:val="24"/>
        </w:rPr>
        <w:t xml:space="preserve">comparativ cu </w:t>
      </w:r>
      <w:r w:rsidR="003E2CF1" w:rsidRPr="00B202CB">
        <w:rPr>
          <w:rFonts w:ascii="Times New Roman" w:hAnsi="Times New Roman" w:cs="Times New Roman"/>
          <w:i/>
          <w:color w:val="000000" w:themeColor="text1"/>
          <w:sz w:val="24"/>
          <w:szCs w:val="24"/>
        </w:rPr>
        <w:t>anul 2015</w:t>
      </w:r>
      <w:r w:rsidRPr="00B202CB">
        <w:rPr>
          <w:rFonts w:ascii="Times New Roman" w:hAnsi="Times New Roman" w:cs="Times New Roman"/>
          <w:color w:val="000000" w:themeColor="text1"/>
          <w:sz w:val="24"/>
          <w:szCs w:val="24"/>
        </w:rPr>
        <w:t xml:space="preserve">, conform tabelului </w:t>
      </w:r>
      <w:r w:rsidR="00F50B97" w:rsidRPr="00B202CB">
        <w:rPr>
          <w:rFonts w:ascii="Times New Roman" w:hAnsi="Times New Roman" w:cs="Times New Roman"/>
          <w:color w:val="000000" w:themeColor="text1"/>
          <w:sz w:val="24"/>
          <w:szCs w:val="24"/>
        </w:rPr>
        <w:t>nr. 3</w:t>
      </w:r>
      <w:r w:rsidRPr="00B202CB">
        <w:rPr>
          <w:rFonts w:ascii="Times New Roman" w:hAnsi="Times New Roman" w:cs="Times New Roman"/>
          <w:color w:val="000000" w:themeColor="text1"/>
          <w:sz w:val="24"/>
          <w:szCs w:val="24"/>
        </w:rPr>
        <w:t>, a rezultat următoarea situație:</w:t>
      </w:r>
    </w:p>
    <w:p w:rsidR="00D51E7F" w:rsidRPr="00B202CB" w:rsidRDefault="00D51E7F" w:rsidP="00B202CB">
      <w:pPr>
        <w:pStyle w:val="ListParagraph"/>
        <w:spacing w:line="276" w:lineRule="auto"/>
        <w:jc w:val="both"/>
        <w:rPr>
          <w:rFonts w:ascii="Times New Roman" w:hAnsi="Times New Roman" w:cs="Times New Roman"/>
          <w:b/>
          <w:color w:val="000000" w:themeColor="text1"/>
          <w:sz w:val="24"/>
          <w:szCs w:val="24"/>
        </w:rPr>
      </w:pPr>
      <w:r w:rsidRPr="00B202CB">
        <w:rPr>
          <w:rFonts w:ascii="Times New Roman" w:hAnsi="Times New Roman" w:cs="Times New Roman"/>
          <w:b/>
          <w:color w:val="000000" w:themeColor="text1"/>
          <w:sz w:val="24"/>
          <w:szCs w:val="24"/>
        </w:rPr>
        <w:t>Anul 2015</w:t>
      </w:r>
    </w:p>
    <w:p w:rsidR="00D51E7F" w:rsidRPr="00B202CB" w:rsidRDefault="00D51E7F" w:rsidP="00C7604C">
      <w:pPr>
        <w:pStyle w:val="ListParagraph"/>
        <w:numPr>
          <w:ilvl w:val="0"/>
          <w:numId w:val="43"/>
        </w:numPr>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 xml:space="preserve">49 din cei 52 de ordonatori principali de credite, respectiv 94,23% </w:t>
      </w:r>
      <w:r w:rsidRPr="00B202CB">
        <w:rPr>
          <w:rFonts w:ascii="Times New Roman" w:hAnsi="Times New Roman" w:cs="Times New Roman"/>
          <w:i/>
          <w:color w:val="000000" w:themeColor="text1"/>
          <w:sz w:val="24"/>
          <w:szCs w:val="24"/>
        </w:rPr>
        <w:t>au implementat</w:t>
      </w:r>
      <w:r w:rsidRPr="00B202CB">
        <w:rPr>
          <w:rFonts w:ascii="Times New Roman" w:hAnsi="Times New Roman" w:cs="Times New Roman"/>
          <w:color w:val="000000" w:themeColor="text1"/>
          <w:sz w:val="24"/>
          <w:szCs w:val="24"/>
        </w:rPr>
        <w:t xml:space="preserve"> acest standard;</w:t>
      </w:r>
    </w:p>
    <w:p w:rsidR="00D51E7F" w:rsidRPr="00B202CB" w:rsidRDefault="00D51E7F" w:rsidP="00C7604C">
      <w:pPr>
        <w:pStyle w:val="ListParagraph"/>
        <w:numPr>
          <w:ilvl w:val="0"/>
          <w:numId w:val="43"/>
        </w:numPr>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 xml:space="preserve"> 2 din cei 52 de ordonatori principali de credite, respectiv 3,85% </w:t>
      </w:r>
      <w:r w:rsidRPr="00B202CB">
        <w:rPr>
          <w:rFonts w:ascii="Times New Roman" w:hAnsi="Times New Roman" w:cs="Times New Roman"/>
          <w:i/>
          <w:color w:val="000000" w:themeColor="text1"/>
          <w:sz w:val="24"/>
          <w:szCs w:val="24"/>
        </w:rPr>
        <w:t>au implementat parţial</w:t>
      </w:r>
      <w:r w:rsidRPr="00B202CB">
        <w:rPr>
          <w:rFonts w:ascii="Times New Roman" w:hAnsi="Times New Roman" w:cs="Times New Roman"/>
          <w:color w:val="000000" w:themeColor="text1"/>
          <w:sz w:val="24"/>
          <w:szCs w:val="24"/>
        </w:rPr>
        <w:t xml:space="preserve"> acest standard;</w:t>
      </w:r>
    </w:p>
    <w:p w:rsidR="00D51E7F" w:rsidRPr="00B202CB" w:rsidRDefault="00D51E7F" w:rsidP="00C7604C">
      <w:pPr>
        <w:pStyle w:val="ListParagraph"/>
        <w:numPr>
          <w:ilvl w:val="0"/>
          <w:numId w:val="43"/>
        </w:numPr>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 xml:space="preserve">1 din cei 52 de ordonatori principali de credite, respectiv 1,92% </w:t>
      </w:r>
      <w:r w:rsidRPr="00B202CB">
        <w:rPr>
          <w:rFonts w:ascii="Times New Roman" w:hAnsi="Times New Roman" w:cs="Times New Roman"/>
          <w:i/>
          <w:color w:val="000000" w:themeColor="text1"/>
          <w:sz w:val="24"/>
          <w:szCs w:val="24"/>
        </w:rPr>
        <w:t>nu a implementat</w:t>
      </w:r>
      <w:r w:rsidRPr="00B202CB">
        <w:rPr>
          <w:rFonts w:ascii="Times New Roman" w:hAnsi="Times New Roman" w:cs="Times New Roman"/>
          <w:color w:val="000000" w:themeColor="text1"/>
          <w:sz w:val="24"/>
          <w:szCs w:val="24"/>
        </w:rPr>
        <w:t xml:space="preserve"> acest standard.</w:t>
      </w:r>
    </w:p>
    <w:p w:rsidR="00D51E7F" w:rsidRPr="00B202CB" w:rsidRDefault="00D51E7F" w:rsidP="00B202CB">
      <w:pPr>
        <w:pStyle w:val="ListParagraph"/>
        <w:tabs>
          <w:tab w:val="left" w:pos="1701"/>
        </w:tabs>
        <w:spacing w:line="276" w:lineRule="auto"/>
        <w:jc w:val="both"/>
        <w:rPr>
          <w:rFonts w:ascii="Times New Roman" w:hAnsi="Times New Roman" w:cs="Times New Roman"/>
          <w:b/>
          <w:color w:val="000000" w:themeColor="text1"/>
          <w:sz w:val="24"/>
          <w:szCs w:val="24"/>
        </w:rPr>
      </w:pPr>
      <w:r w:rsidRPr="00B202CB">
        <w:rPr>
          <w:rFonts w:ascii="Times New Roman" w:hAnsi="Times New Roman" w:cs="Times New Roman"/>
          <w:b/>
          <w:color w:val="000000" w:themeColor="text1"/>
          <w:sz w:val="24"/>
          <w:szCs w:val="24"/>
        </w:rPr>
        <w:t>Anul 2016</w:t>
      </w:r>
    </w:p>
    <w:p w:rsidR="00D51E7F" w:rsidRPr="00B202CB" w:rsidRDefault="00D51E7F" w:rsidP="00C7604C">
      <w:pPr>
        <w:pStyle w:val="ListParagraph"/>
        <w:numPr>
          <w:ilvl w:val="0"/>
          <w:numId w:val="44"/>
        </w:numPr>
        <w:tabs>
          <w:tab w:val="left" w:pos="1560"/>
        </w:tabs>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 xml:space="preserve"> 46 din cei 50 de ordonatori principali de credite, respectiv 92,00% </w:t>
      </w:r>
      <w:r w:rsidRPr="00B202CB">
        <w:rPr>
          <w:rFonts w:ascii="Times New Roman" w:hAnsi="Times New Roman" w:cs="Times New Roman"/>
          <w:i/>
          <w:color w:val="000000" w:themeColor="text1"/>
          <w:sz w:val="24"/>
          <w:szCs w:val="24"/>
        </w:rPr>
        <w:t xml:space="preserve">au implementat </w:t>
      </w:r>
      <w:r w:rsidRPr="00B202CB">
        <w:rPr>
          <w:rFonts w:ascii="Times New Roman" w:hAnsi="Times New Roman" w:cs="Times New Roman"/>
          <w:color w:val="000000" w:themeColor="text1"/>
          <w:sz w:val="24"/>
          <w:szCs w:val="24"/>
        </w:rPr>
        <w:t>acest standard;</w:t>
      </w:r>
    </w:p>
    <w:p w:rsidR="00D51E7F" w:rsidRPr="00B202CB" w:rsidRDefault="00D51E7F" w:rsidP="00C7604C">
      <w:pPr>
        <w:pStyle w:val="ListParagraph"/>
        <w:numPr>
          <w:ilvl w:val="0"/>
          <w:numId w:val="44"/>
        </w:numPr>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 xml:space="preserve"> 4 din cei 50 de ordonatori principali de credite, respectiv 8,00% </w:t>
      </w:r>
      <w:r w:rsidRPr="00B202CB">
        <w:rPr>
          <w:rFonts w:ascii="Times New Roman" w:hAnsi="Times New Roman" w:cs="Times New Roman"/>
          <w:i/>
          <w:color w:val="000000" w:themeColor="text1"/>
          <w:sz w:val="24"/>
          <w:szCs w:val="24"/>
        </w:rPr>
        <w:t>au</w:t>
      </w:r>
      <w:r w:rsidRPr="00B202CB">
        <w:rPr>
          <w:rFonts w:ascii="Times New Roman" w:hAnsi="Times New Roman" w:cs="Times New Roman"/>
          <w:color w:val="000000" w:themeColor="text1"/>
          <w:sz w:val="24"/>
          <w:szCs w:val="24"/>
        </w:rPr>
        <w:t xml:space="preserve"> </w:t>
      </w:r>
      <w:r w:rsidRPr="00B202CB">
        <w:rPr>
          <w:rFonts w:ascii="Times New Roman" w:hAnsi="Times New Roman" w:cs="Times New Roman"/>
          <w:i/>
          <w:color w:val="000000" w:themeColor="text1"/>
          <w:sz w:val="24"/>
          <w:szCs w:val="24"/>
        </w:rPr>
        <w:t xml:space="preserve">implementat parţial </w:t>
      </w:r>
      <w:r w:rsidRPr="00B202CB">
        <w:rPr>
          <w:rFonts w:ascii="Times New Roman" w:hAnsi="Times New Roman" w:cs="Times New Roman"/>
          <w:color w:val="000000" w:themeColor="text1"/>
          <w:sz w:val="24"/>
          <w:szCs w:val="24"/>
        </w:rPr>
        <w:t>ac</w:t>
      </w:r>
      <w:r w:rsidR="009D1CB1">
        <w:rPr>
          <w:rFonts w:ascii="Times New Roman" w:hAnsi="Times New Roman" w:cs="Times New Roman"/>
          <w:color w:val="000000" w:themeColor="text1"/>
          <w:sz w:val="24"/>
          <w:szCs w:val="24"/>
        </w:rPr>
        <w:t>est standard.</w:t>
      </w:r>
    </w:p>
    <w:p w:rsidR="00D51E7F" w:rsidRPr="00D328B4" w:rsidRDefault="00AE735A" w:rsidP="00AE735A">
      <w:pPr>
        <w:spacing w:line="276"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o-RO"/>
        </w:rPr>
        <w:drawing>
          <wp:anchor distT="0" distB="0" distL="114300" distR="114300" simplePos="0" relativeHeight="251682816" behindDoc="0" locked="0" layoutInCell="1" allowOverlap="1" wp14:anchorId="7051FBBA" wp14:editId="1433020A">
            <wp:simplePos x="0" y="0"/>
            <wp:positionH relativeFrom="column">
              <wp:posOffset>3111335</wp:posOffset>
            </wp:positionH>
            <wp:positionV relativeFrom="paragraph">
              <wp:posOffset>0</wp:posOffset>
            </wp:positionV>
            <wp:extent cx="2940685" cy="2230755"/>
            <wp:effectExtent l="0" t="0" r="12065" b="17145"/>
            <wp:wrapNone/>
            <wp:docPr id="100" name="Chart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anchor>
        </w:drawing>
      </w:r>
      <w:r>
        <w:rPr>
          <w:rFonts w:ascii="Times New Roman" w:hAnsi="Times New Roman" w:cs="Times New Roman"/>
          <w:noProof/>
          <w:sz w:val="24"/>
          <w:szCs w:val="24"/>
          <w:lang w:eastAsia="ro-RO"/>
        </w:rPr>
        <w:drawing>
          <wp:inline distT="0" distB="0" distL="0" distR="0" wp14:anchorId="3075FD22" wp14:editId="397CD02D">
            <wp:extent cx="2940710" cy="2231136"/>
            <wp:effectExtent l="0" t="0" r="12065" b="17145"/>
            <wp:docPr id="99" name="Chart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F50B97" w:rsidRDefault="00F50B97" w:rsidP="00602BDC">
      <w:pPr>
        <w:spacing w:line="276" w:lineRule="auto"/>
        <w:jc w:val="both"/>
        <w:rPr>
          <w:rFonts w:ascii="Bernard MT Condensed" w:hAnsi="Bernard MT Condensed" w:cs="Times New Roman"/>
          <w:sz w:val="24"/>
          <w:szCs w:val="24"/>
          <w:lang w:val="en-US"/>
        </w:rPr>
      </w:pPr>
    </w:p>
    <w:p w:rsidR="00CF002C" w:rsidRPr="00B202CB" w:rsidRDefault="00AC1F6C" w:rsidP="00B202CB">
      <w:pPr>
        <w:rPr>
          <w:rFonts w:ascii="Times New Roman" w:hAnsi="Times New Roman" w:cs="Times New Roman"/>
          <w:b/>
          <w:sz w:val="24"/>
          <w:szCs w:val="24"/>
          <w:lang w:val="en-US"/>
        </w:rPr>
      </w:pPr>
      <w:r w:rsidRPr="00B202CB">
        <w:rPr>
          <w:rFonts w:ascii="Times New Roman" w:hAnsi="Times New Roman" w:cs="Times New Roman"/>
          <w:b/>
          <w:sz w:val="24"/>
          <w:szCs w:val="24"/>
          <w:lang w:val="en-US"/>
        </w:rPr>
        <w:t>S</w:t>
      </w:r>
      <w:r w:rsidR="00B202CB" w:rsidRPr="00B202CB">
        <w:rPr>
          <w:rFonts w:ascii="Times New Roman" w:hAnsi="Times New Roman" w:cs="Times New Roman"/>
          <w:b/>
          <w:sz w:val="24"/>
          <w:szCs w:val="24"/>
          <w:lang w:val="en-US"/>
        </w:rPr>
        <w:t xml:space="preserve">tandardul </w:t>
      </w:r>
      <w:r w:rsidRPr="00B202CB">
        <w:rPr>
          <w:rFonts w:ascii="Times New Roman" w:hAnsi="Times New Roman" w:cs="Times New Roman"/>
          <w:b/>
          <w:sz w:val="24"/>
          <w:szCs w:val="24"/>
          <w:lang w:val="en-US"/>
        </w:rPr>
        <w:t>13 - G</w:t>
      </w:r>
      <w:r w:rsidR="00B202CB" w:rsidRPr="00B202CB">
        <w:rPr>
          <w:rFonts w:ascii="Times New Roman" w:hAnsi="Times New Roman" w:cs="Times New Roman"/>
          <w:b/>
          <w:sz w:val="24"/>
          <w:szCs w:val="24"/>
          <w:lang w:val="en-US"/>
        </w:rPr>
        <w:t>estionarea documentelor</w:t>
      </w:r>
    </w:p>
    <w:p w:rsidR="00CF002C" w:rsidRPr="00285D0C" w:rsidRDefault="00CF002C" w:rsidP="00B202CB">
      <w:pPr>
        <w:spacing w:line="276" w:lineRule="auto"/>
        <w:jc w:val="both"/>
        <w:rPr>
          <w:rFonts w:ascii="Times New Roman" w:hAnsi="Times New Roman" w:cs="Times New Roman"/>
          <w:sz w:val="24"/>
          <w:szCs w:val="24"/>
          <w:lang w:val="en-US"/>
        </w:rPr>
      </w:pPr>
      <w:r w:rsidRPr="00285D0C">
        <w:rPr>
          <w:rFonts w:ascii="Times New Roman" w:hAnsi="Times New Roman" w:cs="Times New Roman"/>
          <w:sz w:val="24"/>
          <w:szCs w:val="24"/>
          <w:lang w:val="en-US"/>
        </w:rPr>
        <w:t>Conducăto</w:t>
      </w:r>
      <w:r>
        <w:rPr>
          <w:rFonts w:ascii="Times New Roman" w:hAnsi="Times New Roman" w:cs="Times New Roman"/>
          <w:sz w:val="24"/>
          <w:szCs w:val="24"/>
          <w:lang w:val="en-US"/>
        </w:rPr>
        <w:t>rii</w:t>
      </w:r>
      <w:r w:rsidRPr="00285D0C">
        <w:rPr>
          <w:rFonts w:ascii="Times New Roman" w:hAnsi="Times New Roman" w:cs="Times New Roman"/>
          <w:sz w:val="24"/>
          <w:szCs w:val="24"/>
          <w:lang w:val="en-US"/>
        </w:rPr>
        <w:t xml:space="preserve"> entităţii publice </w:t>
      </w:r>
      <w:r>
        <w:rPr>
          <w:rFonts w:ascii="Times New Roman" w:hAnsi="Times New Roman" w:cs="Times New Roman"/>
          <w:sz w:val="24"/>
          <w:szCs w:val="24"/>
          <w:lang w:val="en-US"/>
        </w:rPr>
        <w:t xml:space="preserve">trebuie să </w:t>
      </w:r>
      <w:r w:rsidRPr="00285D0C">
        <w:rPr>
          <w:rFonts w:ascii="Times New Roman" w:hAnsi="Times New Roman" w:cs="Times New Roman"/>
          <w:sz w:val="24"/>
          <w:szCs w:val="24"/>
          <w:lang w:val="en-US"/>
        </w:rPr>
        <w:t>organize</w:t>
      </w:r>
      <w:r>
        <w:rPr>
          <w:rFonts w:ascii="Times New Roman" w:hAnsi="Times New Roman" w:cs="Times New Roman"/>
          <w:sz w:val="24"/>
          <w:szCs w:val="24"/>
          <w:lang w:val="en-US"/>
        </w:rPr>
        <w:t>ze</w:t>
      </w:r>
      <w:r w:rsidRPr="00285D0C">
        <w:rPr>
          <w:rFonts w:ascii="Times New Roman" w:hAnsi="Times New Roman" w:cs="Times New Roman"/>
          <w:sz w:val="24"/>
          <w:szCs w:val="24"/>
          <w:lang w:val="en-US"/>
        </w:rPr>
        <w:t xml:space="preserve"> şi administreaz</w:t>
      </w:r>
      <w:r>
        <w:rPr>
          <w:rFonts w:ascii="Times New Roman" w:hAnsi="Times New Roman" w:cs="Times New Roman"/>
          <w:sz w:val="24"/>
          <w:szCs w:val="24"/>
          <w:lang w:val="en-US"/>
        </w:rPr>
        <w:t>e</w:t>
      </w:r>
      <w:r w:rsidRPr="00285D0C">
        <w:rPr>
          <w:rFonts w:ascii="Times New Roman" w:hAnsi="Times New Roman" w:cs="Times New Roman"/>
          <w:sz w:val="24"/>
          <w:szCs w:val="24"/>
          <w:lang w:val="en-US"/>
        </w:rPr>
        <w:t xml:space="preserve"> procesul de creare, revizuire, organizare, stocare, utilizare, identificare şi arhivare a documentelor interne şi a celor provenite din exteriorul organizaţiei, oferind control asupra ciclului complet de viaţă al acestora şi accesibilitate conducerii şi angajaţilor entităţii, precum şi terţilor abilitaţi.</w:t>
      </w:r>
    </w:p>
    <w:p w:rsidR="00CF002C" w:rsidRPr="00285D0C" w:rsidRDefault="00CF002C" w:rsidP="00B202CB">
      <w:pPr>
        <w:spacing w:line="276" w:lineRule="auto"/>
        <w:jc w:val="both"/>
        <w:rPr>
          <w:rFonts w:ascii="Times New Roman" w:hAnsi="Times New Roman" w:cs="Times New Roman"/>
          <w:sz w:val="24"/>
          <w:szCs w:val="24"/>
          <w:lang w:val="en-US"/>
        </w:rPr>
      </w:pPr>
      <w:r w:rsidRPr="00285D0C">
        <w:rPr>
          <w:rFonts w:ascii="Times New Roman" w:hAnsi="Times New Roman" w:cs="Times New Roman"/>
          <w:sz w:val="24"/>
          <w:szCs w:val="24"/>
          <w:lang w:val="en-US"/>
        </w:rPr>
        <w:t xml:space="preserve">În fiecare entitate publică </w:t>
      </w:r>
      <w:r>
        <w:rPr>
          <w:rFonts w:ascii="Times New Roman" w:hAnsi="Times New Roman" w:cs="Times New Roman"/>
          <w:sz w:val="24"/>
          <w:szCs w:val="24"/>
          <w:lang w:val="en-US"/>
        </w:rPr>
        <w:t>trebuie să</w:t>
      </w:r>
      <w:r w:rsidRPr="00285D0C">
        <w:rPr>
          <w:rFonts w:ascii="Times New Roman" w:hAnsi="Times New Roman" w:cs="Times New Roman"/>
          <w:sz w:val="24"/>
          <w:szCs w:val="24"/>
          <w:lang w:val="en-US"/>
        </w:rPr>
        <w:t xml:space="preserve"> definite reguli clare şi </w:t>
      </w:r>
      <w:r>
        <w:rPr>
          <w:rFonts w:ascii="Times New Roman" w:hAnsi="Times New Roman" w:cs="Times New Roman"/>
          <w:sz w:val="24"/>
          <w:szCs w:val="24"/>
          <w:lang w:val="en-US"/>
        </w:rPr>
        <w:t>să fie</w:t>
      </w:r>
      <w:r w:rsidRPr="00285D0C">
        <w:rPr>
          <w:rFonts w:ascii="Times New Roman" w:hAnsi="Times New Roman" w:cs="Times New Roman"/>
          <w:sz w:val="24"/>
          <w:szCs w:val="24"/>
          <w:lang w:val="en-US"/>
        </w:rPr>
        <w:t xml:space="preserve"> stabilite proceduri cu privire la înregistrarea, expedierea, redactarea, clasificarea, îndosarierea, protejarea şi păstrarea documentelor.</w:t>
      </w:r>
    </w:p>
    <w:p w:rsidR="00CF002C" w:rsidRPr="00285D0C" w:rsidRDefault="00B202CB" w:rsidP="00602BDC">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CF002C" w:rsidRPr="00285D0C">
        <w:rPr>
          <w:rFonts w:ascii="Times New Roman" w:hAnsi="Times New Roman" w:cs="Times New Roman"/>
          <w:sz w:val="24"/>
          <w:szCs w:val="24"/>
          <w:lang w:val="en-US"/>
        </w:rPr>
        <w:t>Conducător</w:t>
      </w:r>
      <w:r w:rsidR="00CF002C">
        <w:rPr>
          <w:rFonts w:ascii="Times New Roman" w:hAnsi="Times New Roman" w:cs="Times New Roman"/>
          <w:sz w:val="24"/>
          <w:szCs w:val="24"/>
          <w:lang w:val="en-US"/>
        </w:rPr>
        <w:t>ii</w:t>
      </w:r>
      <w:r w:rsidR="00CF002C" w:rsidRPr="00285D0C">
        <w:rPr>
          <w:rFonts w:ascii="Times New Roman" w:hAnsi="Times New Roman" w:cs="Times New Roman"/>
          <w:sz w:val="24"/>
          <w:szCs w:val="24"/>
          <w:lang w:val="en-US"/>
        </w:rPr>
        <w:t xml:space="preserve"> entităţii publice </w:t>
      </w:r>
      <w:r w:rsidR="00CF002C">
        <w:rPr>
          <w:rFonts w:ascii="Times New Roman" w:hAnsi="Times New Roman" w:cs="Times New Roman"/>
          <w:sz w:val="24"/>
          <w:szCs w:val="24"/>
          <w:lang w:val="en-US"/>
        </w:rPr>
        <w:t xml:space="preserve">trebuie să </w:t>
      </w:r>
      <w:r w:rsidR="00CF002C" w:rsidRPr="00285D0C">
        <w:rPr>
          <w:rFonts w:ascii="Times New Roman" w:hAnsi="Times New Roman" w:cs="Times New Roman"/>
          <w:sz w:val="24"/>
          <w:szCs w:val="24"/>
          <w:lang w:val="en-US"/>
        </w:rPr>
        <w:t>organize</w:t>
      </w:r>
      <w:r w:rsidR="00CF002C">
        <w:rPr>
          <w:rFonts w:ascii="Times New Roman" w:hAnsi="Times New Roman" w:cs="Times New Roman"/>
          <w:sz w:val="24"/>
          <w:szCs w:val="24"/>
          <w:lang w:val="en-US"/>
        </w:rPr>
        <w:t>ze</w:t>
      </w:r>
      <w:r w:rsidR="00CF002C" w:rsidRPr="00285D0C">
        <w:rPr>
          <w:rFonts w:ascii="Times New Roman" w:hAnsi="Times New Roman" w:cs="Times New Roman"/>
          <w:sz w:val="24"/>
          <w:szCs w:val="24"/>
          <w:lang w:val="en-US"/>
        </w:rPr>
        <w:t xml:space="preserve"> un compartiment distinct pentru primirea, înregistrarea şi expedierea documentelor, iar la nivelul fiecărui compartiment </w:t>
      </w:r>
      <w:r w:rsidR="00CF002C">
        <w:rPr>
          <w:rFonts w:ascii="Times New Roman" w:hAnsi="Times New Roman" w:cs="Times New Roman"/>
          <w:sz w:val="24"/>
          <w:szCs w:val="24"/>
          <w:lang w:val="en-US"/>
        </w:rPr>
        <w:t xml:space="preserve">trebuie să </w:t>
      </w:r>
      <w:r w:rsidR="00CF002C" w:rsidRPr="00285D0C">
        <w:rPr>
          <w:rFonts w:ascii="Times New Roman" w:hAnsi="Times New Roman" w:cs="Times New Roman"/>
          <w:sz w:val="24"/>
          <w:szCs w:val="24"/>
          <w:lang w:val="en-US"/>
        </w:rPr>
        <w:t>se ţin</w:t>
      </w:r>
      <w:r w:rsidR="00CF002C">
        <w:rPr>
          <w:rFonts w:ascii="Times New Roman" w:hAnsi="Times New Roman" w:cs="Times New Roman"/>
          <w:sz w:val="24"/>
          <w:szCs w:val="24"/>
          <w:lang w:val="en-US"/>
        </w:rPr>
        <w:t>ă</w:t>
      </w:r>
      <w:r w:rsidR="00CF002C" w:rsidRPr="00285D0C">
        <w:rPr>
          <w:rFonts w:ascii="Times New Roman" w:hAnsi="Times New Roman" w:cs="Times New Roman"/>
          <w:sz w:val="24"/>
          <w:szCs w:val="24"/>
          <w:lang w:val="en-US"/>
        </w:rPr>
        <w:t>, în mod obligatoriu, o evidenţă a documentelor primite şi expediate.</w:t>
      </w:r>
    </w:p>
    <w:p w:rsidR="00CF002C" w:rsidRPr="00285D0C" w:rsidRDefault="00B202CB" w:rsidP="00602BDC">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CF002C" w:rsidRPr="00285D0C">
        <w:rPr>
          <w:rFonts w:ascii="Times New Roman" w:hAnsi="Times New Roman" w:cs="Times New Roman"/>
          <w:sz w:val="24"/>
          <w:szCs w:val="24"/>
          <w:lang w:val="en-US"/>
        </w:rPr>
        <w:t xml:space="preserve">În </w:t>
      </w:r>
      <w:r w:rsidR="00CF002C">
        <w:rPr>
          <w:rFonts w:ascii="Times New Roman" w:hAnsi="Times New Roman" w:cs="Times New Roman"/>
          <w:sz w:val="24"/>
          <w:szCs w:val="24"/>
          <w:lang w:val="en-US"/>
        </w:rPr>
        <w:t>fiecare entitate</w:t>
      </w:r>
      <w:r w:rsidR="00CF002C" w:rsidRPr="00285D0C">
        <w:rPr>
          <w:rFonts w:ascii="Times New Roman" w:hAnsi="Times New Roman" w:cs="Times New Roman"/>
          <w:sz w:val="24"/>
          <w:szCs w:val="24"/>
          <w:lang w:val="en-US"/>
        </w:rPr>
        <w:t xml:space="preserve"> publică </w:t>
      </w:r>
      <w:r w:rsidR="00CF002C">
        <w:rPr>
          <w:rFonts w:ascii="Times New Roman" w:hAnsi="Times New Roman" w:cs="Times New Roman"/>
          <w:sz w:val="24"/>
          <w:szCs w:val="24"/>
          <w:lang w:val="en-US"/>
        </w:rPr>
        <w:t>trebuie să fie</w:t>
      </w:r>
      <w:r w:rsidR="00CF002C" w:rsidRPr="00285D0C">
        <w:rPr>
          <w:rFonts w:ascii="Times New Roman" w:hAnsi="Times New Roman" w:cs="Times New Roman"/>
          <w:sz w:val="24"/>
          <w:szCs w:val="24"/>
          <w:lang w:val="en-US"/>
        </w:rPr>
        <w:t xml:space="preserve"> implementate măsuri de securitate pentru protejarea documentelor împotriva distrugerii, furtului, pierderii, incendiului etc.</w:t>
      </w:r>
    </w:p>
    <w:p w:rsidR="00CF002C" w:rsidRPr="00285D0C" w:rsidRDefault="00B202CB" w:rsidP="00602BDC">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CF002C" w:rsidRPr="00285D0C">
        <w:rPr>
          <w:rFonts w:ascii="Times New Roman" w:hAnsi="Times New Roman" w:cs="Times New Roman"/>
          <w:sz w:val="24"/>
          <w:szCs w:val="24"/>
          <w:lang w:val="en-US"/>
        </w:rPr>
        <w:t>Conduc</w:t>
      </w:r>
      <w:r w:rsidR="00CF002C">
        <w:rPr>
          <w:rFonts w:ascii="Times New Roman" w:hAnsi="Times New Roman" w:cs="Times New Roman"/>
          <w:sz w:val="24"/>
          <w:szCs w:val="24"/>
          <w:lang w:val="en-US"/>
        </w:rPr>
        <w:t>ătorii entităţilor</w:t>
      </w:r>
      <w:r w:rsidR="00CF002C" w:rsidRPr="00285D0C">
        <w:rPr>
          <w:rFonts w:ascii="Times New Roman" w:hAnsi="Times New Roman" w:cs="Times New Roman"/>
          <w:sz w:val="24"/>
          <w:szCs w:val="24"/>
          <w:lang w:val="en-US"/>
        </w:rPr>
        <w:t xml:space="preserve"> publice </w:t>
      </w:r>
      <w:r w:rsidR="00CF002C">
        <w:rPr>
          <w:rFonts w:ascii="Times New Roman" w:hAnsi="Times New Roman" w:cs="Times New Roman"/>
          <w:sz w:val="24"/>
          <w:szCs w:val="24"/>
          <w:lang w:val="en-US"/>
        </w:rPr>
        <w:t xml:space="preserve">trebuie să </w:t>
      </w:r>
      <w:r w:rsidR="00CF002C" w:rsidRPr="00285D0C">
        <w:rPr>
          <w:rFonts w:ascii="Times New Roman" w:hAnsi="Times New Roman" w:cs="Times New Roman"/>
          <w:sz w:val="24"/>
          <w:szCs w:val="24"/>
          <w:lang w:val="en-US"/>
        </w:rPr>
        <w:t>asigur</w:t>
      </w:r>
      <w:r w:rsidR="00CF002C">
        <w:rPr>
          <w:rFonts w:ascii="Times New Roman" w:hAnsi="Times New Roman" w:cs="Times New Roman"/>
          <w:sz w:val="24"/>
          <w:szCs w:val="24"/>
          <w:lang w:val="en-US"/>
        </w:rPr>
        <w:t>e</w:t>
      </w:r>
      <w:r w:rsidR="00CF002C" w:rsidRPr="00285D0C">
        <w:rPr>
          <w:rFonts w:ascii="Times New Roman" w:hAnsi="Times New Roman" w:cs="Times New Roman"/>
          <w:sz w:val="24"/>
          <w:szCs w:val="24"/>
          <w:lang w:val="en-US"/>
        </w:rPr>
        <w:t xml:space="preserve"> condiţiile necesare cunoaşterii şi respectării de către angajaţi a reglementărilor legale privind accesul la documentele clasificate şi modul de gestionare a acestora.</w:t>
      </w:r>
    </w:p>
    <w:p w:rsidR="00CF002C" w:rsidRDefault="00CF002C" w:rsidP="00B202CB">
      <w:pPr>
        <w:spacing w:line="276" w:lineRule="auto"/>
        <w:jc w:val="both"/>
        <w:rPr>
          <w:rFonts w:ascii="Times New Roman" w:hAnsi="Times New Roman" w:cs="Times New Roman"/>
          <w:sz w:val="24"/>
          <w:szCs w:val="24"/>
          <w:lang w:val="en-US"/>
        </w:rPr>
      </w:pPr>
      <w:r w:rsidRPr="00285D0C">
        <w:rPr>
          <w:rFonts w:ascii="Times New Roman" w:hAnsi="Times New Roman" w:cs="Times New Roman"/>
          <w:sz w:val="24"/>
          <w:szCs w:val="24"/>
          <w:lang w:val="en-US"/>
        </w:rPr>
        <w:t xml:space="preserve">În </w:t>
      </w:r>
      <w:r>
        <w:rPr>
          <w:rFonts w:ascii="Times New Roman" w:hAnsi="Times New Roman" w:cs="Times New Roman"/>
          <w:sz w:val="24"/>
          <w:szCs w:val="24"/>
          <w:lang w:val="en-US"/>
        </w:rPr>
        <w:t>fiecare entitate</w:t>
      </w:r>
      <w:r w:rsidRPr="00285D0C">
        <w:rPr>
          <w:rFonts w:ascii="Times New Roman" w:hAnsi="Times New Roman" w:cs="Times New Roman"/>
          <w:sz w:val="24"/>
          <w:szCs w:val="24"/>
          <w:lang w:val="en-US"/>
        </w:rPr>
        <w:t xml:space="preserve"> publică </w:t>
      </w:r>
      <w:r>
        <w:rPr>
          <w:rFonts w:ascii="Times New Roman" w:hAnsi="Times New Roman" w:cs="Times New Roman"/>
          <w:sz w:val="24"/>
          <w:szCs w:val="24"/>
          <w:lang w:val="en-US"/>
        </w:rPr>
        <w:t>trebuie să fie</w:t>
      </w:r>
      <w:r w:rsidRPr="00285D0C">
        <w:rPr>
          <w:rFonts w:ascii="Times New Roman" w:hAnsi="Times New Roman" w:cs="Times New Roman"/>
          <w:sz w:val="24"/>
          <w:szCs w:val="24"/>
          <w:lang w:val="en-US"/>
        </w:rPr>
        <w:t xml:space="preserve"> creat un sistem de păstrare/arhivare exhaustiv şi actualizat a documentelor, potrivit unor reguli şi proceduri stabilite, în vederea asigurării conservării lor în bune condiţii şi pentru a fi accesibile personalului competent în a le utiliza.</w:t>
      </w:r>
    </w:p>
    <w:p w:rsidR="00D51E7F" w:rsidRPr="00B202CB" w:rsidRDefault="00D51E7F" w:rsidP="00B202CB">
      <w:pPr>
        <w:tabs>
          <w:tab w:val="left" w:pos="1701"/>
        </w:tabs>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Din analiza datelor cuprinse în raportările ordonatorilor principali de credite</w:t>
      </w:r>
      <w:r w:rsidR="003E2CF1" w:rsidRPr="00B202CB">
        <w:rPr>
          <w:rFonts w:ascii="Times New Roman" w:hAnsi="Times New Roman" w:cs="Times New Roman"/>
          <w:color w:val="000000" w:themeColor="text1"/>
          <w:sz w:val="24"/>
          <w:szCs w:val="24"/>
        </w:rPr>
        <w:t>,</w:t>
      </w:r>
      <w:r w:rsidRPr="00B202CB">
        <w:rPr>
          <w:rFonts w:ascii="Times New Roman" w:hAnsi="Times New Roman" w:cs="Times New Roman"/>
          <w:color w:val="000000" w:themeColor="text1"/>
          <w:sz w:val="24"/>
          <w:szCs w:val="24"/>
        </w:rPr>
        <w:t xml:space="preserve"> </w:t>
      </w:r>
      <w:r w:rsidR="003E2CF1" w:rsidRPr="00B202CB">
        <w:rPr>
          <w:rFonts w:ascii="Times New Roman" w:hAnsi="Times New Roman" w:cs="Times New Roman"/>
          <w:color w:val="000000" w:themeColor="text1"/>
          <w:sz w:val="24"/>
          <w:szCs w:val="24"/>
        </w:rPr>
        <w:t>în anul 2016 comparativ cu anul 2015</w:t>
      </w:r>
      <w:r w:rsidRPr="00B202CB">
        <w:rPr>
          <w:rFonts w:ascii="Times New Roman" w:hAnsi="Times New Roman" w:cs="Times New Roman"/>
          <w:color w:val="000000" w:themeColor="text1"/>
          <w:sz w:val="24"/>
          <w:szCs w:val="24"/>
        </w:rPr>
        <w:t xml:space="preserve">, conform tabelului </w:t>
      </w:r>
      <w:r w:rsidR="00F50B97" w:rsidRPr="00B202CB">
        <w:rPr>
          <w:rFonts w:ascii="Times New Roman" w:hAnsi="Times New Roman" w:cs="Times New Roman"/>
          <w:color w:val="000000" w:themeColor="text1"/>
          <w:sz w:val="24"/>
          <w:szCs w:val="24"/>
        </w:rPr>
        <w:t>nr. 3</w:t>
      </w:r>
      <w:r w:rsidRPr="00B202CB">
        <w:rPr>
          <w:rFonts w:ascii="Times New Roman" w:hAnsi="Times New Roman" w:cs="Times New Roman"/>
          <w:color w:val="000000" w:themeColor="text1"/>
          <w:sz w:val="24"/>
          <w:szCs w:val="24"/>
        </w:rPr>
        <w:t>, a rezultat următoarea situație:</w:t>
      </w:r>
    </w:p>
    <w:p w:rsidR="00B202CB" w:rsidRDefault="00B202CB">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D51E7F" w:rsidRPr="00B202CB" w:rsidRDefault="00D51E7F" w:rsidP="00B202CB">
      <w:pPr>
        <w:pStyle w:val="ListParagraph"/>
        <w:spacing w:line="276" w:lineRule="auto"/>
        <w:jc w:val="both"/>
        <w:rPr>
          <w:rFonts w:ascii="Times New Roman" w:hAnsi="Times New Roman" w:cs="Times New Roman"/>
          <w:b/>
          <w:color w:val="000000" w:themeColor="text1"/>
          <w:sz w:val="24"/>
          <w:szCs w:val="24"/>
        </w:rPr>
      </w:pPr>
      <w:r w:rsidRPr="00B202CB">
        <w:rPr>
          <w:rFonts w:ascii="Times New Roman" w:hAnsi="Times New Roman" w:cs="Times New Roman"/>
          <w:b/>
          <w:color w:val="000000" w:themeColor="text1"/>
          <w:sz w:val="24"/>
          <w:szCs w:val="24"/>
        </w:rPr>
        <w:t>Anul 2015</w:t>
      </w:r>
    </w:p>
    <w:p w:rsidR="00FE1137" w:rsidRDefault="00FE1137" w:rsidP="00C7604C">
      <w:pPr>
        <w:pStyle w:val="ListParagraph"/>
        <w:numPr>
          <w:ilvl w:val="0"/>
          <w:numId w:val="45"/>
        </w:numPr>
        <w:spacing w:line="276" w:lineRule="auto"/>
        <w:jc w:val="both"/>
        <w:rPr>
          <w:rFonts w:ascii="Times New Roman" w:hAnsi="Times New Roman" w:cs="Times New Roman"/>
          <w:sz w:val="24"/>
          <w:szCs w:val="24"/>
        </w:rPr>
      </w:pPr>
      <w:r>
        <w:rPr>
          <w:rFonts w:ascii="Times New Roman" w:hAnsi="Times New Roman" w:cs="Times New Roman"/>
          <w:sz w:val="24"/>
          <w:szCs w:val="24"/>
        </w:rPr>
        <w:t>38</w:t>
      </w:r>
      <w:r w:rsidRPr="00CC1648">
        <w:rPr>
          <w:rFonts w:ascii="Times New Roman" w:hAnsi="Times New Roman" w:cs="Times New Roman"/>
          <w:sz w:val="24"/>
          <w:szCs w:val="24"/>
        </w:rPr>
        <w:t xml:space="preserve"> din cei 5</w:t>
      </w:r>
      <w:r>
        <w:rPr>
          <w:rFonts w:ascii="Times New Roman" w:hAnsi="Times New Roman" w:cs="Times New Roman"/>
          <w:sz w:val="24"/>
          <w:szCs w:val="24"/>
        </w:rPr>
        <w:t>2</w:t>
      </w:r>
      <w:r w:rsidRPr="00CC1648">
        <w:rPr>
          <w:rFonts w:ascii="Times New Roman" w:hAnsi="Times New Roman" w:cs="Times New Roman"/>
          <w:sz w:val="24"/>
          <w:szCs w:val="24"/>
        </w:rPr>
        <w:t xml:space="preserve"> de ordonatori principali de credite, respectiv </w:t>
      </w:r>
      <w:r>
        <w:rPr>
          <w:rFonts w:ascii="Times New Roman" w:hAnsi="Times New Roman" w:cs="Times New Roman"/>
          <w:sz w:val="24"/>
          <w:szCs w:val="24"/>
        </w:rPr>
        <w:t>73,08</w:t>
      </w:r>
      <w:r w:rsidRPr="00CC1648">
        <w:rPr>
          <w:rFonts w:ascii="Times New Roman" w:hAnsi="Times New Roman" w:cs="Times New Roman"/>
          <w:sz w:val="24"/>
          <w:szCs w:val="24"/>
        </w:rPr>
        <w:t xml:space="preserve">% </w:t>
      </w:r>
      <w:r w:rsidRPr="006B11D4">
        <w:rPr>
          <w:rFonts w:ascii="Times New Roman" w:hAnsi="Times New Roman" w:cs="Times New Roman"/>
          <w:i/>
          <w:sz w:val="24"/>
          <w:szCs w:val="24"/>
        </w:rPr>
        <w:t xml:space="preserve">au implementat </w:t>
      </w:r>
      <w:r>
        <w:rPr>
          <w:rFonts w:ascii="Times New Roman" w:hAnsi="Times New Roman" w:cs="Times New Roman"/>
          <w:sz w:val="24"/>
          <w:szCs w:val="24"/>
        </w:rPr>
        <w:t>acest standard;</w:t>
      </w:r>
    </w:p>
    <w:p w:rsidR="00FE1137" w:rsidRDefault="00FE1137" w:rsidP="00C7604C">
      <w:pPr>
        <w:pStyle w:val="ListParagraph"/>
        <w:numPr>
          <w:ilvl w:val="0"/>
          <w:numId w:val="45"/>
        </w:numPr>
        <w:spacing w:line="276" w:lineRule="auto"/>
        <w:jc w:val="both"/>
        <w:rPr>
          <w:rFonts w:ascii="Times New Roman" w:hAnsi="Times New Roman" w:cs="Times New Roman"/>
          <w:sz w:val="24"/>
          <w:szCs w:val="24"/>
        </w:rPr>
      </w:pPr>
      <w:r>
        <w:rPr>
          <w:rFonts w:ascii="Times New Roman" w:hAnsi="Times New Roman" w:cs="Times New Roman"/>
          <w:sz w:val="24"/>
          <w:szCs w:val="24"/>
        </w:rPr>
        <w:t>14 din cei 52</w:t>
      </w:r>
      <w:r w:rsidRPr="00CC1648">
        <w:rPr>
          <w:rFonts w:ascii="Times New Roman" w:hAnsi="Times New Roman" w:cs="Times New Roman"/>
          <w:sz w:val="24"/>
          <w:szCs w:val="24"/>
        </w:rPr>
        <w:t xml:space="preserve"> de ordonatori principali de credite</w:t>
      </w:r>
      <w:r>
        <w:rPr>
          <w:rFonts w:ascii="Times New Roman" w:hAnsi="Times New Roman" w:cs="Times New Roman"/>
          <w:sz w:val="24"/>
          <w:szCs w:val="24"/>
        </w:rPr>
        <w:t>,</w:t>
      </w:r>
      <w:r w:rsidRPr="00CC1648">
        <w:rPr>
          <w:rFonts w:ascii="Times New Roman" w:hAnsi="Times New Roman" w:cs="Times New Roman"/>
          <w:sz w:val="24"/>
          <w:szCs w:val="24"/>
        </w:rPr>
        <w:t xml:space="preserve"> respectiv </w:t>
      </w:r>
      <w:r>
        <w:rPr>
          <w:rFonts w:ascii="Times New Roman" w:hAnsi="Times New Roman" w:cs="Times New Roman"/>
          <w:sz w:val="24"/>
          <w:szCs w:val="24"/>
        </w:rPr>
        <w:t xml:space="preserve">26,92% </w:t>
      </w:r>
      <w:r w:rsidRPr="006B11D4">
        <w:rPr>
          <w:rFonts w:ascii="Times New Roman" w:hAnsi="Times New Roman" w:cs="Times New Roman"/>
          <w:i/>
          <w:sz w:val="24"/>
          <w:szCs w:val="24"/>
        </w:rPr>
        <w:t xml:space="preserve">au implementat parţial </w:t>
      </w:r>
      <w:r>
        <w:rPr>
          <w:rFonts w:ascii="Times New Roman" w:hAnsi="Times New Roman" w:cs="Times New Roman"/>
          <w:sz w:val="24"/>
          <w:szCs w:val="24"/>
        </w:rPr>
        <w:t>acest standard.</w:t>
      </w:r>
    </w:p>
    <w:p w:rsidR="00D51E7F" w:rsidRPr="00B202CB" w:rsidRDefault="00D51E7F" w:rsidP="00B202CB">
      <w:pPr>
        <w:pStyle w:val="ListParagraph"/>
        <w:tabs>
          <w:tab w:val="left" w:pos="1701"/>
        </w:tabs>
        <w:spacing w:line="276" w:lineRule="auto"/>
        <w:jc w:val="both"/>
        <w:rPr>
          <w:rFonts w:ascii="Times New Roman" w:hAnsi="Times New Roman" w:cs="Times New Roman"/>
          <w:b/>
          <w:color w:val="000000" w:themeColor="text1"/>
          <w:sz w:val="24"/>
          <w:szCs w:val="24"/>
        </w:rPr>
      </w:pPr>
      <w:r w:rsidRPr="00B202CB">
        <w:rPr>
          <w:rFonts w:ascii="Times New Roman" w:hAnsi="Times New Roman" w:cs="Times New Roman"/>
          <w:b/>
          <w:color w:val="000000" w:themeColor="text1"/>
          <w:sz w:val="24"/>
          <w:szCs w:val="24"/>
        </w:rPr>
        <w:t>Anul 2016</w:t>
      </w:r>
    </w:p>
    <w:p w:rsidR="00D51E7F" w:rsidRPr="00B202CB" w:rsidRDefault="00D51E7F" w:rsidP="00C7604C">
      <w:pPr>
        <w:pStyle w:val="ListParagraph"/>
        <w:numPr>
          <w:ilvl w:val="0"/>
          <w:numId w:val="46"/>
        </w:numPr>
        <w:tabs>
          <w:tab w:val="left" w:pos="1701"/>
        </w:tabs>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3</w:t>
      </w:r>
      <w:r w:rsidR="00FE1137" w:rsidRPr="00B202CB">
        <w:rPr>
          <w:rFonts w:ascii="Times New Roman" w:hAnsi="Times New Roman" w:cs="Times New Roman"/>
          <w:color w:val="000000" w:themeColor="text1"/>
          <w:sz w:val="24"/>
          <w:szCs w:val="24"/>
        </w:rPr>
        <w:t>3</w:t>
      </w:r>
      <w:r w:rsidRPr="00B202CB">
        <w:rPr>
          <w:rFonts w:ascii="Times New Roman" w:hAnsi="Times New Roman" w:cs="Times New Roman"/>
          <w:color w:val="000000" w:themeColor="text1"/>
          <w:sz w:val="24"/>
          <w:szCs w:val="24"/>
        </w:rPr>
        <w:t xml:space="preserve"> din cei 50 de ordonatori principali de credite, respectiv 6</w:t>
      </w:r>
      <w:r w:rsidR="0058301B" w:rsidRPr="00B202CB">
        <w:rPr>
          <w:rFonts w:ascii="Times New Roman" w:hAnsi="Times New Roman" w:cs="Times New Roman"/>
          <w:color w:val="000000" w:themeColor="text1"/>
          <w:sz w:val="24"/>
          <w:szCs w:val="24"/>
        </w:rPr>
        <w:t>6</w:t>
      </w:r>
      <w:r w:rsidRPr="00B202CB">
        <w:rPr>
          <w:rFonts w:ascii="Times New Roman" w:hAnsi="Times New Roman" w:cs="Times New Roman"/>
          <w:color w:val="000000" w:themeColor="text1"/>
          <w:sz w:val="24"/>
          <w:szCs w:val="24"/>
        </w:rPr>
        <w:t xml:space="preserve">,00% </w:t>
      </w:r>
      <w:r w:rsidRPr="00B202CB">
        <w:rPr>
          <w:rFonts w:ascii="Times New Roman" w:hAnsi="Times New Roman" w:cs="Times New Roman"/>
          <w:i/>
          <w:color w:val="000000" w:themeColor="text1"/>
          <w:sz w:val="24"/>
          <w:szCs w:val="24"/>
        </w:rPr>
        <w:t xml:space="preserve">au implementat </w:t>
      </w:r>
      <w:r w:rsidRPr="00B202CB">
        <w:rPr>
          <w:rFonts w:ascii="Times New Roman" w:hAnsi="Times New Roman" w:cs="Times New Roman"/>
          <w:color w:val="000000" w:themeColor="text1"/>
          <w:sz w:val="24"/>
          <w:szCs w:val="24"/>
        </w:rPr>
        <w:t>acest standard;</w:t>
      </w:r>
    </w:p>
    <w:p w:rsidR="00D51E7F" w:rsidRPr="00B202CB" w:rsidRDefault="00D51E7F" w:rsidP="00C7604C">
      <w:pPr>
        <w:pStyle w:val="ListParagraph"/>
        <w:numPr>
          <w:ilvl w:val="0"/>
          <w:numId w:val="46"/>
        </w:numPr>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1</w:t>
      </w:r>
      <w:r w:rsidR="00FE1137" w:rsidRPr="00B202CB">
        <w:rPr>
          <w:rFonts w:ascii="Times New Roman" w:hAnsi="Times New Roman" w:cs="Times New Roman"/>
          <w:color w:val="000000" w:themeColor="text1"/>
          <w:sz w:val="24"/>
          <w:szCs w:val="24"/>
        </w:rPr>
        <w:t>6</w:t>
      </w:r>
      <w:r w:rsidRPr="00B202CB">
        <w:rPr>
          <w:rFonts w:ascii="Times New Roman" w:hAnsi="Times New Roman" w:cs="Times New Roman"/>
          <w:color w:val="000000" w:themeColor="text1"/>
          <w:sz w:val="24"/>
          <w:szCs w:val="24"/>
        </w:rPr>
        <w:t xml:space="preserve"> din cei 50 de ordonatori principali de credite, respectiv 3</w:t>
      </w:r>
      <w:r w:rsidR="0058301B" w:rsidRPr="00B202CB">
        <w:rPr>
          <w:rFonts w:ascii="Times New Roman" w:hAnsi="Times New Roman" w:cs="Times New Roman"/>
          <w:color w:val="000000" w:themeColor="text1"/>
          <w:sz w:val="24"/>
          <w:szCs w:val="24"/>
        </w:rPr>
        <w:t>2</w:t>
      </w:r>
      <w:r w:rsidRPr="00B202CB">
        <w:rPr>
          <w:rFonts w:ascii="Times New Roman" w:hAnsi="Times New Roman" w:cs="Times New Roman"/>
          <w:color w:val="000000" w:themeColor="text1"/>
          <w:sz w:val="24"/>
          <w:szCs w:val="24"/>
        </w:rPr>
        <w:t xml:space="preserve">,00% </w:t>
      </w:r>
      <w:r w:rsidRPr="00B202CB">
        <w:rPr>
          <w:rFonts w:ascii="Times New Roman" w:hAnsi="Times New Roman" w:cs="Times New Roman"/>
          <w:i/>
          <w:color w:val="000000" w:themeColor="text1"/>
          <w:sz w:val="24"/>
          <w:szCs w:val="24"/>
        </w:rPr>
        <w:t>au</w:t>
      </w:r>
      <w:r w:rsidRPr="00B202CB">
        <w:rPr>
          <w:rFonts w:ascii="Times New Roman" w:hAnsi="Times New Roman" w:cs="Times New Roman"/>
          <w:color w:val="000000" w:themeColor="text1"/>
          <w:sz w:val="24"/>
          <w:szCs w:val="24"/>
        </w:rPr>
        <w:t xml:space="preserve"> </w:t>
      </w:r>
      <w:r w:rsidRPr="00B202CB">
        <w:rPr>
          <w:rFonts w:ascii="Times New Roman" w:hAnsi="Times New Roman" w:cs="Times New Roman"/>
          <w:i/>
          <w:color w:val="000000" w:themeColor="text1"/>
          <w:sz w:val="24"/>
          <w:szCs w:val="24"/>
        </w:rPr>
        <w:t xml:space="preserve">implementat parţial </w:t>
      </w:r>
      <w:r w:rsidRPr="00B202CB">
        <w:rPr>
          <w:rFonts w:ascii="Times New Roman" w:hAnsi="Times New Roman" w:cs="Times New Roman"/>
          <w:color w:val="000000" w:themeColor="text1"/>
          <w:sz w:val="24"/>
          <w:szCs w:val="24"/>
        </w:rPr>
        <w:t>acest standard;</w:t>
      </w:r>
    </w:p>
    <w:p w:rsidR="00D51E7F" w:rsidRPr="00B202CB" w:rsidRDefault="00FE1137" w:rsidP="00C7604C">
      <w:pPr>
        <w:pStyle w:val="ListParagraph"/>
        <w:numPr>
          <w:ilvl w:val="0"/>
          <w:numId w:val="46"/>
        </w:numPr>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1</w:t>
      </w:r>
      <w:r w:rsidR="00D51E7F" w:rsidRPr="00B202CB">
        <w:rPr>
          <w:rFonts w:ascii="Times New Roman" w:hAnsi="Times New Roman" w:cs="Times New Roman"/>
          <w:color w:val="000000" w:themeColor="text1"/>
          <w:sz w:val="24"/>
          <w:szCs w:val="24"/>
        </w:rPr>
        <w:t xml:space="preserve"> din cei 50 de ordonatori principali de credite, respectiv </w:t>
      </w:r>
      <w:r w:rsidR="0058301B" w:rsidRPr="00B202CB">
        <w:rPr>
          <w:rFonts w:ascii="Times New Roman" w:hAnsi="Times New Roman" w:cs="Times New Roman"/>
          <w:color w:val="000000" w:themeColor="text1"/>
          <w:sz w:val="24"/>
          <w:szCs w:val="24"/>
        </w:rPr>
        <w:t>2</w:t>
      </w:r>
      <w:r w:rsidR="00D51E7F" w:rsidRPr="00B202CB">
        <w:rPr>
          <w:rFonts w:ascii="Times New Roman" w:hAnsi="Times New Roman" w:cs="Times New Roman"/>
          <w:color w:val="000000" w:themeColor="text1"/>
          <w:sz w:val="24"/>
          <w:szCs w:val="24"/>
        </w:rPr>
        <w:t xml:space="preserve">,00% </w:t>
      </w:r>
      <w:r w:rsidR="00D51E7F" w:rsidRPr="00B202CB">
        <w:rPr>
          <w:rFonts w:ascii="Times New Roman" w:hAnsi="Times New Roman" w:cs="Times New Roman"/>
          <w:i/>
          <w:color w:val="000000" w:themeColor="text1"/>
          <w:sz w:val="24"/>
          <w:szCs w:val="24"/>
        </w:rPr>
        <w:t>nu</w:t>
      </w:r>
      <w:r w:rsidR="00D51E7F" w:rsidRPr="00B202CB">
        <w:rPr>
          <w:rFonts w:ascii="Times New Roman" w:hAnsi="Times New Roman" w:cs="Times New Roman"/>
          <w:color w:val="000000" w:themeColor="text1"/>
          <w:sz w:val="24"/>
          <w:szCs w:val="24"/>
        </w:rPr>
        <w:t xml:space="preserve"> </w:t>
      </w:r>
      <w:r w:rsidR="00F50B97" w:rsidRPr="00B202CB">
        <w:rPr>
          <w:rFonts w:ascii="Times New Roman" w:hAnsi="Times New Roman" w:cs="Times New Roman"/>
          <w:i/>
          <w:color w:val="000000" w:themeColor="text1"/>
          <w:sz w:val="24"/>
          <w:szCs w:val="24"/>
        </w:rPr>
        <w:t>a</w:t>
      </w:r>
      <w:r w:rsidR="00D51E7F" w:rsidRPr="00B202CB">
        <w:rPr>
          <w:rFonts w:ascii="Times New Roman" w:hAnsi="Times New Roman" w:cs="Times New Roman"/>
          <w:i/>
          <w:color w:val="000000" w:themeColor="text1"/>
          <w:sz w:val="24"/>
          <w:szCs w:val="24"/>
        </w:rPr>
        <w:t xml:space="preserve"> implementat</w:t>
      </w:r>
      <w:r w:rsidR="00FE3342">
        <w:rPr>
          <w:rFonts w:ascii="Times New Roman" w:hAnsi="Times New Roman" w:cs="Times New Roman"/>
          <w:color w:val="000000" w:themeColor="text1"/>
          <w:sz w:val="24"/>
          <w:szCs w:val="24"/>
        </w:rPr>
        <w:t xml:space="preserve"> acest standard.</w:t>
      </w:r>
    </w:p>
    <w:p w:rsidR="00D51E7F" w:rsidRPr="00285D0C" w:rsidRDefault="00AE735A" w:rsidP="00AE735A">
      <w:pPr>
        <w:spacing w:line="276"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o-RO"/>
        </w:rPr>
        <w:drawing>
          <wp:anchor distT="0" distB="0" distL="114300" distR="114300" simplePos="0" relativeHeight="251684864" behindDoc="0" locked="0" layoutInCell="1" allowOverlap="1" wp14:anchorId="7B783D78" wp14:editId="4EDB0E9E">
            <wp:simplePos x="0" y="0"/>
            <wp:positionH relativeFrom="column">
              <wp:posOffset>3170711</wp:posOffset>
            </wp:positionH>
            <wp:positionV relativeFrom="paragraph">
              <wp:posOffset>-635</wp:posOffset>
            </wp:positionV>
            <wp:extent cx="2940685" cy="2230755"/>
            <wp:effectExtent l="0" t="0" r="12065" b="17145"/>
            <wp:wrapNone/>
            <wp:docPr id="102" name="Chart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anchor>
        </w:drawing>
      </w:r>
      <w:r>
        <w:rPr>
          <w:rFonts w:ascii="Times New Roman" w:hAnsi="Times New Roman" w:cs="Times New Roman"/>
          <w:noProof/>
          <w:sz w:val="24"/>
          <w:szCs w:val="24"/>
          <w:lang w:eastAsia="ro-RO"/>
        </w:rPr>
        <w:drawing>
          <wp:inline distT="0" distB="0" distL="0" distR="0" wp14:anchorId="21D6E659" wp14:editId="4C4FAC30">
            <wp:extent cx="2940710" cy="2231136"/>
            <wp:effectExtent l="0" t="0" r="12065" b="17145"/>
            <wp:docPr id="101" name="Chart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1B6E6C" w:rsidRDefault="001B6E6C" w:rsidP="00602BDC">
      <w:pPr>
        <w:spacing w:line="276" w:lineRule="auto"/>
        <w:jc w:val="both"/>
        <w:rPr>
          <w:rFonts w:ascii="Times New Roman" w:hAnsi="Times New Roman" w:cs="Times New Roman"/>
          <w:i/>
          <w:sz w:val="24"/>
          <w:szCs w:val="24"/>
          <w:lang w:val="en-US"/>
        </w:rPr>
      </w:pPr>
    </w:p>
    <w:p w:rsidR="00CF002C" w:rsidRPr="00B202CB" w:rsidRDefault="00AC1F6C" w:rsidP="00B202CB">
      <w:pPr>
        <w:rPr>
          <w:rFonts w:ascii="Times New Roman" w:hAnsi="Times New Roman" w:cs="Times New Roman"/>
          <w:b/>
          <w:sz w:val="24"/>
          <w:szCs w:val="24"/>
          <w:lang w:val="en-US"/>
        </w:rPr>
      </w:pPr>
      <w:r w:rsidRPr="00B202CB">
        <w:rPr>
          <w:rFonts w:ascii="Times New Roman" w:hAnsi="Times New Roman" w:cs="Times New Roman"/>
          <w:b/>
          <w:sz w:val="24"/>
          <w:szCs w:val="24"/>
          <w:lang w:val="en-US"/>
        </w:rPr>
        <w:t>S</w:t>
      </w:r>
      <w:r w:rsidR="00B202CB" w:rsidRPr="00B202CB">
        <w:rPr>
          <w:rFonts w:ascii="Times New Roman" w:hAnsi="Times New Roman" w:cs="Times New Roman"/>
          <w:b/>
          <w:sz w:val="24"/>
          <w:szCs w:val="24"/>
          <w:lang w:val="en-US"/>
        </w:rPr>
        <w:t xml:space="preserve">tandardul </w:t>
      </w:r>
      <w:r w:rsidRPr="00B202CB">
        <w:rPr>
          <w:rFonts w:ascii="Times New Roman" w:hAnsi="Times New Roman" w:cs="Times New Roman"/>
          <w:b/>
          <w:sz w:val="24"/>
          <w:szCs w:val="24"/>
          <w:lang w:val="en-US"/>
        </w:rPr>
        <w:t>14 - R</w:t>
      </w:r>
      <w:r w:rsidR="00B202CB" w:rsidRPr="00B202CB">
        <w:rPr>
          <w:rFonts w:ascii="Times New Roman" w:hAnsi="Times New Roman" w:cs="Times New Roman"/>
          <w:b/>
          <w:sz w:val="24"/>
          <w:szCs w:val="24"/>
          <w:lang w:val="en-US"/>
        </w:rPr>
        <w:t>aportarea contabilă şi financiară</w:t>
      </w:r>
    </w:p>
    <w:p w:rsidR="00CF002C" w:rsidRPr="00927D2E" w:rsidRDefault="00CF002C" w:rsidP="00B202CB">
      <w:pPr>
        <w:spacing w:line="276" w:lineRule="auto"/>
        <w:jc w:val="both"/>
        <w:rPr>
          <w:rFonts w:ascii="Times New Roman" w:hAnsi="Times New Roman" w:cs="Times New Roman"/>
          <w:sz w:val="24"/>
          <w:szCs w:val="24"/>
          <w:lang w:val="en-US"/>
        </w:rPr>
      </w:pPr>
      <w:r w:rsidRPr="00927D2E">
        <w:rPr>
          <w:rFonts w:ascii="Times New Roman" w:hAnsi="Times New Roman" w:cs="Times New Roman"/>
          <w:sz w:val="24"/>
          <w:szCs w:val="24"/>
          <w:lang w:val="en-US"/>
        </w:rPr>
        <w:t>Conducător</w:t>
      </w:r>
      <w:r>
        <w:rPr>
          <w:rFonts w:ascii="Times New Roman" w:hAnsi="Times New Roman" w:cs="Times New Roman"/>
          <w:sz w:val="24"/>
          <w:szCs w:val="24"/>
          <w:lang w:val="en-US"/>
        </w:rPr>
        <w:t>ii entităţilor</w:t>
      </w:r>
      <w:r w:rsidRPr="00927D2E">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927D2E">
        <w:rPr>
          <w:rFonts w:ascii="Times New Roman" w:hAnsi="Times New Roman" w:cs="Times New Roman"/>
          <w:sz w:val="24"/>
          <w:szCs w:val="24"/>
          <w:lang w:val="en-US"/>
        </w:rPr>
        <w:t>asigur</w:t>
      </w:r>
      <w:r>
        <w:rPr>
          <w:rFonts w:ascii="Times New Roman" w:hAnsi="Times New Roman" w:cs="Times New Roman"/>
          <w:sz w:val="24"/>
          <w:szCs w:val="24"/>
          <w:lang w:val="en-US"/>
        </w:rPr>
        <w:t>e o</w:t>
      </w:r>
      <w:r w:rsidRPr="00927D2E">
        <w:rPr>
          <w:rFonts w:ascii="Times New Roman" w:hAnsi="Times New Roman" w:cs="Times New Roman"/>
          <w:sz w:val="24"/>
          <w:szCs w:val="24"/>
          <w:lang w:val="en-US"/>
        </w:rPr>
        <w:t xml:space="preserve"> bun</w:t>
      </w:r>
      <w:r>
        <w:rPr>
          <w:rFonts w:ascii="Times New Roman" w:hAnsi="Times New Roman" w:cs="Times New Roman"/>
          <w:sz w:val="24"/>
          <w:szCs w:val="24"/>
          <w:lang w:val="en-US"/>
        </w:rPr>
        <w:t>ă</w:t>
      </w:r>
      <w:r w:rsidRPr="00927D2E">
        <w:rPr>
          <w:rFonts w:ascii="Times New Roman" w:hAnsi="Times New Roman" w:cs="Times New Roman"/>
          <w:sz w:val="24"/>
          <w:szCs w:val="24"/>
          <w:lang w:val="en-US"/>
        </w:rPr>
        <w:t xml:space="preserve"> desfăşurare a proceselor şi exercitarea formelor de control intern adecvate, care garantează că datele şi informaţiile aferente utilizate pentru întocmirea situaţiilor contabile anuale şi a rapoartelor financiare sunt corecte, complete şi furnizate la timp.</w:t>
      </w:r>
    </w:p>
    <w:p w:rsidR="00CF002C" w:rsidRPr="00927D2E" w:rsidRDefault="00CF002C" w:rsidP="00602BDC">
      <w:pPr>
        <w:spacing w:line="276" w:lineRule="auto"/>
        <w:jc w:val="both"/>
        <w:rPr>
          <w:rFonts w:ascii="Times New Roman" w:hAnsi="Times New Roman" w:cs="Times New Roman"/>
          <w:sz w:val="24"/>
          <w:szCs w:val="24"/>
          <w:lang w:val="en-US"/>
        </w:rPr>
      </w:pPr>
      <w:r w:rsidRPr="00927D2E">
        <w:rPr>
          <w:rFonts w:ascii="Times New Roman" w:hAnsi="Times New Roman" w:cs="Times New Roman"/>
          <w:sz w:val="24"/>
          <w:szCs w:val="24"/>
          <w:lang w:val="en-US"/>
        </w:rPr>
        <w:t>Conducător</w:t>
      </w:r>
      <w:r>
        <w:rPr>
          <w:rFonts w:ascii="Times New Roman" w:hAnsi="Times New Roman" w:cs="Times New Roman"/>
          <w:sz w:val="24"/>
          <w:szCs w:val="24"/>
          <w:lang w:val="en-US"/>
        </w:rPr>
        <w:t>ii entităţilor</w:t>
      </w:r>
      <w:r w:rsidRPr="00927D2E">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fie </w:t>
      </w:r>
      <w:r w:rsidRPr="00927D2E">
        <w:rPr>
          <w:rFonts w:ascii="Times New Roman" w:hAnsi="Times New Roman" w:cs="Times New Roman"/>
          <w:sz w:val="24"/>
          <w:szCs w:val="24"/>
          <w:lang w:val="en-US"/>
        </w:rPr>
        <w:t>responsabil</w:t>
      </w:r>
      <w:r>
        <w:rPr>
          <w:rFonts w:ascii="Times New Roman" w:hAnsi="Times New Roman" w:cs="Times New Roman"/>
          <w:sz w:val="24"/>
          <w:szCs w:val="24"/>
          <w:lang w:val="en-US"/>
        </w:rPr>
        <w:t>i</w:t>
      </w:r>
      <w:r w:rsidRPr="00927D2E">
        <w:rPr>
          <w:rFonts w:ascii="Times New Roman" w:hAnsi="Times New Roman" w:cs="Times New Roman"/>
          <w:sz w:val="24"/>
          <w:szCs w:val="24"/>
          <w:lang w:val="en-US"/>
        </w:rPr>
        <w:t xml:space="preserve"> de organizarea şi ţinerea la zi a contabilităţii şi de prezentarea la termen a situaţiilor financiare asupra situaţiei patrimoniului aflat în administrarea sa, precum şi a execuţiei bugetare, în vederea asigurării exactităţii tuturor informaţiilor contabile aflate sub controlul său.</w:t>
      </w:r>
    </w:p>
    <w:p w:rsidR="00CF002C" w:rsidRPr="00927D2E" w:rsidRDefault="00CF002C" w:rsidP="00B202CB">
      <w:pPr>
        <w:spacing w:line="276" w:lineRule="auto"/>
        <w:jc w:val="both"/>
        <w:rPr>
          <w:rFonts w:ascii="Times New Roman" w:hAnsi="Times New Roman" w:cs="Times New Roman"/>
          <w:sz w:val="24"/>
          <w:szCs w:val="24"/>
          <w:lang w:val="en-US"/>
        </w:rPr>
      </w:pPr>
      <w:r w:rsidRPr="00927D2E">
        <w:rPr>
          <w:rFonts w:ascii="Times New Roman" w:hAnsi="Times New Roman" w:cs="Times New Roman"/>
          <w:sz w:val="24"/>
          <w:szCs w:val="24"/>
          <w:lang w:val="en-US"/>
        </w:rPr>
        <w:t>Conducător</w:t>
      </w:r>
      <w:r>
        <w:rPr>
          <w:rFonts w:ascii="Times New Roman" w:hAnsi="Times New Roman" w:cs="Times New Roman"/>
          <w:sz w:val="24"/>
          <w:szCs w:val="24"/>
          <w:lang w:val="en-US"/>
        </w:rPr>
        <w:t>ii</w:t>
      </w:r>
      <w:r w:rsidRPr="00927D2E">
        <w:rPr>
          <w:rFonts w:ascii="Times New Roman" w:hAnsi="Times New Roman" w:cs="Times New Roman"/>
          <w:sz w:val="24"/>
          <w:szCs w:val="24"/>
          <w:lang w:val="en-US"/>
        </w:rPr>
        <w:t xml:space="preserve"> compartimentului financiar-contabil </w:t>
      </w:r>
      <w:r>
        <w:rPr>
          <w:rFonts w:ascii="Times New Roman" w:hAnsi="Times New Roman" w:cs="Times New Roman"/>
          <w:sz w:val="24"/>
          <w:szCs w:val="24"/>
          <w:lang w:val="en-US"/>
        </w:rPr>
        <w:t xml:space="preserve">trebuie să </w:t>
      </w:r>
      <w:r w:rsidRPr="00927D2E">
        <w:rPr>
          <w:rFonts w:ascii="Times New Roman" w:hAnsi="Times New Roman" w:cs="Times New Roman"/>
          <w:sz w:val="24"/>
          <w:szCs w:val="24"/>
          <w:lang w:val="en-US"/>
        </w:rPr>
        <w:t>asigur</w:t>
      </w:r>
      <w:r>
        <w:rPr>
          <w:rFonts w:ascii="Times New Roman" w:hAnsi="Times New Roman" w:cs="Times New Roman"/>
          <w:sz w:val="24"/>
          <w:szCs w:val="24"/>
          <w:lang w:val="en-US"/>
        </w:rPr>
        <w:t>e</w:t>
      </w:r>
      <w:r w:rsidRPr="00927D2E">
        <w:rPr>
          <w:rFonts w:ascii="Times New Roman" w:hAnsi="Times New Roman" w:cs="Times New Roman"/>
          <w:sz w:val="24"/>
          <w:szCs w:val="24"/>
          <w:lang w:val="en-US"/>
        </w:rPr>
        <w:t xml:space="preserve"> calitatea informaţiilor şi datelor contabile utilizate la realizarea situaţiilor contabile, care reflectă în mod real activele şi pasivele entităţii publice.</w:t>
      </w:r>
    </w:p>
    <w:p w:rsidR="00CF002C" w:rsidRDefault="00CF002C" w:rsidP="00B202CB">
      <w:pPr>
        <w:spacing w:line="276" w:lineRule="auto"/>
        <w:jc w:val="both"/>
        <w:rPr>
          <w:rFonts w:ascii="Times New Roman" w:hAnsi="Times New Roman" w:cs="Times New Roman"/>
          <w:sz w:val="24"/>
          <w:szCs w:val="24"/>
          <w:lang w:val="en-US"/>
        </w:rPr>
      </w:pPr>
      <w:r w:rsidRPr="00927D2E">
        <w:rPr>
          <w:rFonts w:ascii="Times New Roman" w:hAnsi="Times New Roman" w:cs="Times New Roman"/>
          <w:sz w:val="24"/>
          <w:szCs w:val="24"/>
          <w:lang w:val="en-US"/>
        </w:rPr>
        <w:t xml:space="preserve">În </w:t>
      </w:r>
      <w:r>
        <w:rPr>
          <w:rFonts w:ascii="Times New Roman" w:hAnsi="Times New Roman" w:cs="Times New Roman"/>
          <w:sz w:val="24"/>
          <w:szCs w:val="24"/>
          <w:lang w:val="en-US"/>
        </w:rPr>
        <w:t xml:space="preserve">fiecare </w:t>
      </w:r>
      <w:r w:rsidRPr="00927D2E">
        <w:rPr>
          <w:rFonts w:ascii="Times New Roman" w:hAnsi="Times New Roman" w:cs="Times New Roman"/>
          <w:sz w:val="24"/>
          <w:szCs w:val="24"/>
          <w:lang w:val="en-US"/>
        </w:rPr>
        <w:t xml:space="preserve">entitatea publică </w:t>
      </w:r>
      <w:r>
        <w:rPr>
          <w:rFonts w:ascii="Times New Roman" w:hAnsi="Times New Roman" w:cs="Times New Roman"/>
          <w:sz w:val="24"/>
          <w:szCs w:val="24"/>
          <w:lang w:val="en-US"/>
        </w:rPr>
        <w:t xml:space="preserve">trebuie să fie </w:t>
      </w:r>
      <w:r w:rsidRPr="00927D2E">
        <w:rPr>
          <w:rFonts w:ascii="Times New Roman" w:hAnsi="Times New Roman" w:cs="Times New Roman"/>
          <w:sz w:val="24"/>
          <w:szCs w:val="24"/>
          <w:lang w:val="en-US"/>
        </w:rPr>
        <w:t xml:space="preserve">elaborate proceduri şi controale contabile documentate în mod corespunzător, </w:t>
      </w:r>
      <w:r>
        <w:rPr>
          <w:rFonts w:ascii="Times New Roman" w:hAnsi="Times New Roman" w:cs="Times New Roman"/>
          <w:sz w:val="24"/>
          <w:szCs w:val="24"/>
          <w:lang w:val="en-US"/>
        </w:rPr>
        <w:t>care să vizeze</w:t>
      </w:r>
      <w:r w:rsidRPr="00927D2E">
        <w:rPr>
          <w:rFonts w:ascii="Times New Roman" w:hAnsi="Times New Roman" w:cs="Times New Roman"/>
          <w:sz w:val="24"/>
          <w:szCs w:val="24"/>
          <w:lang w:val="en-US"/>
        </w:rPr>
        <w:t xml:space="preserve"> corecta aplicare a actelor normative din domeniul financiar-contabil şi al controlului intern.</w:t>
      </w:r>
    </w:p>
    <w:p w:rsidR="00FE1137" w:rsidRPr="00B202CB" w:rsidRDefault="00FE1137" w:rsidP="00B202CB">
      <w:pPr>
        <w:tabs>
          <w:tab w:val="left" w:pos="1701"/>
        </w:tabs>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Din analiza datelor cuprinse în raportările ordonatorilor principali de credite</w:t>
      </w:r>
      <w:r w:rsidR="003E2CF1" w:rsidRPr="00B202CB">
        <w:rPr>
          <w:rFonts w:ascii="Times New Roman" w:hAnsi="Times New Roman" w:cs="Times New Roman"/>
          <w:color w:val="000000" w:themeColor="text1"/>
          <w:sz w:val="24"/>
          <w:szCs w:val="24"/>
        </w:rPr>
        <w:t>,</w:t>
      </w:r>
      <w:r w:rsidRPr="00B202CB">
        <w:rPr>
          <w:rFonts w:ascii="Times New Roman" w:hAnsi="Times New Roman" w:cs="Times New Roman"/>
          <w:color w:val="000000" w:themeColor="text1"/>
          <w:sz w:val="24"/>
          <w:szCs w:val="24"/>
        </w:rPr>
        <w:t xml:space="preserve"> </w:t>
      </w:r>
      <w:r w:rsidR="003E2CF1" w:rsidRPr="00B202CB">
        <w:rPr>
          <w:rFonts w:ascii="Times New Roman" w:hAnsi="Times New Roman" w:cs="Times New Roman"/>
          <w:color w:val="000000" w:themeColor="text1"/>
          <w:sz w:val="24"/>
          <w:szCs w:val="24"/>
        </w:rPr>
        <w:t>în anul 2016 comparativ cu anul 2015</w:t>
      </w:r>
      <w:r w:rsidRPr="00B202CB">
        <w:rPr>
          <w:rFonts w:ascii="Times New Roman" w:hAnsi="Times New Roman" w:cs="Times New Roman"/>
          <w:color w:val="000000" w:themeColor="text1"/>
          <w:sz w:val="24"/>
          <w:szCs w:val="24"/>
        </w:rPr>
        <w:t xml:space="preserve">, conform tabelului </w:t>
      </w:r>
      <w:r w:rsidR="00F50B97" w:rsidRPr="00B202CB">
        <w:rPr>
          <w:rFonts w:ascii="Times New Roman" w:hAnsi="Times New Roman" w:cs="Times New Roman"/>
          <w:color w:val="000000" w:themeColor="text1"/>
          <w:sz w:val="24"/>
          <w:szCs w:val="24"/>
        </w:rPr>
        <w:t>nr. 3</w:t>
      </w:r>
      <w:r w:rsidRPr="00B202CB">
        <w:rPr>
          <w:rFonts w:ascii="Times New Roman" w:hAnsi="Times New Roman" w:cs="Times New Roman"/>
          <w:color w:val="000000" w:themeColor="text1"/>
          <w:sz w:val="24"/>
          <w:szCs w:val="24"/>
        </w:rPr>
        <w:t>, a rezultat următoarea situație:</w:t>
      </w:r>
    </w:p>
    <w:p w:rsidR="00FE1137" w:rsidRPr="00B202CB" w:rsidRDefault="00FE1137" w:rsidP="00B202CB">
      <w:pPr>
        <w:pStyle w:val="ListParagraph"/>
        <w:spacing w:line="276" w:lineRule="auto"/>
        <w:jc w:val="both"/>
        <w:rPr>
          <w:rFonts w:ascii="Times New Roman" w:hAnsi="Times New Roman" w:cs="Times New Roman"/>
          <w:b/>
          <w:color w:val="000000" w:themeColor="text1"/>
          <w:sz w:val="24"/>
          <w:szCs w:val="24"/>
        </w:rPr>
      </w:pPr>
      <w:r w:rsidRPr="00B202CB">
        <w:rPr>
          <w:rFonts w:ascii="Times New Roman" w:hAnsi="Times New Roman" w:cs="Times New Roman"/>
          <w:b/>
          <w:color w:val="000000" w:themeColor="text1"/>
          <w:sz w:val="24"/>
          <w:szCs w:val="24"/>
        </w:rPr>
        <w:t>Anul 2015</w:t>
      </w:r>
    </w:p>
    <w:p w:rsidR="00FE1137" w:rsidRPr="00B202CB" w:rsidRDefault="00FE1137" w:rsidP="00C7604C">
      <w:pPr>
        <w:pStyle w:val="ListParagraph"/>
        <w:numPr>
          <w:ilvl w:val="0"/>
          <w:numId w:val="47"/>
        </w:numPr>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 xml:space="preserve">47 din cei 52 de ordonatori principali de credite, respectiv 90,38% </w:t>
      </w:r>
      <w:r w:rsidRPr="00B202CB">
        <w:rPr>
          <w:rFonts w:ascii="Times New Roman" w:hAnsi="Times New Roman" w:cs="Times New Roman"/>
          <w:i/>
          <w:color w:val="000000" w:themeColor="text1"/>
          <w:sz w:val="24"/>
          <w:szCs w:val="24"/>
        </w:rPr>
        <w:t>au implementat</w:t>
      </w:r>
      <w:r w:rsidRPr="00B202CB">
        <w:rPr>
          <w:rFonts w:ascii="Times New Roman" w:hAnsi="Times New Roman" w:cs="Times New Roman"/>
          <w:color w:val="000000" w:themeColor="text1"/>
          <w:sz w:val="24"/>
          <w:szCs w:val="24"/>
        </w:rPr>
        <w:t xml:space="preserve"> acest standard;</w:t>
      </w:r>
    </w:p>
    <w:p w:rsidR="00FE1137" w:rsidRPr="00B202CB" w:rsidRDefault="00FE1137" w:rsidP="00C7604C">
      <w:pPr>
        <w:pStyle w:val="ListParagraph"/>
        <w:numPr>
          <w:ilvl w:val="0"/>
          <w:numId w:val="47"/>
        </w:numPr>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 xml:space="preserve">5 din cei 52 de ordonatori principali de credite, respectiv 9,62% </w:t>
      </w:r>
      <w:r w:rsidRPr="00B202CB">
        <w:rPr>
          <w:rFonts w:ascii="Times New Roman" w:hAnsi="Times New Roman" w:cs="Times New Roman"/>
          <w:i/>
          <w:color w:val="000000" w:themeColor="text1"/>
          <w:sz w:val="24"/>
          <w:szCs w:val="24"/>
        </w:rPr>
        <w:t xml:space="preserve">au implementat parţial </w:t>
      </w:r>
      <w:r w:rsidRPr="00B202CB">
        <w:rPr>
          <w:rFonts w:ascii="Times New Roman" w:hAnsi="Times New Roman" w:cs="Times New Roman"/>
          <w:color w:val="000000" w:themeColor="text1"/>
          <w:sz w:val="24"/>
          <w:szCs w:val="24"/>
        </w:rPr>
        <w:t>acest standard.</w:t>
      </w:r>
    </w:p>
    <w:p w:rsidR="00FE1137" w:rsidRPr="00B202CB" w:rsidRDefault="00FE1137" w:rsidP="00B202CB">
      <w:pPr>
        <w:pStyle w:val="ListParagraph"/>
        <w:tabs>
          <w:tab w:val="left" w:pos="1701"/>
        </w:tabs>
        <w:spacing w:line="276" w:lineRule="auto"/>
        <w:jc w:val="both"/>
        <w:rPr>
          <w:rFonts w:ascii="Times New Roman" w:hAnsi="Times New Roman" w:cs="Times New Roman"/>
          <w:b/>
          <w:color w:val="000000" w:themeColor="text1"/>
          <w:sz w:val="24"/>
          <w:szCs w:val="24"/>
        </w:rPr>
      </w:pPr>
      <w:r w:rsidRPr="00B202CB">
        <w:rPr>
          <w:rFonts w:ascii="Times New Roman" w:hAnsi="Times New Roman" w:cs="Times New Roman"/>
          <w:b/>
          <w:color w:val="000000" w:themeColor="text1"/>
          <w:sz w:val="24"/>
          <w:szCs w:val="24"/>
        </w:rPr>
        <w:t>Anul 2016</w:t>
      </w:r>
    </w:p>
    <w:p w:rsidR="00FE1137" w:rsidRPr="00B202CB" w:rsidRDefault="00FE1137" w:rsidP="00C7604C">
      <w:pPr>
        <w:pStyle w:val="ListParagraph"/>
        <w:numPr>
          <w:ilvl w:val="0"/>
          <w:numId w:val="48"/>
        </w:numPr>
        <w:tabs>
          <w:tab w:val="left" w:pos="1701"/>
        </w:tabs>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 xml:space="preserve">47 din cei 50 de ordonatori principali de credite, respectiv </w:t>
      </w:r>
      <w:r w:rsidR="00FA690C" w:rsidRPr="00B202CB">
        <w:rPr>
          <w:rFonts w:ascii="Times New Roman" w:hAnsi="Times New Roman" w:cs="Times New Roman"/>
          <w:color w:val="000000" w:themeColor="text1"/>
          <w:sz w:val="24"/>
          <w:szCs w:val="24"/>
        </w:rPr>
        <w:t>94</w:t>
      </w:r>
      <w:r w:rsidRPr="00B202CB">
        <w:rPr>
          <w:rFonts w:ascii="Times New Roman" w:hAnsi="Times New Roman" w:cs="Times New Roman"/>
          <w:color w:val="000000" w:themeColor="text1"/>
          <w:sz w:val="24"/>
          <w:szCs w:val="24"/>
        </w:rPr>
        <w:t xml:space="preserve">,00% </w:t>
      </w:r>
      <w:r w:rsidRPr="00B202CB">
        <w:rPr>
          <w:rFonts w:ascii="Times New Roman" w:hAnsi="Times New Roman" w:cs="Times New Roman"/>
          <w:i/>
          <w:color w:val="000000" w:themeColor="text1"/>
          <w:sz w:val="24"/>
          <w:szCs w:val="24"/>
        </w:rPr>
        <w:t xml:space="preserve">au implementat </w:t>
      </w:r>
      <w:r w:rsidRPr="00B202CB">
        <w:rPr>
          <w:rFonts w:ascii="Times New Roman" w:hAnsi="Times New Roman" w:cs="Times New Roman"/>
          <w:color w:val="000000" w:themeColor="text1"/>
          <w:sz w:val="24"/>
          <w:szCs w:val="24"/>
        </w:rPr>
        <w:t>acest standard;</w:t>
      </w:r>
    </w:p>
    <w:p w:rsidR="00FE1137" w:rsidRPr="00B202CB" w:rsidRDefault="00FE1137" w:rsidP="00C7604C">
      <w:pPr>
        <w:pStyle w:val="ListParagraph"/>
        <w:numPr>
          <w:ilvl w:val="0"/>
          <w:numId w:val="48"/>
        </w:numPr>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 xml:space="preserve">3 din cei 50 de ordonatori principali de credite, respectiv </w:t>
      </w:r>
      <w:r w:rsidR="00FA690C" w:rsidRPr="00B202CB">
        <w:rPr>
          <w:rFonts w:ascii="Times New Roman" w:hAnsi="Times New Roman" w:cs="Times New Roman"/>
          <w:color w:val="000000" w:themeColor="text1"/>
          <w:sz w:val="24"/>
          <w:szCs w:val="24"/>
        </w:rPr>
        <w:t>6</w:t>
      </w:r>
      <w:r w:rsidRPr="00B202CB">
        <w:rPr>
          <w:rFonts w:ascii="Times New Roman" w:hAnsi="Times New Roman" w:cs="Times New Roman"/>
          <w:color w:val="000000" w:themeColor="text1"/>
          <w:sz w:val="24"/>
          <w:szCs w:val="24"/>
        </w:rPr>
        <w:t xml:space="preserve">,00% </w:t>
      </w:r>
      <w:r w:rsidRPr="00B202CB">
        <w:rPr>
          <w:rFonts w:ascii="Times New Roman" w:hAnsi="Times New Roman" w:cs="Times New Roman"/>
          <w:i/>
          <w:color w:val="000000" w:themeColor="text1"/>
          <w:sz w:val="24"/>
          <w:szCs w:val="24"/>
        </w:rPr>
        <w:t>au</w:t>
      </w:r>
      <w:r w:rsidRPr="00B202CB">
        <w:rPr>
          <w:rFonts w:ascii="Times New Roman" w:hAnsi="Times New Roman" w:cs="Times New Roman"/>
          <w:color w:val="000000" w:themeColor="text1"/>
          <w:sz w:val="24"/>
          <w:szCs w:val="24"/>
        </w:rPr>
        <w:t xml:space="preserve"> </w:t>
      </w:r>
      <w:r w:rsidRPr="00B202CB">
        <w:rPr>
          <w:rFonts w:ascii="Times New Roman" w:hAnsi="Times New Roman" w:cs="Times New Roman"/>
          <w:i/>
          <w:color w:val="000000" w:themeColor="text1"/>
          <w:sz w:val="24"/>
          <w:szCs w:val="24"/>
        </w:rPr>
        <w:t xml:space="preserve">implementat parţial </w:t>
      </w:r>
      <w:r w:rsidR="00791456">
        <w:rPr>
          <w:rFonts w:ascii="Times New Roman" w:hAnsi="Times New Roman" w:cs="Times New Roman"/>
          <w:color w:val="000000" w:themeColor="text1"/>
          <w:sz w:val="24"/>
          <w:szCs w:val="24"/>
        </w:rPr>
        <w:t>acest standard.</w:t>
      </w:r>
    </w:p>
    <w:p w:rsidR="00AE735A" w:rsidRDefault="00AE735A" w:rsidP="00AE735A">
      <w:pPr>
        <w:pStyle w:val="ListParagraph"/>
        <w:spacing w:line="276" w:lineRule="auto"/>
        <w:ind w:left="1701"/>
        <w:jc w:val="both"/>
        <w:rPr>
          <w:rFonts w:ascii="Times New Roman" w:hAnsi="Times New Roman" w:cs="Times New Roman"/>
          <w:color w:val="FF0000"/>
          <w:sz w:val="24"/>
          <w:szCs w:val="24"/>
        </w:rPr>
      </w:pPr>
      <w:r>
        <w:rPr>
          <w:rFonts w:ascii="Times New Roman" w:hAnsi="Times New Roman" w:cs="Times New Roman"/>
          <w:noProof/>
          <w:sz w:val="24"/>
          <w:szCs w:val="24"/>
          <w:lang w:eastAsia="ro-RO"/>
        </w:rPr>
        <w:drawing>
          <wp:anchor distT="0" distB="0" distL="114300" distR="114300" simplePos="0" relativeHeight="251686912" behindDoc="0" locked="0" layoutInCell="1" allowOverlap="1" wp14:anchorId="303EE6FC" wp14:editId="78300F6F">
            <wp:simplePos x="0" y="0"/>
            <wp:positionH relativeFrom="column">
              <wp:posOffset>3166110</wp:posOffset>
            </wp:positionH>
            <wp:positionV relativeFrom="paragraph">
              <wp:posOffset>310762</wp:posOffset>
            </wp:positionV>
            <wp:extent cx="2940685" cy="2230755"/>
            <wp:effectExtent l="0" t="0" r="12065" b="17145"/>
            <wp:wrapNone/>
            <wp:docPr id="104" name="Chart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anchor>
        </w:drawing>
      </w:r>
    </w:p>
    <w:p w:rsidR="00AE735A" w:rsidRPr="00AE735A" w:rsidRDefault="00AE735A" w:rsidP="00AE735A">
      <w:pPr>
        <w:spacing w:line="276" w:lineRule="auto"/>
        <w:jc w:val="both"/>
        <w:rPr>
          <w:rFonts w:ascii="Times New Roman" w:hAnsi="Times New Roman" w:cs="Times New Roman"/>
          <w:color w:val="FF0000"/>
          <w:sz w:val="24"/>
          <w:szCs w:val="24"/>
        </w:rPr>
      </w:pPr>
      <w:r>
        <w:rPr>
          <w:rFonts w:ascii="Times New Roman" w:hAnsi="Times New Roman" w:cs="Times New Roman"/>
          <w:noProof/>
          <w:sz w:val="24"/>
          <w:szCs w:val="24"/>
          <w:lang w:eastAsia="ro-RO"/>
        </w:rPr>
        <w:drawing>
          <wp:inline distT="0" distB="0" distL="0" distR="0" wp14:anchorId="24E0695C" wp14:editId="5036BC7F">
            <wp:extent cx="2940710" cy="2231136"/>
            <wp:effectExtent l="0" t="0" r="12065" b="17145"/>
            <wp:docPr id="103" name="Chart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B202CB" w:rsidRDefault="00CF002C" w:rsidP="00602BDC">
      <w:pPr>
        <w:spacing w:line="276" w:lineRule="auto"/>
        <w:jc w:val="both"/>
        <w:rPr>
          <w:rFonts w:ascii="Times New Roman" w:hAnsi="Times New Roman" w:cs="Times New Roman"/>
          <w:b/>
          <w:sz w:val="36"/>
          <w:szCs w:val="36"/>
          <w:lang w:val="en-US"/>
        </w:rPr>
      </w:pPr>
      <w:r w:rsidRPr="004F34A3">
        <w:rPr>
          <w:rFonts w:ascii="Times New Roman" w:hAnsi="Times New Roman" w:cs="Times New Roman"/>
          <w:b/>
          <w:sz w:val="36"/>
          <w:szCs w:val="36"/>
          <w:lang w:val="en-US"/>
        </w:rPr>
        <w:t xml:space="preserve">    </w:t>
      </w:r>
    </w:p>
    <w:p w:rsidR="00B202CB" w:rsidRDefault="00B202CB">
      <w:pPr>
        <w:rPr>
          <w:rFonts w:ascii="Times New Roman" w:hAnsi="Times New Roman" w:cs="Times New Roman"/>
          <w:b/>
          <w:sz w:val="36"/>
          <w:szCs w:val="36"/>
          <w:lang w:val="en-US"/>
        </w:rPr>
      </w:pPr>
      <w:r>
        <w:rPr>
          <w:rFonts w:ascii="Times New Roman" w:hAnsi="Times New Roman" w:cs="Times New Roman"/>
          <w:b/>
          <w:sz w:val="36"/>
          <w:szCs w:val="36"/>
          <w:lang w:val="en-US"/>
        </w:rPr>
        <w:br w:type="page"/>
      </w:r>
    </w:p>
    <w:p w:rsidR="00CF002C" w:rsidRPr="00B202CB" w:rsidRDefault="00AC1F6C" w:rsidP="00B202CB">
      <w:pPr>
        <w:spacing w:line="276" w:lineRule="auto"/>
        <w:jc w:val="both"/>
        <w:rPr>
          <w:rFonts w:ascii="Times New Roman" w:hAnsi="Times New Roman" w:cs="Times New Roman"/>
          <w:b/>
          <w:sz w:val="24"/>
          <w:szCs w:val="24"/>
          <w:lang w:val="en-US"/>
        </w:rPr>
      </w:pPr>
      <w:r w:rsidRPr="00B202CB">
        <w:rPr>
          <w:rFonts w:ascii="Times New Roman" w:hAnsi="Times New Roman" w:cs="Times New Roman"/>
          <w:b/>
          <w:sz w:val="24"/>
          <w:szCs w:val="24"/>
          <w:lang w:val="en-US"/>
        </w:rPr>
        <w:t>V. Evaluare şi audit</w:t>
      </w:r>
    </w:p>
    <w:p w:rsidR="00CF002C" w:rsidRPr="00B202CB" w:rsidRDefault="00AC1F6C" w:rsidP="00B202CB">
      <w:pPr>
        <w:rPr>
          <w:rFonts w:ascii="Times New Roman" w:hAnsi="Times New Roman" w:cs="Times New Roman"/>
          <w:b/>
          <w:sz w:val="24"/>
          <w:szCs w:val="24"/>
          <w:lang w:val="en-US"/>
        </w:rPr>
      </w:pPr>
      <w:r w:rsidRPr="00B202CB">
        <w:rPr>
          <w:rFonts w:ascii="Times New Roman" w:hAnsi="Times New Roman" w:cs="Times New Roman"/>
          <w:b/>
          <w:sz w:val="24"/>
          <w:szCs w:val="24"/>
          <w:lang w:val="en-US"/>
        </w:rPr>
        <w:t>S</w:t>
      </w:r>
      <w:r w:rsidR="00B202CB" w:rsidRPr="00B202CB">
        <w:rPr>
          <w:rFonts w:ascii="Times New Roman" w:hAnsi="Times New Roman" w:cs="Times New Roman"/>
          <w:b/>
          <w:sz w:val="24"/>
          <w:szCs w:val="24"/>
          <w:lang w:val="en-US"/>
        </w:rPr>
        <w:t xml:space="preserve">tandardul </w:t>
      </w:r>
      <w:r w:rsidRPr="00B202CB">
        <w:rPr>
          <w:rFonts w:ascii="Times New Roman" w:hAnsi="Times New Roman" w:cs="Times New Roman"/>
          <w:b/>
          <w:sz w:val="24"/>
          <w:szCs w:val="24"/>
          <w:lang w:val="en-US"/>
        </w:rPr>
        <w:t>15 - E</w:t>
      </w:r>
      <w:r w:rsidR="00B202CB" w:rsidRPr="00B202CB">
        <w:rPr>
          <w:rFonts w:ascii="Times New Roman" w:hAnsi="Times New Roman" w:cs="Times New Roman"/>
          <w:b/>
          <w:sz w:val="24"/>
          <w:szCs w:val="24"/>
          <w:lang w:val="en-US"/>
        </w:rPr>
        <w:t>valuarea sistemului de control intern managerial</w:t>
      </w:r>
    </w:p>
    <w:p w:rsidR="00CF002C" w:rsidRPr="005D040A" w:rsidRDefault="00CF002C" w:rsidP="00B202CB">
      <w:pPr>
        <w:spacing w:line="276" w:lineRule="auto"/>
        <w:jc w:val="both"/>
        <w:rPr>
          <w:rFonts w:ascii="Times New Roman" w:hAnsi="Times New Roman" w:cs="Times New Roman"/>
          <w:sz w:val="24"/>
          <w:szCs w:val="24"/>
          <w:lang w:val="en-US"/>
        </w:rPr>
      </w:pPr>
      <w:r w:rsidRPr="005D040A">
        <w:rPr>
          <w:rFonts w:ascii="Times New Roman" w:hAnsi="Times New Roman" w:cs="Times New Roman"/>
          <w:sz w:val="24"/>
          <w:szCs w:val="24"/>
          <w:lang w:val="en-US"/>
        </w:rPr>
        <w:t>Conducător</w:t>
      </w:r>
      <w:r>
        <w:rPr>
          <w:rFonts w:ascii="Times New Roman" w:hAnsi="Times New Roman" w:cs="Times New Roman"/>
          <w:sz w:val="24"/>
          <w:szCs w:val="24"/>
          <w:lang w:val="en-US"/>
        </w:rPr>
        <w:t>ii entităţilor</w:t>
      </w:r>
      <w:r w:rsidRPr="005D040A">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5D040A">
        <w:rPr>
          <w:rFonts w:ascii="Times New Roman" w:hAnsi="Times New Roman" w:cs="Times New Roman"/>
          <w:sz w:val="24"/>
          <w:szCs w:val="24"/>
          <w:lang w:val="en-US"/>
        </w:rPr>
        <w:t>instituie o funcţie de evaluare a controlului intern managerial, elaborând, în acest scop, politici, planuri şi programe.</w:t>
      </w:r>
    </w:p>
    <w:p w:rsidR="00CF002C" w:rsidRPr="005D040A" w:rsidRDefault="00CF002C" w:rsidP="00602BDC">
      <w:pPr>
        <w:spacing w:line="276" w:lineRule="auto"/>
        <w:jc w:val="both"/>
        <w:rPr>
          <w:rFonts w:ascii="Times New Roman" w:hAnsi="Times New Roman" w:cs="Times New Roman"/>
          <w:sz w:val="24"/>
          <w:szCs w:val="24"/>
          <w:lang w:val="en-US"/>
        </w:rPr>
      </w:pPr>
      <w:r w:rsidRPr="005D040A">
        <w:rPr>
          <w:rFonts w:ascii="Times New Roman" w:hAnsi="Times New Roman" w:cs="Times New Roman"/>
          <w:sz w:val="24"/>
          <w:szCs w:val="24"/>
          <w:lang w:val="en-US"/>
        </w:rPr>
        <w:t>Conducător</w:t>
      </w:r>
      <w:r>
        <w:rPr>
          <w:rFonts w:ascii="Times New Roman" w:hAnsi="Times New Roman" w:cs="Times New Roman"/>
          <w:sz w:val="24"/>
          <w:szCs w:val="24"/>
          <w:lang w:val="en-US"/>
        </w:rPr>
        <w:t>ii entităţilor</w:t>
      </w:r>
      <w:r w:rsidRPr="005D040A">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5D040A">
        <w:rPr>
          <w:rFonts w:ascii="Times New Roman" w:hAnsi="Times New Roman" w:cs="Times New Roman"/>
          <w:sz w:val="24"/>
          <w:szCs w:val="24"/>
          <w:lang w:val="en-US"/>
        </w:rPr>
        <w:t>elabore</w:t>
      </w:r>
      <w:r>
        <w:rPr>
          <w:rFonts w:ascii="Times New Roman" w:hAnsi="Times New Roman" w:cs="Times New Roman"/>
          <w:sz w:val="24"/>
          <w:szCs w:val="24"/>
          <w:lang w:val="en-US"/>
        </w:rPr>
        <w:t>ze</w:t>
      </w:r>
      <w:r w:rsidRPr="005D040A">
        <w:rPr>
          <w:rFonts w:ascii="Times New Roman" w:hAnsi="Times New Roman" w:cs="Times New Roman"/>
          <w:sz w:val="24"/>
          <w:szCs w:val="24"/>
          <w:lang w:val="en-US"/>
        </w:rPr>
        <w:t>, anual, prin asumarea responsabilităţii manageriale, un raport asupra propriului sistem de control intern managerial.</w:t>
      </w:r>
    </w:p>
    <w:p w:rsidR="00CF002C" w:rsidRPr="005D040A" w:rsidRDefault="00CF002C" w:rsidP="00B202CB">
      <w:pPr>
        <w:spacing w:line="276" w:lineRule="auto"/>
        <w:jc w:val="both"/>
        <w:rPr>
          <w:rFonts w:ascii="Times New Roman" w:hAnsi="Times New Roman" w:cs="Times New Roman"/>
          <w:sz w:val="24"/>
          <w:szCs w:val="24"/>
          <w:lang w:val="en-US"/>
        </w:rPr>
      </w:pPr>
      <w:r w:rsidRPr="005D040A">
        <w:rPr>
          <w:rFonts w:ascii="Times New Roman" w:hAnsi="Times New Roman" w:cs="Times New Roman"/>
          <w:sz w:val="24"/>
          <w:szCs w:val="24"/>
          <w:lang w:val="en-US"/>
        </w:rPr>
        <w:t>Conducător</w:t>
      </w:r>
      <w:r>
        <w:rPr>
          <w:rFonts w:ascii="Times New Roman" w:hAnsi="Times New Roman" w:cs="Times New Roman"/>
          <w:sz w:val="24"/>
          <w:szCs w:val="24"/>
          <w:lang w:val="en-US"/>
        </w:rPr>
        <w:t>ii entităţilor</w:t>
      </w:r>
      <w:r w:rsidRPr="005D040A">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5D040A">
        <w:rPr>
          <w:rFonts w:ascii="Times New Roman" w:hAnsi="Times New Roman" w:cs="Times New Roman"/>
          <w:sz w:val="24"/>
          <w:szCs w:val="24"/>
          <w:lang w:val="en-US"/>
        </w:rPr>
        <w:t>asigur</w:t>
      </w:r>
      <w:r>
        <w:rPr>
          <w:rFonts w:ascii="Times New Roman" w:hAnsi="Times New Roman" w:cs="Times New Roman"/>
          <w:sz w:val="24"/>
          <w:szCs w:val="24"/>
          <w:lang w:val="en-US"/>
        </w:rPr>
        <w:t>e</w:t>
      </w:r>
      <w:r w:rsidRPr="005D040A">
        <w:rPr>
          <w:rFonts w:ascii="Times New Roman" w:hAnsi="Times New Roman" w:cs="Times New Roman"/>
          <w:sz w:val="24"/>
          <w:szCs w:val="24"/>
          <w:lang w:val="en-US"/>
        </w:rPr>
        <w:t xml:space="preserve"> verificarea şi evaluarea în mod continuu a funcţionării sistemului de control intern managerial şi a componentelor sale, pentru a identifica la timp slăbiciunile/deficienţele controlului intern şi pentru a lua măsuri de corectare/eliminare în timp util a acestora.</w:t>
      </w:r>
    </w:p>
    <w:p w:rsidR="00CF002C" w:rsidRPr="005D040A" w:rsidRDefault="00CF002C" w:rsidP="00602BDC">
      <w:pPr>
        <w:spacing w:line="276" w:lineRule="auto"/>
        <w:jc w:val="both"/>
        <w:rPr>
          <w:rFonts w:ascii="Times New Roman" w:hAnsi="Times New Roman" w:cs="Times New Roman"/>
          <w:sz w:val="24"/>
          <w:szCs w:val="24"/>
          <w:lang w:val="en-US"/>
        </w:rPr>
      </w:pPr>
      <w:r w:rsidRPr="005D040A">
        <w:rPr>
          <w:rFonts w:ascii="Times New Roman" w:hAnsi="Times New Roman" w:cs="Times New Roman"/>
          <w:sz w:val="24"/>
          <w:szCs w:val="24"/>
          <w:lang w:val="en-US"/>
        </w:rPr>
        <w:t>Conduc</w:t>
      </w:r>
      <w:r>
        <w:rPr>
          <w:rFonts w:ascii="Times New Roman" w:hAnsi="Times New Roman" w:cs="Times New Roman"/>
          <w:sz w:val="24"/>
          <w:szCs w:val="24"/>
          <w:lang w:val="en-US"/>
        </w:rPr>
        <w:t>ătorii entităţilor</w:t>
      </w:r>
      <w:r w:rsidRPr="005D040A">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5D040A">
        <w:rPr>
          <w:rFonts w:ascii="Times New Roman" w:hAnsi="Times New Roman" w:cs="Times New Roman"/>
          <w:sz w:val="24"/>
          <w:szCs w:val="24"/>
          <w:lang w:val="en-US"/>
        </w:rPr>
        <w:t>efectue</w:t>
      </w:r>
      <w:r>
        <w:rPr>
          <w:rFonts w:ascii="Times New Roman" w:hAnsi="Times New Roman" w:cs="Times New Roman"/>
          <w:sz w:val="24"/>
          <w:szCs w:val="24"/>
          <w:lang w:val="en-US"/>
        </w:rPr>
        <w:t>ze</w:t>
      </w:r>
      <w:r w:rsidRPr="005D040A">
        <w:rPr>
          <w:rFonts w:ascii="Times New Roman" w:hAnsi="Times New Roman" w:cs="Times New Roman"/>
          <w:sz w:val="24"/>
          <w:szCs w:val="24"/>
          <w:lang w:val="en-US"/>
        </w:rPr>
        <w:t>, cel puţin o dată pe an, pe baza unui program/plan de evaluare şi a unei documentaţii adecvate, o verificare şi autoevaluare a propriului sistem de control intern managerial, pentru a stabili gradul de conformitate a acestuia cu standardele de control intern managerial.</w:t>
      </w:r>
    </w:p>
    <w:p w:rsidR="00B202CB" w:rsidRDefault="00CF002C" w:rsidP="00B202CB">
      <w:pPr>
        <w:spacing w:line="276" w:lineRule="auto"/>
        <w:jc w:val="both"/>
        <w:rPr>
          <w:rFonts w:ascii="Times New Roman" w:hAnsi="Times New Roman" w:cs="Times New Roman"/>
          <w:sz w:val="24"/>
          <w:szCs w:val="24"/>
          <w:lang w:val="en-US"/>
        </w:rPr>
      </w:pPr>
      <w:r w:rsidRPr="005D040A">
        <w:rPr>
          <w:rFonts w:ascii="Times New Roman" w:hAnsi="Times New Roman" w:cs="Times New Roman"/>
          <w:sz w:val="24"/>
          <w:szCs w:val="24"/>
          <w:lang w:val="en-US"/>
        </w:rPr>
        <w:t>Conducător</w:t>
      </w:r>
      <w:r>
        <w:rPr>
          <w:rFonts w:ascii="Times New Roman" w:hAnsi="Times New Roman" w:cs="Times New Roman"/>
          <w:sz w:val="24"/>
          <w:szCs w:val="24"/>
          <w:lang w:val="en-US"/>
        </w:rPr>
        <w:t>ii entităţilor</w:t>
      </w:r>
      <w:r w:rsidRPr="005D040A">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5D040A">
        <w:rPr>
          <w:rFonts w:ascii="Times New Roman" w:hAnsi="Times New Roman" w:cs="Times New Roman"/>
          <w:sz w:val="24"/>
          <w:szCs w:val="24"/>
          <w:lang w:val="en-US"/>
        </w:rPr>
        <w:t>ia măsuri adecvate şi prompte pentru remedierea deficienţelor/slăbiciunilor identificate în procesul de autoevaluare a sistemulu</w:t>
      </w:r>
      <w:r w:rsidR="00B202CB">
        <w:rPr>
          <w:rFonts w:ascii="Times New Roman" w:hAnsi="Times New Roman" w:cs="Times New Roman"/>
          <w:sz w:val="24"/>
          <w:szCs w:val="24"/>
          <w:lang w:val="en-US"/>
        </w:rPr>
        <w:t>i de control intern managerial.</w:t>
      </w:r>
    </w:p>
    <w:p w:rsidR="00CF002C" w:rsidRDefault="00CF002C" w:rsidP="00B202CB">
      <w:pPr>
        <w:spacing w:line="276" w:lineRule="auto"/>
        <w:jc w:val="both"/>
        <w:rPr>
          <w:rFonts w:ascii="Times New Roman" w:hAnsi="Times New Roman" w:cs="Times New Roman"/>
          <w:sz w:val="24"/>
          <w:szCs w:val="24"/>
          <w:lang w:val="en-US"/>
        </w:rPr>
      </w:pPr>
      <w:r w:rsidRPr="005D040A">
        <w:rPr>
          <w:rFonts w:ascii="Times New Roman" w:hAnsi="Times New Roman" w:cs="Times New Roman"/>
          <w:sz w:val="24"/>
          <w:szCs w:val="24"/>
          <w:lang w:val="en-US"/>
        </w:rPr>
        <w:t>Conducător</w:t>
      </w:r>
      <w:r>
        <w:rPr>
          <w:rFonts w:ascii="Times New Roman" w:hAnsi="Times New Roman" w:cs="Times New Roman"/>
          <w:sz w:val="24"/>
          <w:szCs w:val="24"/>
          <w:lang w:val="en-US"/>
        </w:rPr>
        <w:t>ii entităţilor</w:t>
      </w:r>
      <w:r w:rsidRPr="005D040A">
        <w:rPr>
          <w:rFonts w:ascii="Times New Roman" w:hAnsi="Times New Roman" w:cs="Times New Roman"/>
          <w:sz w:val="24"/>
          <w:szCs w:val="24"/>
          <w:lang w:val="en-US"/>
        </w:rPr>
        <w:t xml:space="preserve"> publice </w:t>
      </w:r>
      <w:r>
        <w:rPr>
          <w:rFonts w:ascii="Times New Roman" w:hAnsi="Times New Roman" w:cs="Times New Roman"/>
          <w:sz w:val="24"/>
          <w:szCs w:val="24"/>
          <w:lang w:val="en-US"/>
        </w:rPr>
        <w:t xml:space="preserve">trebuie să </w:t>
      </w:r>
      <w:r w:rsidRPr="005D040A">
        <w:rPr>
          <w:rFonts w:ascii="Times New Roman" w:hAnsi="Times New Roman" w:cs="Times New Roman"/>
          <w:sz w:val="24"/>
          <w:szCs w:val="24"/>
          <w:lang w:val="en-US"/>
        </w:rPr>
        <w:t>elabore</w:t>
      </w:r>
      <w:r>
        <w:rPr>
          <w:rFonts w:ascii="Times New Roman" w:hAnsi="Times New Roman" w:cs="Times New Roman"/>
          <w:sz w:val="24"/>
          <w:szCs w:val="24"/>
          <w:lang w:val="en-US"/>
        </w:rPr>
        <w:t>ze</w:t>
      </w:r>
      <w:r w:rsidRPr="005D040A">
        <w:rPr>
          <w:rFonts w:ascii="Times New Roman" w:hAnsi="Times New Roman" w:cs="Times New Roman"/>
          <w:sz w:val="24"/>
          <w:szCs w:val="24"/>
          <w:lang w:val="en-US"/>
        </w:rPr>
        <w:t>, anual, un raport asupra sistemului de control intern managerial, ca bază pentru un plan de acţiune care să conţină zonele vulnerabile identificate, instrumentele de control necesar a fi implementate, măsuri şi direcţii de acţiune pentru creşterea capacităţii controlului intern managerial în realizarea obiectivelor entităţii.</w:t>
      </w:r>
    </w:p>
    <w:p w:rsidR="00FE1137" w:rsidRPr="00B202CB" w:rsidRDefault="00FE1137" w:rsidP="00B202CB">
      <w:pPr>
        <w:tabs>
          <w:tab w:val="left" w:pos="1701"/>
        </w:tabs>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Din analiza datelor cuprinse în raportările ordonatorilor principali de credite</w:t>
      </w:r>
      <w:r w:rsidR="003E2CF1" w:rsidRPr="00B202CB">
        <w:rPr>
          <w:rFonts w:ascii="Times New Roman" w:hAnsi="Times New Roman" w:cs="Times New Roman"/>
          <w:color w:val="000000" w:themeColor="text1"/>
          <w:sz w:val="24"/>
          <w:szCs w:val="24"/>
        </w:rPr>
        <w:t>,</w:t>
      </w:r>
      <w:r w:rsidRPr="00B202CB">
        <w:rPr>
          <w:rFonts w:ascii="Times New Roman" w:hAnsi="Times New Roman" w:cs="Times New Roman"/>
          <w:color w:val="000000" w:themeColor="text1"/>
          <w:sz w:val="24"/>
          <w:szCs w:val="24"/>
        </w:rPr>
        <w:t xml:space="preserve"> </w:t>
      </w:r>
      <w:r w:rsidR="003E2CF1" w:rsidRPr="00B202CB">
        <w:rPr>
          <w:rFonts w:ascii="Times New Roman" w:hAnsi="Times New Roman" w:cs="Times New Roman"/>
          <w:color w:val="000000" w:themeColor="text1"/>
          <w:sz w:val="24"/>
          <w:szCs w:val="24"/>
        </w:rPr>
        <w:t>în anul 2016 comparativ cu anul 2015</w:t>
      </w:r>
      <w:r w:rsidRPr="00B202CB">
        <w:rPr>
          <w:rFonts w:ascii="Times New Roman" w:hAnsi="Times New Roman" w:cs="Times New Roman"/>
          <w:color w:val="000000" w:themeColor="text1"/>
          <w:sz w:val="24"/>
          <w:szCs w:val="24"/>
        </w:rPr>
        <w:t xml:space="preserve">, conform tabelului </w:t>
      </w:r>
      <w:r w:rsidR="00F50B97" w:rsidRPr="00B202CB">
        <w:rPr>
          <w:rFonts w:ascii="Times New Roman" w:hAnsi="Times New Roman" w:cs="Times New Roman"/>
          <w:color w:val="000000" w:themeColor="text1"/>
          <w:sz w:val="24"/>
          <w:szCs w:val="24"/>
        </w:rPr>
        <w:t>nr. 3</w:t>
      </w:r>
      <w:r w:rsidRPr="00B202CB">
        <w:rPr>
          <w:rFonts w:ascii="Times New Roman" w:hAnsi="Times New Roman" w:cs="Times New Roman"/>
          <w:color w:val="000000" w:themeColor="text1"/>
          <w:sz w:val="24"/>
          <w:szCs w:val="24"/>
        </w:rPr>
        <w:t>, a rezultat următoarea situație:</w:t>
      </w:r>
    </w:p>
    <w:p w:rsidR="00FE1137" w:rsidRPr="00B202CB" w:rsidRDefault="00FE1137" w:rsidP="00B202CB">
      <w:pPr>
        <w:pStyle w:val="ListParagraph"/>
        <w:spacing w:line="276" w:lineRule="auto"/>
        <w:jc w:val="both"/>
        <w:rPr>
          <w:rFonts w:ascii="Times New Roman" w:hAnsi="Times New Roman" w:cs="Times New Roman"/>
          <w:b/>
          <w:color w:val="000000" w:themeColor="text1"/>
          <w:sz w:val="24"/>
          <w:szCs w:val="24"/>
        </w:rPr>
      </w:pPr>
      <w:r w:rsidRPr="00B202CB">
        <w:rPr>
          <w:rFonts w:ascii="Times New Roman" w:hAnsi="Times New Roman" w:cs="Times New Roman"/>
          <w:b/>
          <w:color w:val="000000" w:themeColor="text1"/>
          <w:sz w:val="24"/>
          <w:szCs w:val="24"/>
        </w:rPr>
        <w:t>Anul 2015</w:t>
      </w:r>
    </w:p>
    <w:p w:rsidR="00FE1137" w:rsidRPr="00B202CB" w:rsidRDefault="00FE1137" w:rsidP="00C7604C">
      <w:pPr>
        <w:pStyle w:val="ListParagraph"/>
        <w:numPr>
          <w:ilvl w:val="0"/>
          <w:numId w:val="49"/>
        </w:numPr>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 xml:space="preserve">47 din cei 52 de ordonatori principali de credite, respectiv 90,38% </w:t>
      </w:r>
      <w:r w:rsidRPr="00B202CB">
        <w:rPr>
          <w:rFonts w:ascii="Times New Roman" w:hAnsi="Times New Roman" w:cs="Times New Roman"/>
          <w:i/>
          <w:color w:val="000000" w:themeColor="text1"/>
          <w:sz w:val="24"/>
          <w:szCs w:val="24"/>
        </w:rPr>
        <w:t>au implementat</w:t>
      </w:r>
      <w:r w:rsidRPr="00B202CB">
        <w:rPr>
          <w:rFonts w:ascii="Times New Roman" w:hAnsi="Times New Roman" w:cs="Times New Roman"/>
          <w:color w:val="000000" w:themeColor="text1"/>
          <w:sz w:val="24"/>
          <w:szCs w:val="24"/>
        </w:rPr>
        <w:t xml:space="preserve"> acest standard;</w:t>
      </w:r>
    </w:p>
    <w:p w:rsidR="00FE1137" w:rsidRPr="00B202CB" w:rsidRDefault="00FE1137" w:rsidP="00C7604C">
      <w:pPr>
        <w:pStyle w:val="ListParagraph"/>
        <w:numPr>
          <w:ilvl w:val="0"/>
          <w:numId w:val="49"/>
        </w:numPr>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 xml:space="preserve">5 din cei 52 de ordonatori principali de credite, respectiv 9,62% </w:t>
      </w:r>
      <w:r w:rsidRPr="00B202CB">
        <w:rPr>
          <w:rFonts w:ascii="Times New Roman" w:hAnsi="Times New Roman" w:cs="Times New Roman"/>
          <w:i/>
          <w:color w:val="000000" w:themeColor="text1"/>
          <w:sz w:val="24"/>
          <w:szCs w:val="24"/>
        </w:rPr>
        <w:t xml:space="preserve">au implementat parţial </w:t>
      </w:r>
      <w:r w:rsidRPr="00B202CB">
        <w:rPr>
          <w:rFonts w:ascii="Times New Roman" w:hAnsi="Times New Roman" w:cs="Times New Roman"/>
          <w:color w:val="000000" w:themeColor="text1"/>
          <w:sz w:val="24"/>
          <w:szCs w:val="24"/>
        </w:rPr>
        <w:t>acest standard.</w:t>
      </w:r>
    </w:p>
    <w:p w:rsidR="00FE1137" w:rsidRPr="00B202CB" w:rsidRDefault="00FE1137" w:rsidP="00B202CB">
      <w:pPr>
        <w:pStyle w:val="ListParagraph"/>
        <w:tabs>
          <w:tab w:val="left" w:pos="1701"/>
        </w:tabs>
        <w:spacing w:line="276" w:lineRule="auto"/>
        <w:jc w:val="both"/>
        <w:rPr>
          <w:rFonts w:ascii="Times New Roman" w:hAnsi="Times New Roman" w:cs="Times New Roman"/>
          <w:b/>
          <w:color w:val="000000" w:themeColor="text1"/>
          <w:sz w:val="24"/>
          <w:szCs w:val="24"/>
        </w:rPr>
      </w:pPr>
      <w:r w:rsidRPr="00B202CB">
        <w:rPr>
          <w:rFonts w:ascii="Times New Roman" w:hAnsi="Times New Roman" w:cs="Times New Roman"/>
          <w:b/>
          <w:color w:val="000000" w:themeColor="text1"/>
          <w:sz w:val="24"/>
          <w:szCs w:val="24"/>
        </w:rPr>
        <w:t>Anul 2016</w:t>
      </w:r>
    </w:p>
    <w:p w:rsidR="00FE1137" w:rsidRPr="00B202CB" w:rsidRDefault="00FE1137" w:rsidP="00C7604C">
      <w:pPr>
        <w:pStyle w:val="ListParagraph"/>
        <w:numPr>
          <w:ilvl w:val="0"/>
          <w:numId w:val="50"/>
        </w:numPr>
        <w:tabs>
          <w:tab w:val="left" w:pos="1701"/>
        </w:tabs>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4</w:t>
      </w:r>
      <w:r w:rsidR="00FA690C" w:rsidRPr="00B202CB">
        <w:rPr>
          <w:rFonts w:ascii="Times New Roman" w:hAnsi="Times New Roman" w:cs="Times New Roman"/>
          <w:color w:val="000000" w:themeColor="text1"/>
          <w:sz w:val="24"/>
          <w:szCs w:val="24"/>
        </w:rPr>
        <w:t>6</w:t>
      </w:r>
      <w:r w:rsidRPr="00B202CB">
        <w:rPr>
          <w:rFonts w:ascii="Times New Roman" w:hAnsi="Times New Roman" w:cs="Times New Roman"/>
          <w:color w:val="000000" w:themeColor="text1"/>
          <w:sz w:val="24"/>
          <w:szCs w:val="24"/>
        </w:rPr>
        <w:t xml:space="preserve"> din cei 50 de ordonatori principali de credite, respectiv </w:t>
      </w:r>
      <w:r w:rsidR="00FA690C" w:rsidRPr="00B202CB">
        <w:rPr>
          <w:rFonts w:ascii="Times New Roman" w:hAnsi="Times New Roman" w:cs="Times New Roman"/>
          <w:color w:val="000000" w:themeColor="text1"/>
          <w:sz w:val="24"/>
          <w:szCs w:val="24"/>
        </w:rPr>
        <w:t>92</w:t>
      </w:r>
      <w:r w:rsidRPr="00B202CB">
        <w:rPr>
          <w:rFonts w:ascii="Times New Roman" w:hAnsi="Times New Roman" w:cs="Times New Roman"/>
          <w:color w:val="000000" w:themeColor="text1"/>
          <w:sz w:val="24"/>
          <w:szCs w:val="24"/>
        </w:rPr>
        <w:t xml:space="preserve">,00% </w:t>
      </w:r>
      <w:r w:rsidRPr="00B202CB">
        <w:rPr>
          <w:rFonts w:ascii="Times New Roman" w:hAnsi="Times New Roman" w:cs="Times New Roman"/>
          <w:i/>
          <w:color w:val="000000" w:themeColor="text1"/>
          <w:sz w:val="24"/>
          <w:szCs w:val="24"/>
        </w:rPr>
        <w:t xml:space="preserve">au implementat </w:t>
      </w:r>
      <w:r w:rsidRPr="00B202CB">
        <w:rPr>
          <w:rFonts w:ascii="Times New Roman" w:hAnsi="Times New Roman" w:cs="Times New Roman"/>
          <w:color w:val="000000" w:themeColor="text1"/>
          <w:sz w:val="24"/>
          <w:szCs w:val="24"/>
        </w:rPr>
        <w:t>acest standard;</w:t>
      </w:r>
    </w:p>
    <w:p w:rsidR="00FE1137" w:rsidRPr="00B202CB" w:rsidRDefault="00FA690C" w:rsidP="00C7604C">
      <w:pPr>
        <w:pStyle w:val="ListParagraph"/>
        <w:numPr>
          <w:ilvl w:val="0"/>
          <w:numId w:val="50"/>
        </w:numPr>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4</w:t>
      </w:r>
      <w:r w:rsidR="00FE1137" w:rsidRPr="00B202CB">
        <w:rPr>
          <w:rFonts w:ascii="Times New Roman" w:hAnsi="Times New Roman" w:cs="Times New Roman"/>
          <w:color w:val="000000" w:themeColor="text1"/>
          <w:sz w:val="24"/>
          <w:szCs w:val="24"/>
        </w:rPr>
        <w:t xml:space="preserve"> din cei 50 de ordonatori principali de credite, respectiv </w:t>
      </w:r>
      <w:r w:rsidRPr="00B202CB">
        <w:rPr>
          <w:rFonts w:ascii="Times New Roman" w:hAnsi="Times New Roman" w:cs="Times New Roman"/>
          <w:color w:val="000000" w:themeColor="text1"/>
          <w:sz w:val="24"/>
          <w:szCs w:val="24"/>
        </w:rPr>
        <w:t>8</w:t>
      </w:r>
      <w:r w:rsidR="00FE1137" w:rsidRPr="00B202CB">
        <w:rPr>
          <w:rFonts w:ascii="Times New Roman" w:hAnsi="Times New Roman" w:cs="Times New Roman"/>
          <w:color w:val="000000" w:themeColor="text1"/>
          <w:sz w:val="24"/>
          <w:szCs w:val="24"/>
        </w:rPr>
        <w:t xml:space="preserve">,00% </w:t>
      </w:r>
      <w:r w:rsidR="00FE1137" w:rsidRPr="00B202CB">
        <w:rPr>
          <w:rFonts w:ascii="Times New Roman" w:hAnsi="Times New Roman" w:cs="Times New Roman"/>
          <w:i/>
          <w:color w:val="000000" w:themeColor="text1"/>
          <w:sz w:val="24"/>
          <w:szCs w:val="24"/>
        </w:rPr>
        <w:t>au</w:t>
      </w:r>
      <w:r w:rsidR="00FE1137" w:rsidRPr="00B202CB">
        <w:rPr>
          <w:rFonts w:ascii="Times New Roman" w:hAnsi="Times New Roman" w:cs="Times New Roman"/>
          <w:color w:val="000000" w:themeColor="text1"/>
          <w:sz w:val="24"/>
          <w:szCs w:val="24"/>
        </w:rPr>
        <w:t xml:space="preserve"> </w:t>
      </w:r>
      <w:r w:rsidR="00FE1137" w:rsidRPr="00B202CB">
        <w:rPr>
          <w:rFonts w:ascii="Times New Roman" w:hAnsi="Times New Roman" w:cs="Times New Roman"/>
          <w:i/>
          <w:color w:val="000000" w:themeColor="text1"/>
          <w:sz w:val="24"/>
          <w:szCs w:val="24"/>
        </w:rPr>
        <w:t xml:space="preserve">implementat </w:t>
      </w:r>
      <w:r w:rsidR="00886837" w:rsidRPr="00B202CB">
        <w:rPr>
          <w:rFonts w:ascii="Times New Roman" w:hAnsi="Times New Roman" w:cs="Times New Roman"/>
          <w:i/>
          <w:color w:val="000000" w:themeColor="text1"/>
          <w:sz w:val="24"/>
          <w:szCs w:val="24"/>
        </w:rPr>
        <w:t xml:space="preserve">    </w:t>
      </w:r>
      <w:r w:rsidR="00FE1137" w:rsidRPr="00B202CB">
        <w:rPr>
          <w:rFonts w:ascii="Times New Roman" w:hAnsi="Times New Roman" w:cs="Times New Roman"/>
          <w:i/>
          <w:color w:val="000000" w:themeColor="text1"/>
          <w:sz w:val="24"/>
          <w:szCs w:val="24"/>
        </w:rPr>
        <w:t xml:space="preserve">parţial </w:t>
      </w:r>
      <w:r w:rsidR="00431864">
        <w:rPr>
          <w:rFonts w:ascii="Times New Roman" w:hAnsi="Times New Roman" w:cs="Times New Roman"/>
          <w:color w:val="000000" w:themeColor="text1"/>
          <w:sz w:val="24"/>
          <w:szCs w:val="24"/>
        </w:rPr>
        <w:t>acest standard.</w:t>
      </w:r>
    </w:p>
    <w:p w:rsidR="00A93447" w:rsidRPr="0065713E" w:rsidRDefault="0065713E" w:rsidP="0065713E">
      <w:pPr>
        <w:spacing w:line="276"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o-RO"/>
        </w:rPr>
        <w:drawing>
          <wp:anchor distT="0" distB="0" distL="114300" distR="114300" simplePos="0" relativeHeight="251688960" behindDoc="0" locked="0" layoutInCell="1" allowOverlap="1" wp14:anchorId="6CB71000" wp14:editId="45EDC39D">
            <wp:simplePos x="0" y="0"/>
            <wp:positionH relativeFrom="column">
              <wp:posOffset>3123211</wp:posOffset>
            </wp:positionH>
            <wp:positionV relativeFrom="paragraph">
              <wp:posOffset>0</wp:posOffset>
            </wp:positionV>
            <wp:extent cx="2940685" cy="2230755"/>
            <wp:effectExtent l="0" t="0" r="12065" b="17145"/>
            <wp:wrapNone/>
            <wp:docPr id="106" name="Chart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anchor>
        </w:drawing>
      </w:r>
      <w:r>
        <w:rPr>
          <w:rFonts w:ascii="Times New Roman" w:hAnsi="Times New Roman" w:cs="Times New Roman"/>
          <w:noProof/>
          <w:sz w:val="24"/>
          <w:szCs w:val="24"/>
          <w:lang w:eastAsia="ro-RO"/>
        </w:rPr>
        <w:drawing>
          <wp:inline distT="0" distB="0" distL="0" distR="0" wp14:anchorId="643D434B" wp14:editId="1D4B7CD9">
            <wp:extent cx="2940710" cy="2231136"/>
            <wp:effectExtent l="0" t="0" r="12065" b="17145"/>
            <wp:docPr id="105" name="Chart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CF002C" w:rsidRPr="00B202CB" w:rsidRDefault="00AC1F6C" w:rsidP="00B202CB">
      <w:pPr>
        <w:rPr>
          <w:rFonts w:ascii="Times New Roman" w:hAnsi="Times New Roman" w:cs="Times New Roman"/>
          <w:b/>
          <w:sz w:val="24"/>
          <w:szCs w:val="24"/>
          <w:lang w:val="en-US"/>
        </w:rPr>
      </w:pPr>
      <w:r w:rsidRPr="00B202CB">
        <w:rPr>
          <w:rFonts w:ascii="Times New Roman" w:hAnsi="Times New Roman" w:cs="Times New Roman"/>
          <w:b/>
          <w:sz w:val="24"/>
          <w:szCs w:val="24"/>
          <w:lang w:val="en-US"/>
        </w:rPr>
        <w:t>S</w:t>
      </w:r>
      <w:r w:rsidR="00B202CB" w:rsidRPr="00B202CB">
        <w:rPr>
          <w:rFonts w:ascii="Times New Roman" w:hAnsi="Times New Roman" w:cs="Times New Roman"/>
          <w:b/>
          <w:sz w:val="24"/>
          <w:szCs w:val="24"/>
          <w:lang w:val="en-US"/>
        </w:rPr>
        <w:t xml:space="preserve">tandardul </w:t>
      </w:r>
      <w:r w:rsidRPr="00B202CB">
        <w:rPr>
          <w:rFonts w:ascii="Times New Roman" w:hAnsi="Times New Roman" w:cs="Times New Roman"/>
          <w:b/>
          <w:sz w:val="24"/>
          <w:szCs w:val="24"/>
          <w:lang w:val="en-US"/>
        </w:rPr>
        <w:t>16 - A</w:t>
      </w:r>
      <w:r w:rsidR="00B202CB" w:rsidRPr="00B202CB">
        <w:rPr>
          <w:rFonts w:ascii="Times New Roman" w:hAnsi="Times New Roman" w:cs="Times New Roman"/>
          <w:b/>
          <w:sz w:val="24"/>
          <w:szCs w:val="24"/>
          <w:lang w:val="en-US"/>
        </w:rPr>
        <w:t>uditul intern</w:t>
      </w:r>
    </w:p>
    <w:p w:rsidR="00CF002C" w:rsidRDefault="00CF002C" w:rsidP="00B202CB">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Fiecare entitate</w:t>
      </w:r>
      <w:r w:rsidRPr="004201F1">
        <w:rPr>
          <w:rFonts w:ascii="Times New Roman" w:hAnsi="Times New Roman" w:cs="Times New Roman"/>
          <w:sz w:val="24"/>
          <w:szCs w:val="24"/>
          <w:lang w:val="en-US"/>
        </w:rPr>
        <w:t xml:space="preserve"> publică </w:t>
      </w:r>
      <w:r w:rsidR="009636D1">
        <w:rPr>
          <w:rFonts w:ascii="Times New Roman" w:hAnsi="Times New Roman" w:cs="Times New Roman"/>
          <w:sz w:val="24"/>
          <w:szCs w:val="24"/>
          <w:lang w:val="en-US"/>
        </w:rPr>
        <w:t>înființează sau are acces la o capacitate de audit competentă. Activitatea auditorilor aflați în această structură</w:t>
      </w:r>
      <w:r w:rsidRPr="004201F1">
        <w:rPr>
          <w:rFonts w:ascii="Times New Roman" w:hAnsi="Times New Roman" w:cs="Times New Roman"/>
          <w:sz w:val="24"/>
          <w:szCs w:val="24"/>
          <w:lang w:val="en-US"/>
        </w:rPr>
        <w:t xml:space="preserve">  se desfăşoară, de regulă, conform unor programe bazate pe evaluarea riscurilor.</w:t>
      </w:r>
    </w:p>
    <w:p w:rsidR="00CF002C" w:rsidRPr="004201F1" w:rsidRDefault="00CF002C" w:rsidP="00B202CB">
      <w:pPr>
        <w:spacing w:line="276" w:lineRule="auto"/>
        <w:jc w:val="both"/>
        <w:rPr>
          <w:rFonts w:ascii="Times New Roman" w:hAnsi="Times New Roman" w:cs="Times New Roman"/>
          <w:sz w:val="24"/>
          <w:szCs w:val="24"/>
          <w:lang w:val="en-US"/>
        </w:rPr>
      </w:pPr>
      <w:r w:rsidRPr="00E16E4C">
        <w:rPr>
          <w:rFonts w:ascii="Times New Roman" w:hAnsi="Times New Roman" w:cs="Times New Roman"/>
          <w:sz w:val="24"/>
          <w:szCs w:val="24"/>
        </w:rPr>
        <w:t xml:space="preserve">Compartimentul de audit public intern din cadrul entităților publice </w:t>
      </w:r>
      <w:r>
        <w:rPr>
          <w:rFonts w:ascii="Times New Roman" w:hAnsi="Times New Roman" w:cs="Times New Roman"/>
          <w:sz w:val="24"/>
          <w:szCs w:val="24"/>
        </w:rPr>
        <w:t xml:space="preserve">trebuie să fie </w:t>
      </w:r>
      <w:r w:rsidRPr="00E16E4C">
        <w:rPr>
          <w:rFonts w:ascii="Times New Roman" w:hAnsi="Times New Roman" w:cs="Times New Roman"/>
          <w:sz w:val="24"/>
          <w:szCs w:val="24"/>
        </w:rPr>
        <w:t xml:space="preserve"> dimensionat </w:t>
      </w:r>
      <w:r>
        <w:rPr>
          <w:rFonts w:ascii="Times New Roman" w:hAnsi="Times New Roman" w:cs="Times New Roman"/>
          <w:sz w:val="24"/>
          <w:szCs w:val="24"/>
        </w:rPr>
        <w:t>p</w:t>
      </w:r>
      <w:r w:rsidRPr="004201F1">
        <w:rPr>
          <w:rFonts w:ascii="Times New Roman" w:hAnsi="Times New Roman" w:cs="Times New Roman"/>
          <w:sz w:val="24"/>
          <w:szCs w:val="24"/>
          <w:lang w:val="en-US"/>
        </w:rPr>
        <w:t>e baza volumului de activitate şi a mărimii riscurilor asociate, astfel încât să asigure auditarea activităţilor cuprinse în sfera auditului public intern.</w:t>
      </w:r>
    </w:p>
    <w:p w:rsidR="00CF002C" w:rsidRDefault="00CF002C" w:rsidP="00602BDC">
      <w:pPr>
        <w:spacing w:line="276" w:lineRule="auto"/>
        <w:jc w:val="both"/>
        <w:rPr>
          <w:rFonts w:ascii="Times New Roman" w:hAnsi="Times New Roman" w:cs="Times New Roman"/>
          <w:sz w:val="24"/>
          <w:szCs w:val="24"/>
        </w:rPr>
      </w:pPr>
      <w:r w:rsidRPr="000878AF">
        <w:rPr>
          <w:rFonts w:ascii="Times New Roman" w:hAnsi="Times New Roman" w:cs="Times New Roman"/>
          <w:sz w:val="24"/>
          <w:szCs w:val="24"/>
        </w:rPr>
        <w:t xml:space="preserve">Activitatea de auditare a sistemului de control intern </w:t>
      </w:r>
      <w:r>
        <w:rPr>
          <w:rFonts w:ascii="Times New Roman" w:hAnsi="Times New Roman" w:cs="Times New Roman"/>
          <w:sz w:val="24"/>
          <w:szCs w:val="24"/>
        </w:rPr>
        <w:t>trebuie să s</w:t>
      </w:r>
      <w:r w:rsidRPr="000878AF">
        <w:rPr>
          <w:rFonts w:ascii="Times New Roman" w:hAnsi="Times New Roman" w:cs="Times New Roman"/>
          <w:sz w:val="24"/>
          <w:szCs w:val="24"/>
        </w:rPr>
        <w:t>e desfăşoar</w:t>
      </w:r>
      <w:r>
        <w:rPr>
          <w:rFonts w:ascii="Times New Roman" w:hAnsi="Times New Roman" w:cs="Times New Roman"/>
          <w:sz w:val="24"/>
          <w:szCs w:val="24"/>
        </w:rPr>
        <w:t>e</w:t>
      </w:r>
      <w:r w:rsidRPr="000878AF">
        <w:rPr>
          <w:rFonts w:ascii="Times New Roman" w:hAnsi="Times New Roman" w:cs="Times New Roman"/>
          <w:sz w:val="24"/>
          <w:szCs w:val="24"/>
        </w:rPr>
        <w:t xml:space="preserve"> conform unor programe bazate pe evaluarea riscului şi </w:t>
      </w:r>
      <w:r>
        <w:rPr>
          <w:rFonts w:ascii="Times New Roman" w:hAnsi="Times New Roman" w:cs="Times New Roman"/>
          <w:sz w:val="24"/>
          <w:szCs w:val="24"/>
        </w:rPr>
        <w:t>trebuie să se</w:t>
      </w:r>
      <w:r w:rsidRPr="000878AF">
        <w:rPr>
          <w:rFonts w:ascii="Times New Roman" w:hAnsi="Times New Roman" w:cs="Times New Roman"/>
          <w:sz w:val="24"/>
          <w:szCs w:val="24"/>
        </w:rPr>
        <w:t xml:space="preserve"> finalize</w:t>
      </w:r>
      <w:r>
        <w:rPr>
          <w:rFonts w:ascii="Times New Roman" w:hAnsi="Times New Roman" w:cs="Times New Roman"/>
          <w:sz w:val="24"/>
          <w:szCs w:val="24"/>
        </w:rPr>
        <w:t>ze</w:t>
      </w:r>
      <w:r w:rsidRPr="000878AF">
        <w:rPr>
          <w:rFonts w:ascii="Times New Roman" w:hAnsi="Times New Roman" w:cs="Times New Roman"/>
          <w:sz w:val="24"/>
          <w:szCs w:val="24"/>
        </w:rPr>
        <w:t xml:space="preserve"> prin rapoarte de audit, în care se enunţă punctele slabe identificate în sistem şi se formulează recomandări pentru eliminarea acestora. </w:t>
      </w:r>
    </w:p>
    <w:p w:rsidR="00FA690C" w:rsidRPr="00B202CB" w:rsidRDefault="00FA690C" w:rsidP="00B202CB">
      <w:pPr>
        <w:tabs>
          <w:tab w:val="left" w:pos="1701"/>
        </w:tabs>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Din analiza datelor cuprinse în raportările ordonatorilor principali de credite</w:t>
      </w:r>
      <w:r w:rsidR="006A20B3" w:rsidRPr="00B202CB">
        <w:rPr>
          <w:rFonts w:ascii="Times New Roman" w:hAnsi="Times New Roman" w:cs="Times New Roman"/>
          <w:color w:val="000000" w:themeColor="text1"/>
          <w:sz w:val="24"/>
          <w:szCs w:val="24"/>
        </w:rPr>
        <w:t>,</w:t>
      </w:r>
      <w:r w:rsidRPr="00B202CB">
        <w:rPr>
          <w:rFonts w:ascii="Times New Roman" w:hAnsi="Times New Roman" w:cs="Times New Roman"/>
          <w:color w:val="000000" w:themeColor="text1"/>
          <w:sz w:val="24"/>
          <w:szCs w:val="24"/>
        </w:rPr>
        <w:t xml:space="preserve"> </w:t>
      </w:r>
      <w:r w:rsidR="003E2CF1" w:rsidRPr="00B202CB">
        <w:rPr>
          <w:rFonts w:ascii="Times New Roman" w:hAnsi="Times New Roman" w:cs="Times New Roman"/>
          <w:color w:val="000000" w:themeColor="text1"/>
          <w:sz w:val="24"/>
          <w:szCs w:val="24"/>
        </w:rPr>
        <w:t>în anul 2016 comparativ cu anul 2015</w:t>
      </w:r>
      <w:r w:rsidRPr="00B202CB">
        <w:rPr>
          <w:rFonts w:ascii="Times New Roman" w:hAnsi="Times New Roman" w:cs="Times New Roman"/>
          <w:color w:val="000000" w:themeColor="text1"/>
          <w:sz w:val="24"/>
          <w:szCs w:val="24"/>
        </w:rPr>
        <w:t xml:space="preserve">, conform tabelului </w:t>
      </w:r>
      <w:r w:rsidR="00F50B97" w:rsidRPr="00B202CB">
        <w:rPr>
          <w:rFonts w:ascii="Times New Roman" w:hAnsi="Times New Roman" w:cs="Times New Roman"/>
          <w:color w:val="000000" w:themeColor="text1"/>
          <w:sz w:val="24"/>
          <w:szCs w:val="24"/>
        </w:rPr>
        <w:t>nr. 3</w:t>
      </w:r>
      <w:r w:rsidRPr="00B202CB">
        <w:rPr>
          <w:rFonts w:ascii="Times New Roman" w:hAnsi="Times New Roman" w:cs="Times New Roman"/>
          <w:color w:val="000000" w:themeColor="text1"/>
          <w:sz w:val="24"/>
          <w:szCs w:val="24"/>
        </w:rPr>
        <w:t>, a rezultat următoarea situație:</w:t>
      </w:r>
    </w:p>
    <w:p w:rsidR="00FA690C" w:rsidRPr="00B202CB" w:rsidRDefault="00FA690C" w:rsidP="00B202CB">
      <w:pPr>
        <w:pStyle w:val="ListParagraph"/>
        <w:spacing w:line="276" w:lineRule="auto"/>
        <w:jc w:val="both"/>
        <w:rPr>
          <w:rFonts w:ascii="Times New Roman" w:hAnsi="Times New Roman" w:cs="Times New Roman"/>
          <w:b/>
          <w:color w:val="000000" w:themeColor="text1"/>
          <w:sz w:val="24"/>
          <w:szCs w:val="24"/>
        </w:rPr>
      </w:pPr>
      <w:r w:rsidRPr="00B202CB">
        <w:rPr>
          <w:rFonts w:ascii="Times New Roman" w:hAnsi="Times New Roman" w:cs="Times New Roman"/>
          <w:b/>
          <w:color w:val="000000" w:themeColor="text1"/>
          <w:sz w:val="24"/>
          <w:szCs w:val="24"/>
        </w:rPr>
        <w:t>Anul 2015</w:t>
      </w:r>
    </w:p>
    <w:p w:rsidR="00FA690C" w:rsidRPr="00B202CB" w:rsidRDefault="00FA690C" w:rsidP="00C7604C">
      <w:pPr>
        <w:pStyle w:val="ListParagraph"/>
        <w:numPr>
          <w:ilvl w:val="0"/>
          <w:numId w:val="51"/>
        </w:numPr>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 xml:space="preserve">47 din cei 52 de ordonatori principali de credite, respectiv 90,38% </w:t>
      </w:r>
      <w:r w:rsidRPr="00B202CB">
        <w:rPr>
          <w:rFonts w:ascii="Times New Roman" w:hAnsi="Times New Roman" w:cs="Times New Roman"/>
          <w:i/>
          <w:color w:val="000000" w:themeColor="text1"/>
          <w:sz w:val="24"/>
          <w:szCs w:val="24"/>
        </w:rPr>
        <w:t>au implementat</w:t>
      </w:r>
      <w:r w:rsidRPr="00B202CB">
        <w:rPr>
          <w:rFonts w:ascii="Times New Roman" w:hAnsi="Times New Roman" w:cs="Times New Roman"/>
          <w:color w:val="000000" w:themeColor="text1"/>
          <w:sz w:val="24"/>
          <w:szCs w:val="24"/>
        </w:rPr>
        <w:t xml:space="preserve"> acest standard;</w:t>
      </w:r>
    </w:p>
    <w:p w:rsidR="00FA690C" w:rsidRPr="00B202CB" w:rsidRDefault="00FA690C" w:rsidP="00C7604C">
      <w:pPr>
        <w:pStyle w:val="ListParagraph"/>
        <w:numPr>
          <w:ilvl w:val="0"/>
          <w:numId w:val="51"/>
        </w:numPr>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 xml:space="preserve">4 din cei 52 de ordonatori principali de credite, respectiv 7,69% </w:t>
      </w:r>
      <w:r w:rsidRPr="00B202CB">
        <w:rPr>
          <w:rFonts w:ascii="Times New Roman" w:hAnsi="Times New Roman" w:cs="Times New Roman"/>
          <w:i/>
          <w:color w:val="000000" w:themeColor="text1"/>
          <w:sz w:val="24"/>
          <w:szCs w:val="24"/>
        </w:rPr>
        <w:t>au implementat parţial</w:t>
      </w:r>
      <w:r w:rsidRPr="00B202CB">
        <w:rPr>
          <w:rFonts w:ascii="Times New Roman" w:hAnsi="Times New Roman" w:cs="Times New Roman"/>
          <w:color w:val="000000" w:themeColor="text1"/>
          <w:sz w:val="24"/>
          <w:szCs w:val="24"/>
        </w:rPr>
        <w:t xml:space="preserve"> acest standard;</w:t>
      </w:r>
    </w:p>
    <w:p w:rsidR="00FA690C" w:rsidRPr="00B202CB" w:rsidRDefault="00FA690C" w:rsidP="00C7604C">
      <w:pPr>
        <w:pStyle w:val="ListParagraph"/>
        <w:numPr>
          <w:ilvl w:val="0"/>
          <w:numId w:val="51"/>
        </w:numPr>
        <w:spacing w:line="276" w:lineRule="auto"/>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 xml:space="preserve">1 din cei 52 de ordonatori principali de credite, respectiv 1,92% </w:t>
      </w:r>
      <w:r w:rsidRPr="00B202CB">
        <w:rPr>
          <w:rFonts w:ascii="Times New Roman" w:hAnsi="Times New Roman" w:cs="Times New Roman"/>
          <w:i/>
          <w:color w:val="000000" w:themeColor="text1"/>
          <w:sz w:val="24"/>
          <w:szCs w:val="24"/>
        </w:rPr>
        <w:t>nu a implementat</w:t>
      </w:r>
      <w:r w:rsidRPr="00B202CB">
        <w:rPr>
          <w:rFonts w:ascii="Times New Roman" w:hAnsi="Times New Roman" w:cs="Times New Roman"/>
          <w:color w:val="000000" w:themeColor="text1"/>
          <w:sz w:val="24"/>
          <w:szCs w:val="24"/>
        </w:rPr>
        <w:t xml:space="preserve"> acest standard.</w:t>
      </w:r>
    </w:p>
    <w:p w:rsidR="00FA690C" w:rsidRPr="00B202CB" w:rsidRDefault="00FA690C" w:rsidP="00B202CB">
      <w:pPr>
        <w:pStyle w:val="ListParagraph"/>
        <w:tabs>
          <w:tab w:val="left" w:pos="1701"/>
        </w:tabs>
        <w:spacing w:line="276" w:lineRule="auto"/>
        <w:jc w:val="both"/>
        <w:rPr>
          <w:rFonts w:ascii="Times New Roman" w:hAnsi="Times New Roman" w:cs="Times New Roman"/>
          <w:b/>
          <w:color w:val="000000" w:themeColor="text1"/>
          <w:sz w:val="24"/>
          <w:szCs w:val="24"/>
        </w:rPr>
      </w:pPr>
      <w:r w:rsidRPr="00B202CB">
        <w:rPr>
          <w:rFonts w:ascii="Times New Roman" w:hAnsi="Times New Roman" w:cs="Times New Roman"/>
          <w:b/>
          <w:color w:val="000000" w:themeColor="text1"/>
          <w:sz w:val="24"/>
          <w:szCs w:val="24"/>
        </w:rPr>
        <w:t>Anul 2016</w:t>
      </w:r>
    </w:p>
    <w:p w:rsidR="00FA690C" w:rsidRPr="00B202CB" w:rsidRDefault="00FA690C" w:rsidP="00C7604C">
      <w:pPr>
        <w:pStyle w:val="ListParagraph"/>
        <w:numPr>
          <w:ilvl w:val="0"/>
          <w:numId w:val="52"/>
        </w:numPr>
        <w:tabs>
          <w:tab w:val="left" w:pos="1418"/>
        </w:tabs>
        <w:spacing w:line="276" w:lineRule="auto"/>
        <w:ind w:left="1418" w:hanging="284"/>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 xml:space="preserve">46 din cei 50 de ordonatori principali de credite, respectiv 92,00% </w:t>
      </w:r>
      <w:r w:rsidRPr="00B202CB">
        <w:rPr>
          <w:rFonts w:ascii="Times New Roman" w:hAnsi="Times New Roman" w:cs="Times New Roman"/>
          <w:i/>
          <w:color w:val="000000" w:themeColor="text1"/>
          <w:sz w:val="24"/>
          <w:szCs w:val="24"/>
        </w:rPr>
        <w:t xml:space="preserve">au implementat </w:t>
      </w:r>
      <w:r w:rsidRPr="00B202CB">
        <w:rPr>
          <w:rFonts w:ascii="Times New Roman" w:hAnsi="Times New Roman" w:cs="Times New Roman"/>
          <w:color w:val="000000" w:themeColor="text1"/>
          <w:sz w:val="24"/>
          <w:szCs w:val="24"/>
        </w:rPr>
        <w:t>acest standard;</w:t>
      </w:r>
    </w:p>
    <w:p w:rsidR="00A24A4A" w:rsidRDefault="00FA690C" w:rsidP="00C7604C">
      <w:pPr>
        <w:pStyle w:val="ListParagraph"/>
        <w:numPr>
          <w:ilvl w:val="0"/>
          <w:numId w:val="52"/>
        </w:numPr>
        <w:spacing w:line="276" w:lineRule="auto"/>
        <w:ind w:left="1418" w:hanging="284"/>
        <w:jc w:val="both"/>
        <w:rPr>
          <w:rFonts w:ascii="Times New Roman" w:hAnsi="Times New Roman" w:cs="Times New Roman"/>
          <w:color w:val="000000" w:themeColor="text1"/>
          <w:sz w:val="24"/>
          <w:szCs w:val="24"/>
        </w:rPr>
      </w:pPr>
      <w:r w:rsidRPr="00B202CB">
        <w:rPr>
          <w:rFonts w:ascii="Times New Roman" w:hAnsi="Times New Roman" w:cs="Times New Roman"/>
          <w:color w:val="000000" w:themeColor="text1"/>
          <w:sz w:val="24"/>
          <w:szCs w:val="24"/>
        </w:rPr>
        <w:t xml:space="preserve">3 din cei 50 de ordonatori principali de credite, respectiv 6,00% </w:t>
      </w:r>
      <w:r w:rsidRPr="00B202CB">
        <w:rPr>
          <w:rFonts w:ascii="Times New Roman" w:hAnsi="Times New Roman" w:cs="Times New Roman"/>
          <w:i/>
          <w:color w:val="000000" w:themeColor="text1"/>
          <w:sz w:val="24"/>
          <w:szCs w:val="24"/>
        </w:rPr>
        <w:t>au</w:t>
      </w:r>
      <w:r w:rsidRPr="00B202CB">
        <w:rPr>
          <w:rFonts w:ascii="Times New Roman" w:hAnsi="Times New Roman" w:cs="Times New Roman"/>
          <w:color w:val="000000" w:themeColor="text1"/>
          <w:sz w:val="24"/>
          <w:szCs w:val="24"/>
        </w:rPr>
        <w:t xml:space="preserve"> </w:t>
      </w:r>
      <w:r w:rsidRPr="00B202CB">
        <w:rPr>
          <w:rFonts w:ascii="Times New Roman" w:hAnsi="Times New Roman" w:cs="Times New Roman"/>
          <w:i/>
          <w:color w:val="000000" w:themeColor="text1"/>
          <w:sz w:val="24"/>
          <w:szCs w:val="24"/>
        </w:rPr>
        <w:t xml:space="preserve">implementat parţial </w:t>
      </w:r>
      <w:r w:rsidRPr="00B202CB">
        <w:rPr>
          <w:rFonts w:ascii="Times New Roman" w:hAnsi="Times New Roman" w:cs="Times New Roman"/>
          <w:color w:val="000000" w:themeColor="text1"/>
          <w:sz w:val="24"/>
          <w:szCs w:val="24"/>
        </w:rPr>
        <w:t>acest standard;</w:t>
      </w:r>
    </w:p>
    <w:p w:rsidR="00FA690C" w:rsidRPr="00A24A4A" w:rsidRDefault="00FA690C" w:rsidP="00C7604C">
      <w:pPr>
        <w:pStyle w:val="ListParagraph"/>
        <w:numPr>
          <w:ilvl w:val="0"/>
          <w:numId w:val="52"/>
        </w:numPr>
        <w:spacing w:line="276" w:lineRule="auto"/>
        <w:ind w:left="1418" w:hanging="284"/>
        <w:jc w:val="both"/>
        <w:rPr>
          <w:rFonts w:ascii="Times New Roman" w:hAnsi="Times New Roman" w:cs="Times New Roman"/>
          <w:color w:val="000000" w:themeColor="text1"/>
          <w:sz w:val="24"/>
          <w:szCs w:val="24"/>
        </w:rPr>
      </w:pPr>
      <w:r w:rsidRPr="00A24A4A">
        <w:rPr>
          <w:rFonts w:ascii="Times New Roman" w:hAnsi="Times New Roman" w:cs="Times New Roman"/>
          <w:color w:val="000000" w:themeColor="text1"/>
          <w:sz w:val="24"/>
          <w:szCs w:val="24"/>
        </w:rPr>
        <w:t xml:space="preserve">1 din cei 50 de ordonatori principali de credite, respectiv 2,00% </w:t>
      </w:r>
      <w:r w:rsidRPr="00A24A4A">
        <w:rPr>
          <w:rFonts w:ascii="Times New Roman" w:hAnsi="Times New Roman" w:cs="Times New Roman"/>
          <w:i/>
          <w:color w:val="000000" w:themeColor="text1"/>
          <w:sz w:val="24"/>
          <w:szCs w:val="24"/>
        </w:rPr>
        <w:t>nu</w:t>
      </w:r>
      <w:r w:rsidRPr="00A24A4A">
        <w:rPr>
          <w:rFonts w:ascii="Times New Roman" w:hAnsi="Times New Roman" w:cs="Times New Roman"/>
          <w:color w:val="000000" w:themeColor="text1"/>
          <w:sz w:val="24"/>
          <w:szCs w:val="24"/>
        </w:rPr>
        <w:t xml:space="preserve"> </w:t>
      </w:r>
      <w:r w:rsidRPr="00A24A4A">
        <w:rPr>
          <w:rFonts w:ascii="Times New Roman" w:hAnsi="Times New Roman" w:cs="Times New Roman"/>
          <w:i/>
          <w:color w:val="000000" w:themeColor="text1"/>
          <w:sz w:val="24"/>
          <w:szCs w:val="24"/>
        </w:rPr>
        <w:t>a implementat</w:t>
      </w:r>
      <w:r w:rsidR="00695584">
        <w:rPr>
          <w:rFonts w:ascii="Times New Roman" w:hAnsi="Times New Roman" w:cs="Times New Roman"/>
          <w:color w:val="000000" w:themeColor="text1"/>
          <w:sz w:val="24"/>
          <w:szCs w:val="24"/>
        </w:rPr>
        <w:t xml:space="preserve"> acest standard.</w:t>
      </w:r>
    </w:p>
    <w:p w:rsidR="00FA690C" w:rsidRPr="000878AF" w:rsidRDefault="0065713E" w:rsidP="00602BDC">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691008" behindDoc="0" locked="0" layoutInCell="1" allowOverlap="1" wp14:anchorId="75465BE4" wp14:editId="27402940">
            <wp:simplePos x="0" y="0"/>
            <wp:positionH relativeFrom="column">
              <wp:posOffset>3135086</wp:posOffset>
            </wp:positionH>
            <wp:positionV relativeFrom="paragraph">
              <wp:posOffset>-635</wp:posOffset>
            </wp:positionV>
            <wp:extent cx="2940685" cy="2230755"/>
            <wp:effectExtent l="0" t="0" r="12065" b="17145"/>
            <wp:wrapNone/>
            <wp:docPr id="108" name="Chart 10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anchor>
        </w:drawing>
      </w:r>
      <w:r>
        <w:rPr>
          <w:rFonts w:ascii="Times New Roman" w:hAnsi="Times New Roman" w:cs="Times New Roman"/>
          <w:noProof/>
          <w:sz w:val="24"/>
          <w:szCs w:val="24"/>
          <w:lang w:eastAsia="ro-RO"/>
        </w:rPr>
        <w:drawing>
          <wp:inline distT="0" distB="0" distL="0" distR="0" wp14:anchorId="3B2F6ADE" wp14:editId="2523A715">
            <wp:extent cx="2940710" cy="2231136"/>
            <wp:effectExtent l="0" t="0" r="12065" b="17145"/>
            <wp:docPr id="107" name="Chart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315162" w:rsidRDefault="00315162" w:rsidP="00315162">
      <w:pPr>
        <w:spacing w:line="276" w:lineRule="auto"/>
        <w:jc w:val="both"/>
        <w:rPr>
          <w:rFonts w:ascii="Times New Roman" w:hAnsi="Times New Roman" w:cs="Times New Roman"/>
          <w:sz w:val="24"/>
          <w:szCs w:val="24"/>
        </w:rPr>
      </w:pPr>
    </w:p>
    <w:p w:rsidR="00BC4177" w:rsidRDefault="00BC4177">
      <w:pPr>
        <w:rPr>
          <w:rFonts w:ascii="Times New Roman" w:hAnsi="Times New Roman" w:cs="Times New Roman"/>
          <w:sz w:val="24"/>
          <w:szCs w:val="24"/>
        </w:rPr>
      </w:pPr>
    </w:p>
    <w:p w:rsidR="00A02010" w:rsidRDefault="00A02010">
      <w:pPr>
        <w:rPr>
          <w:rFonts w:ascii="Times New Roman" w:hAnsi="Times New Roman" w:cs="Times New Roman"/>
          <w:sz w:val="24"/>
          <w:szCs w:val="24"/>
        </w:rPr>
      </w:pPr>
      <w:r>
        <w:rPr>
          <w:rFonts w:ascii="Times New Roman" w:hAnsi="Times New Roman" w:cs="Times New Roman"/>
          <w:sz w:val="24"/>
          <w:szCs w:val="24"/>
        </w:rPr>
        <w:br w:type="page"/>
      </w:r>
    </w:p>
    <w:p w:rsidR="00CF002C" w:rsidRPr="00CF64CA" w:rsidRDefault="00CF002C" w:rsidP="006111C9">
      <w:pPr>
        <w:pStyle w:val="Raport"/>
        <w:spacing w:after="360"/>
        <w:jc w:val="both"/>
        <w:rPr>
          <w:sz w:val="24"/>
          <w:szCs w:val="24"/>
        </w:rPr>
      </w:pPr>
      <w:bookmarkStart w:id="13" w:name="_Toc485992674"/>
      <w:r w:rsidRPr="00CF64CA">
        <w:rPr>
          <w:sz w:val="24"/>
          <w:szCs w:val="24"/>
        </w:rPr>
        <w:t>2.1.2.</w:t>
      </w:r>
      <w:r w:rsidR="00AC1F6C" w:rsidRPr="00CF64CA">
        <w:rPr>
          <w:sz w:val="24"/>
          <w:szCs w:val="24"/>
        </w:rPr>
        <w:t xml:space="preserve"> </w:t>
      </w:r>
      <w:r w:rsidR="006111C9" w:rsidRPr="00CF64CA">
        <w:rPr>
          <w:sz w:val="24"/>
          <w:szCs w:val="24"/>
        </w:rPr>
        <w:t>Implementarea standardelor de control intern managerial la entităţile publice aflate în subordonarea sau coordonarea ordonatorilor principali de credite</w:t>
      </w:r>
      <w:bookmarkEnd w:id="13"/>
    </w:p>
    <w:p w:rsidR="00CF002C" w:rsidRPr="006111C9" w:rsidRDefault="00CF002C" w:rsidP="006111C9">
      <w:pPr>
        <w:spacing w:line="276" w:lineRule="auto"/>
        <w:jc w:val="both"/>
        <w:rPr>
          <w:rFonts w:ascii="Times New Roman" w:hAnsi="Times New Roman" w:cs="Times New Roman"/>
          <w:sz w:val="24"/>
          <w:szCs w:val="24"/>
        </w:rPr>
      </w:pPr>
      <w:r w:rsidRPr="006111C9">
        <w:rPr>
          <w:rFonts w:ascii="Times New Roman" w:hAnsi="Times New Roman" w:cs="Times New Roman"/>
          <w:sz w:val="24"/>
          <w:szCs w:val="24"/>
        </w:rPr>
        <w:t>Stadiul implementării standardelor de control intern managerial, conform rezultatelor autoevaluării la data de 31 decembrie 201</w:t>
      </w:r>
      <w:r w:rsidR="006A20B3" w:rsidRPr="006111C9">
        <w:rPr>
          <w:rFonts w:ascii="Times New Roman" w:hAnsi="Times New Roman" w:cs="Times New Roman"/>
          <w:sz w:val="24"/>
          <w:szCs w:val="24"/>
        </w:rPr>
        <w:t>6</w:t>
      </w:r>
      <w:r w:rsidRPr="006111C9">
        <w:rPr>
          <w:rFonts w:ascii="Times New Roman" w:hAnsi="Times New Roman" w:cs="Times New Roman"/>
          <w:sz w:val="24"/>
          <w:szCs w:val="24"/>
        </w:rPr>
        <w:t xml:space="preserve">, la nivelul entităților publice subordonate </w:t>
      </w:r>
      <w:r w:rsidR="0029750E" w:rsidRPr="006111C9">
        <w:rPr>
          <w:rFonts w:ascii="Times New Roman" w:hAnsi="Times New Roman" w:cs="Times New Roman"/>
          <w:sz w:val="24"/>
          <w:szCs w:val="24"/>
        </w:rPr>
        <w:t xml:space="preserve">sau aflate în coordonarea </w:t>
      </w:r>
      <w:r w:rsidRPr="006111C9">
        <w:rPr>
          <w:rFonts w:ascii="Times New Roman" w:hAnsi="Times New Roman" w:cs="Times New Roman"/>
          <w:sz w:val="24"/>
          <w:szCs w:val="24"/>
        </w:rPr>
        <w:t xml:space="preserve">fiecărui ordonator principal de credite, este prezentat în detaliu în </w:t>
      </w:r>
      <w:r w:rsidRPr="00196002">
        <w:rPr>
          <w:rFonts w:ascii="Times New Roman" w:hAnsi="Times New Roman" w:cs="Times New Roman"/>
          <w:i/>
          <w:sz w:val="24"/>
          <w:szCs w:val="24"/>
        </w:rPr>
        <w:t>Anexa nr. 2</w:t>
      </w:r>
      <w:r w:rsidR="0029750E" w:rsidRPr="006111C9">
        <w:rPr>
          <w:rFonts w:ascii="Times New Roman" w:hAnsi="Times New Roman" w:cs="Times New Roman"/>
          <w:b/>
          <w:sz w:val="24"/>
          <w:szCs w:val="24"/>
        </w:rPr>
        <w:t xml:space="preserve"> </w:t>
      </w:r>
      <w:r w:rsidR="0029750E" w:rsidRPr="006111C9">
        <w:rPr>
          <w:rFonts w:ascii="Times New Roman" w:hAnsi="Times New Roman" w:cs="Times New Roman"/>
          <w:sz w:val="24"/>
          <w:szCs w:val="24"/>
        </w:rPr>
        <w:t>la R</w:t>
      </w:r>
      <w:r w:rsidRPr="006111C9">
        <w:rPr>
          <w:rFonts w:ascii="Times New Roman" w:hAnsi="Times New Roman" w:cs="Times New Roman"/>
          <w:sz w:val="24"/>
          <w:szCs w:val="24"/>
        </w:rPr>
        <w:t xml:space="preserve">aport. </w:t>
      </w:r>
    </w:p>
    <w:p w:rsidR="00CF002C" w:rsidRPr="00CF002C" w:rsidRDefault="00CF002C" w:rsidP="006111C9">
      <w:pPr>
        <w:spacing w:line="276" w:lineRule="auto"/>
        <w:jc w:val="both"/>
        <w:rPr>
          <w:rFonts w:ascii="Times New Roman" w:hAnsi="Times New Roman" w:cs="Times New Roman"/>
          <w:sz w:val="24"/>
          <w:szCs w:val="24"/>
        </w:rPr>
      </w:pPr>
      <w:r w:rsidRPr="0029750E">
        <w:rPr>
          <w:rFonts w:ascii="Times New Roman" w:hAnsi="Times New Roman" w:cs="Times New Roman"/>
          <w:i/>
          <w:sz w:val="24"/>
          <w:szCs w:val="24"/>
        </w:rPr>
        <w:t>Gradul mediu de implementare al standardelor de control intern managerial calculat la nivelul ordonatorilor secundari şi terţiari de credite</w:t>
      </w:r>
      <w:r w:rsidRPr="00CF002C">
        <w:rPr>
          <w:rFonts w:ascii="Times New Roman" w:hAnsi="Times New Roman" w:cs="Times New Roman"/>
          <w:sz w:val="24"/>
          <w:szCs w:val="24"/>
        </w:rPr>
        <w:t xml:space="preserve"> din subordinea ordonatorilor principali de credite, poate fi apreciat ca fiind corespunzător, aşa cum rezultă din situaţiile centralizatoare anuale întocmite şi transmise </w:t>
      </w:r>
      <w:r>
        <w:rPr>
          <w:rFonts w:ascii="Times New Roman" w:hAnsi="Times New Roman" w:cs="Times New Roman"/>
          <w:sz w:val="24"/>
          <w:szCs w:val="24"/>
        </w:rPr>
        <w:t>SGG - DCIMRI</w:t>
      </w:r>
      <w:r w:rsidRPr="00CF002C">
        <w:rPr>
          <w:rFonts w:ascii="Times New Roman" w:hAnsi="Times New Roman" w:cs="Times New Roman"/>
          <w:sz w:val="24"/>
          <w:szCs w:val="24"/>
        </w:rPr>
        <w:t xml:space="preserve">. </w:t>
      </w:r>
    </w:p>
    <w:p w:rsidR="00CF002C" w:rsidRPr="00CF002C" w:rsidRDefault="00CF002C" w:rsidP="006111C9">
      <w:pPr>
        <w:spacing w:line="276" w:lineRule="auto"/>
        <w:jc w:val="both"/>
        <w:rPr>
          <w:rFonts w:ascii="Times New Roman" w:hAnsi="Times New Roman" w:cs="Times New Roman"/>
          <w:sz w:val="24"/>
          <w:szCs w:val="24"/>
        </w:rPr>
      </w:pPr>
      <w:r w:rsidRPr="00CF002C">
        <w:rPr>
          <w:rFonts w:ascii="Times New Roman" w:hAnsi="Times New Roman" w:cs="Times New Roman"/>
          <w:sz w:val="24"/>
          <w:szCs w:val="24"/>
        </w:rPr>
        <w:t>De asemenea, gradul de implementare al</w:t>
      </w:r>
      <w:r>
        <w:rPr>
          <w:rFonts w:ascii="Times New Roman" w:hAnsi="Times New Roman" w:cs="Times New Roman"/>
          <w:sz w:val="24"/>
          <w:szCs w:val="24"/>
        </w:rPr>
        <w:t xml:space="preserve"> standardelor de control intern </w:t>
      </w:r>
      <w:r w:rsidRPr="00CF002C">
        <w:rPr>
          <w:rFonts w:ascii="Times New Roman" w:hAnsi="Times New Roman" w:cs="Times New Roman"/>
          <w:sz w:val="24"/>
          <w:szCs w:val="24"/>
        </w:rPr>
        <w:t>managerial şi numărul entităţilor publice subordonate ordonatorilor principali de credite la care standardele se află în una din cele trei situaţii, respectiv implementat, parţial implementat sau neimplementat, sunt detaliate în tabelul de mai jos:</w:t>
      </w:r>
    </w:p>
    <w:p w:rsidR="00CF002C" w:rsidRPr="006111C9" w:rsidRDefault="00412653" w:rsidP="006111C9">
      <w:pPr>
        <w:spacing w:line="276" w:lineRule="auto"/>
        <w:jc w:val="both"/>
        <w:rPr>
          <w:rFonts w:ascii="Times New Roman" w:hAnsi="Times New Roman" w:cs="Times New Roman"/>
          <w:color w:val="000000" w:themeColor="text1"/>
          <w:sz w:val="24"/>
          <w:szCs w:val="24"/>
        </w:rPr>
      </w:pPr>
      <w:r w:rsidRPr="006111C9">
        <w:rPr>
          <w:rFonts w:ascii="Times New Roman" w:hAnsi="Times New Roman" w:cs="Times New Roman"/>
          <w:i/>
          <w:color w:val="000000" w:themeColor="text1"/>
          <w:sz w:val="24"/>
          <w:szCs w:val="24"/>
        </w:rPr>
        <w:t>Gradul de implementare al standardelor de control intern managerial, la nivelul entităților publice subordonate</w:t>
      </w:r>
      <w:r w:rsidR="00BC5984" w:rsidRPr="006111C9">
        <w:rPr>
          <w:rFonts w:ascii="Times New Roman" w:hAnsi="Times New Roman" w:cs="Times New Roman"/>
          <w:i/>
          <w:color w:val="000000" w:themeColor="text1"/>
          <w:sz w:val="24"/>
          <w:szCs w:val="24"/>
        </w:rPr>
        <w:t xml:space="preserve"> sau aflate în coordonarea</w:t>
      </w:r>
      <w:r w:rsidRPr="006111C9">
        <w:rPr>
          <w:rFonts w:ascii="Times New Roman" w:hAnsi="Times New Roman" w:cs="Times New Roman"/>
          <w:i/>
          <w:color w:val="000000" w:themeColor="text1"/>
          <w:sz w:val="24"/>
          <w:szCs w:val="24"/>
        </w:rPr>
        <w:t xml:space="preserve"> ordonatorilor principali de credite</w:t>
      </w:r>
      <w:r w:rsidR="00BC5984" w:rsidRPr="006111C9">
        <w:rPr>
          <w:rFonts w:ascii="Times New Roman" w:hAnsi="Times New Roman" w:cs="Times New Roman"/>
          <w:i/>
          <w:color w:val="000000" w:themeColor="text1"/>
          <w:sz w:val="24"/>
          <w:szCs w:val="24"/>
        </w:rPr>
        <w:t>,</w:t>
      </w:r>
      <w:r w:rsidR="00666211" w:rsidRPr="006111C9">
        <w:rPr>
          <w:rFonts w:ascii="Times New Roman" w:hAnsi="Times New Roman" w:cs="Times New Roman"/>
          <w:i/>
          <w:color w:val="000000" w:themeColor="text1"/>
          <w:sz w:val="24"/>
          <w:szCs w:val="24"/>
        </w:rPr>
        <w:t xml:space="preserve"> </w:t>
      </w:r>
      <w:r w:rsidR="00666211" w:rsidRPr="006111C9">
        <w:rPr>
          <w:rFonts w:ascii="Times New Roman" w:hAnsi="Times New Roman" w:cs="Times New Roman"/>
          <w:color w:val="000000" w:themeColor="text1"/>
          <w:sz w:val="24"/>
          <w:szCs w:val="24"/>
        </w:rPr>
        <w:t xml:space="preserve">conform </w:t>
      </w:r>
      <w:r w:rsidR="00666211" w:rsidRPr="00196002">
        <w:rPr>
          <w:rFonts w:ascii="Times New Roman" w:hAnsi="Times New Roman" w:cs="Times New Roman"/>
          <w:i/>
          <w:color w:val="000000" w:themeColor="text1"/>
          <w:sz w:val="24"/>
          <w:szCs w:val="24"/>
        </w:rPr>
        <w:t>Anexei nr. 2</w:t>
      </w:r>
      <w:r w:rsidR="00666211" w:rsidRPr="006111C9">
        <w:rPr>
          <w:rFonts w:ascii="Times New Roman" w:hAnsi="Times New Roman" w:cs="Times New Roman"/>
          <w:i/>
          <w:color w:val="000000" w:themeColor="text1"/>
          <w:sz w:val="24"/>
          <w:szCs w:val="24"/>
        </w:rPr>
        <w:t xml:space="preserve"> la Raport, </w:t>
      </w:r>
      <w:r w:rsidR="00CF58DE" w:rsidRPr="006111C9">
        <w:rPr>
          <w:rFonts w:ascii="Times New Roman" w:hAnsi="Times New Roman" w:cs="Times New Roman"/>
          <w:color w:val="000000" w:themeColor="text1"/>
          <w:sz w:val="24"/>
          <w:szCs w:val="24"/>
        </w:rPr>
        <w:t xml:space="preserve">în anul 2016 comparativ cu anul 2015, </w:t>
      </w:r>
      <w:r w:rsidR="00BC5984" w:rsidRPr="006111C9">
        <w:rPr>
          <w:rFonts w:ascii="Times New Roman" w:hAnsi="Times New Roman" w:cs="Times New Roman"/>
          <w:color w:val="000000" w:themeColor="text1"/>
          <w:sz w:val="24"/>
          <w:szCs w:val="24"/>
        </w:rPr>
        <w:t>se prezintă astfel:</w:t>
      </w:r>
    </w:p>
    <w:p w:rsidR="00BC4177" w:rsidRDefault="00BC4177">
      <w:pPr>
        <w:rPr>
          <w:rFonts w:ascii="Times New Roman" w:hAnsi="Times New Roman" w:cs="Times New Roman"/>
          <w:b/>
          <w:sz w:val="24"/>
          <w:szCs w:val="24"/>
        </w:rPr>
      </w:pPr>
    </w:p>
    <w:p w:rsidR="00EE3F50" w:rsidRDefault="00EE3F50">
      <w:pPr>
        <w:rPr>
          <w:rFonts w:ascii="Times New Roman" w:hAnsi="Times New Roman" w:cs="Times New Roman"/>
          <w:b/>
          <w:sz w:val="24"/>
          <w:szCs w:val="24"/>
        </w:rPr>
      </w:pPr>
      <w:r>
        <w:rPr>
          <w:rFonts w:ascii="Times New Roman" w:hAnsi="Times New Roman" w:cs="Times New Roman"/>
          <w:b/>
          <w:sz w:val="24"/>
          <w:szCs w:val="24"/>
        </w:rPr>
        <w:br w:type="page"/>
      </w:r>
    </w:p>
    <w:p w:rsidR="00AF4B8F" w:rsidRPr="00AF4B8F" w:rsidRDefault="00EE3F50" w:rsidP="00EE3F50">
      <w:pPr>
        <w:spacing w:after="0" w:line="276" w:lineRule="auto"/>
        <w:ind w:firstLine="708"/>
        <w:jc w:val="right"/>
        <w:rPr>
          <w:rFonts w:ascii="Times New Roman" w:hAnsi="Times New Roman" w:cs="Times New Roman"/>
          <w:b/>
          <w:sz w:val="24"/>
          <w:szCs w:val="24"/>
        </w:rPr>
      </w:pPr>
      <w:r>
        <w:rPr>
          <w:rFonts w:ascii="Times New Roman" w:hAnsi="Times New Roman" w:cs="Times New Roman"/>
          <w:b/>
          <w:sz w:val="24"/>
          <w:szCs w:val="24"/>
        </w:rPr>
        <w:t>Tabel nr.</w:t>
      </w:r>
      <w:r w:rsidR="00836000" w:rsidRPr="00AF4B8F">
        <w:rPr>
          <w:rFonts w:ascii="Times New Roman" w:hAnsi="Times New Roman" w:cs="Times New Roman"/>
          <w:b/>
          <w:sz w:val="24"/>
          <w:szCs w:val="24"/>
        </w:rPr>
        <w:t>4</w:t>
      </w:r>
      <w:r>
        <w:rPr>
          <w:rFonts w:ascii="Times New Roman" w:hAnsi="Times New Roman" w:cs="Times New Roman"/>
          <w:b/>
          <w:sz w:val="24"/>
          <w:szCs w:val="24"/>
        </w:rPr>
        <w:t>.</w:t>
      </w:r>
      <w:r w:rsidR="00D27D2A">
        <w:rPr>
          <w:rFonts w:ascii="Times New Roman" w:hAnsi="Times New Roman" w:cs="Times New Roman"/>
          <w:b/>
          <w:sz w:val="24"/>
          <w:szCs w:val="24"/>
        </w:rPr>
        <w:t>a</w:t>
      </w:r>
      <w:r w:rsidR="00836000" w:rsidRPr="00AF4B8F">
        <w:rPr>
          <w:rFonts w:ascii="Times New Roman" w:hAnsi="Times New Roman" w:cs="Times New Roman"/>
          <w:b/>
          <w:sz w:val="24"/>
          <w:szCs w:val="24"/>
        </w:rPr>
        <w:t xml:space="preserve"> </w:t>
      </w:r>
    </w:p>
    <w:p w:rsidR="00EE3F50" w:rsidRDefault="00836000" w:rsidP="00EE3F50">
      <w:pPr>
        <w:spacing w:after="0" w:line="276" w:lineRule="auto"/>
        <w:jc w:val="center"/>
        <w:rPr>
          <w:rFonts w:ascii="Times New Roman" w:hAnsi="Times New Roman" w:cs="Times New Roman"/>
          <w:b/>
          <w:color w:val="000000" w:themeColor="text1"/>
          <w:sz w:val="24"/>
          <w:szCs w:val="24"/>
        </w:rPr>
      </w:pPr>
      <w:r w:rsidRPr="00EE3F50">
        <w:rPr>
          <w:rFonts w:ascii="Times New Roman" w:hAnsi="Times New Roman" w:cs="Times New Roman"/>
          <w:b/>
          <w:color w:val="000000" w:themeColor="text1"/>
          <w:sz w:val="24"/>
          <w:szCs w:val="24"/>
        </w:rPr>
        <w:t xml:space="preserve">Gradul de implementare al standardelor de control intern managerial, la nivelul entităților publice subordonate sau aflate în coordonarea </w:t>
      </w:r>
      <w:r w:rsidR="006A20B3" w:rsidRPr="00EE3F50">
        <w:rPr>
          <w:rFonts w:ascii="Times New Roman" w:hAnsi="Times New Roman" w:cs="Times New Roman"/>
          <w:b/>
          <w:color w:val="000000" w:themeColor="text1"/>
          <w:sz w:val="24"/>
          <w:szCs w:val="24"/>
        </w:rPr>
        <w:t>ordonatorilor principali de credite</w:t>
      </w:r>
      <w:r w:rsidR="00BC4177" w:rsidRPr="00EE3F50">
        <w:rPr>
          <w:rFonts w:ascii="Times New Roman" w:hAnsi="Times New Roman" w:cs="Times New Roman"/>
          <w:b/>
          <w:color w:val="000000" w:themeColor="text1"/>
          <w:sz w:val="24"/>
          <w:szCs w:val="24"/>
        </w:rPr>
        <w:t xml:space="preserve">, </w:t>
      </w:r>
    </w:p>
    <w:p w:rsidR="00836000" w:rsidRDefault="00BC4177" w:rsidP="00EE3F50">
      <w:pPr>
        <w:spacing w:after="0" w:line="276" w:lineRule="auto"/>
        <w:jc w:val="center"/>
        <w:rPr>
          <w:rFonts w:ascii="Times New Roman" w:hAnsi="Times New Roman" w:cs="Times New Roman"/>
          <w:b/>
          <w:color w:val="000000" w:themeColor="text1"/>
          <w:sz w:val="24"/>
          <w:szCs w:val="24"/>
        </w:rPr>
      </w:pPr>
      <w:r w:rsidRPr="00EE3F50">
        <w:rPr>
          <w:rFonts w:ascii="Times New Roman" w:hAnsi="Times New Roman" w:cs="Times New Roman"/>
          <w:b/>
          <w:color w:val="000000" w:themeColor="text1"/>
          <w:sz w:val="24"/>
          <w:szCs w:val="24"/>
        </w:rPr>
        <w:t xml:space="preserve">în perioada </w:t>
      </w:r>
      <w:r w:rsidR="006A20B3" w:rsidRPr="00EE3F50">
        <w:rPr>
          <w:rFonts w:ascii="Times New Roman" w:hAnsi="Times New Roman" w:cs="Times New Roman"/>
          <w:b/>
          <w:color w:val="000000" w:themeColor="text1"/>
          <w:sz w:val="24"/>
          <w:szCs w:val="24"/>
        </w:rPr>
        <w:t>2015</w:t>
      </w:r>
      <w:r w:rsidRPr="00EE3F50">
        <w:rPr>
          <w:rFonts w:ascii="Times New Roman" w:hAnsi="Times New Roman" w:cs="Times New Roman"/>
          <w:b/>
          <w:color w:val="000000" w:themeColor="text1"/>
          <w:sz w:val="24"/>
          <w:szCs w:val="24"/>
        </w:rPr>
        <w:t xml:space="preserve"> </w:t>
      </w:r>
      <w:r w:rsidR="00EE3F50">
        <w:rPr>
          <w:rFonts w:ascii="Times New Roman" w:hAnsi="Times New Roman" w:cs="Times New Roman"/>
          <w:b/>
          <w:color w:val="000000" w:themeColor="text1"/>
          <w:sz w:val="24"/>
          <w:szCs w:val="24"/>
        </w:rPr>
        <w:t>–</w:t>
      </w:r>
      <w:r w:rsidRPr="00EE3F50">
        <w:rPr>
          <w:rFonts w:ascii="Times New Roman" w:hAnsi="Times New Roman" w:cs="Times New Roman"/>
          <w:b/>
          <w:color w:val="000000" w:themeColor="text1"/>
          <w:sz w:val="24"/>
          <w:szCs w:val="24"/>
        </w:rPr>
        <w:t xml:space="preserve"> 2016</w:t>
      </w:r>
    </w:p>
    <w:p w:rsidR="00EE3F50" w:rsidRPr="00EE3F50" w:rsidRDefault="00EE3F50" w:rsidP="00EE3F50">
      <w:pPr>
        <w:spacing w:after="0" w:line="276" w:lineRule="auto"/>
        <w:jc w:val="center"/>
        <w:rPr>
          <w:rFonts w:ascii="Times New Roman" w:hAnsi="Times New Roman" w:cs="Times New Roman"/>
          <w:b/>
          <w:color w:val="000000" w:themeColor="text1"/>
          <w:sz w:val="24"/>
          <w:szCs w:val="24"/>
        </w:rPr>
      </w:pPr>
    </w:p>
    <w:tbl>
      <w:tblPr>
        <w:tblStyle w:val="TableGrid"/>
        <w:tblW w:w="10206" w:type="dxa"/>
        <w:tblInd w:w="-431" w:type="dxa"/>
        <w:tblLayout w:type="fixed"/>
        <w:tblLook w:val="04A0" w:firstRow="1" w:lastRow="0" w:firstColumn="1" w:lastColumn="0" w:noHBand="0" w:noVBand="1"/>
      </w:tblPr>
      <w:tblGrid>
        <w:gridCol w:w="426"/>
        <w:gridCol w:w="1560"/>
        <w:gridCol w:w="708"/>
        <w:gridCol w:w="567"/>
        <w:gridCol w:w="567"/>
        <w:gridCol w:w="709"/>
        <w:gridCol w:w="709"/>
        <w:gridCol w:w="709"/>
        <w:gridCol w:w="708"/>
        <w:gridCol w:w="709"/>
        <w:gridCol w:w="709"/>
        <w:gridCol w:w="709"/>
        <w:gridCol w:w="708"/>
        <w:gridCol w:w="708"/>
      </w:tblGrid>
      <w:tr w:rsidR="00B42324" w:rsidTr="003A31F2">
        <w:trPr>
          <w:tblHeader/>
        </w:trPr>
        <w:tc>
          <w:tcPr>
            <w:tcW w:w="426" w:type="dxa"/>
            <w:vMerge w:val="restart"/>
            <w:shd w:val="clear" w:color="auto" w:fill="BDD6EE" w:themeFill="accent1" w:themeFillTint="66"/>
            <w:textDirection w:val="btLr"/>
          </w:tcPr>
          <w:p w:rsidR="00B42324" w:rsidRPr="00B42324" w:rsidRDefault="00BC4177" w:rsidP="00BC4177">
            <w:pPr>
              <w:spacing w:line="276" w:lineRule="auto"/>
              <w:ind w:left="113" w:right="113"/>
              <w:jc w:val="center"/>
              <w:rPr>
                <w:rFonts w:ascii="Times New Roman" w:hAnsi="Times New Roman" w:cs="Times New Roman"/>
                <w:b/>
                <w:sz w:val="20"/>
                <w:szCs w:val="20"/>
              </w:rPr>
            </w:pPr>
            <w:r>
              <w:rPr>
                <w:rFonts w:ascii="Times New Roman" w:hAnsi="Times New Roman" w:cs="Times New Roman"/>
                <w:b/>
                <w:sz w:val="20"/>
                <w:szCs w:val="20"/>
              </w:rPr>
              <w:t>Nr. standard</w:t>
            </w:r>
          </w:p>
        </w:tc>
        <w:tc>
          <w:tcPr>
            <w:tcW w:w="1560" w:type="dxa"/>
            <w:vMerge w:val="restart"/>
            <w:shd w:val="clear" w:color="auto" w:fill="BDD6EE" w:themeFill="accent1" w:themeFillTint="66"/>
            <w:vAlign w:val="center"/>
          </w:tcPr>
          <w:p w:rsidR="00B42324" w:rsidRPr="00B42324" w:rsidRDefault="00B42324" w:rsidP="00602BDC">
            <w:pPr>
              <w:spacing w:line="276" w:lineRule="auto"/>
              <w:jc w:val="center"/>
              <w:rPr>
                <w:rFonts w:ascii="Times New Roman" w:hAnsi="Times New Roman" w:cs="Times New Roman"/>
                <w:b/>
                <w:sz w:val="20"/>
                <w:szCs w:val="20"/>
              </w:rPr>
            </w:pPr>
            <w:r w:rsidRPr="00B42324">
              <w:rPr>
                <w:rFonts w:ascii="Times New Roman" w:hAnsi="Times New Roman" w:cs="Times New Roman"/>
                <w:b/>
                <w:sz w:val="20"/>
                <w:szCs w:val="20"/>
              </w:rPr>
              <w:t>Standardul de control intern managerial</w:t>
            </w:r>
          </w:p>
        </w:tc>
        <w:tc>
          <w:tcPr>
            <w:tcW w:w="3969" w:type="dxa"/>
            <w:gridSpan w:val="6"/>
            <w:shd w:val="clear" w:color="auto" w:fill="BDD6EE" w:themeFill="accent1" w:themeFillTint="66"/>
            <w:vAlign w:val="center"/>
          </w:tcPr>
          <w:p w:rsidR="00B42324" w:rsidRPr="00B42324" w:rsidRDefault="00B42324" w:rsidP="00602BDC">
            <w:pPr>
              <w:spacing w:line="276" w:lineRule="auto"/>
              <w:jc w:val="center"/>
              <w:rPr>
                <w:rFonts w:ascii="Times New Roman" w:hAnsi="Times New Roman" w:cs="Times New Roman"/>
                <w:b/>
                <w:sz w:val="20"/>
                <w:szCs w:val="20"/>
              </w:rPr>
            </w:pPr>
            <w:r>
              <w:rPr>
                <w:rFonts w:ascii="Times New Roman" w:hAnsi="Times New Roman" w:cs="Times New Roman"/>
                <w:b/>
                <w:sz w:val="20"/>
                <w:szCs w:val="20"/>
              </w:rPr>
              <w:t>ANUL 2015</w:t>
            </w:r>
          </w:p>
        </w:tc>
        <w:tc>
          <w:tcPr>
            <w:tcW w:w="4251" w:type="dxa"/>
            <w:gridSpan w:val="6"/>
            <w:shd w:val="clear" w:color="auto" w:fill="BDD6EE" w:themeFill="accent1" w:themeFillTint="66"/>
            <w:vAlign w:val="center"/>
          </w:tcPr>
          <w:p w:rsidR="00B42324" w:rsidRPr="00B42324" w:rsidRDefault="00B42324" w:rsidP="00602BDC">
            <w:pPr>
              <w:spacing w:line="276" w:lineRule="auto"/>
              <w:jc w:val="center"/>
              <w:rPr>
                <w:rFonts w:ascii="Times New Roman" w:hAnsi="Times New Roman" w:cs="Times New Roman"/>
                <w:b/>
                <w:sz w:val="20"/>
                <w:szCs w:val="20"/>
              </w:rPr>
            </w:pPr>
            <w:r>
              <w:rPr>
                <w:rFonts w:ascii="Times New Roman" w:hAnsi="Times New Roman" w:cs="Times New Roman"/>
                <w:b/>
                <w:sz w:val="20"/>
                <w:szCs w:val="20"/>
              </w:rPr>
              <w:t>ANUL 2016</w:t>
            </w:r>
          </w:p>
        </w:tc>
      </w:tr>
      <w:tr w:rsidR="00B42324" w:rsidTr="003A31F2">
        <w:trPr>
          <w:tblHeader/>
        </w:trPr>
        <w:tc>
          <w:tcPr>
            <w:tcW w:w="426" w:type="dxa"/>
            <w:vMerge/>
            <w:shd w:val="clear" w:color="auto" w:fill="BDD6EE" w:themeFill="accent1" w:themeFillTint="66"/>
            <w:textDirection w:val="btLr"/>
          </w:tcPr>
          <w:p w:rsidR="00B42324" w:rsidRPr="00B42324" w:rsidRDefault="00B42324" w:rsidP="00B42324">
            <w:pPr>
              <w:spacing w:line="276" w:lineRule="auto"/>
              <w:ind w:left="113" w:right="113"/>
              <w:rPr>
                <w:rFonts w:ascii="Times New Roman" w:hAnsi="Times New Roman" w:cs="Times New Roman"/>
                <w:b/>
                <w:sz w:val="20"/>
                <w:szCs w:val="20"/>
              </w:rPr>
            </w:pPr>
          </w:p>
        </w:tc>
        <w:tc>
          <w:tcPr>
            <w:tcW w:w="1560" w:type="dxa"/>
            <w:vMerge/>
            <w:shd w:val="clear" w:color="auto" w:fill="BDD6EE" w:themeFill="accent1" w:themeFillTint="66"/>
            <w:vAlign w:val="center"/>
          </w:tcPr>
          <w:p w:rsidR="00B42324" w:rsidRPr="00B42324" w:rsidRDefault="00B42324" w:rsidP="00B42324">
            <w:pPr>
              <w:spacing w:line="276" w:lineRule="auto"/>
              <w:jc w:val="center"/>
              <w:rPr>
                <w:rFonts w:ascii="Times New Roman" w:hAnsi="Times New Roman" w:cs="Times New Roman"/>
                <w:b/>
                <w:sz w:val="20"/>
                <w:szCs w:val="20"/>
              </w:rPr>
            </w:pPr>
          </w:p>
        </w:tc>
        <w:tc>
          <w:tcPr>
            <w:tcW w:w="1842" w:type="dxa"/>
            <w:gridSpan w:val="3"/>
            <w:shd w:val="clear" w:color="auto" w:fill="BDD6EE" w:themeFill="accent1" w:themeFillTint="66"/>
            <w:vAlign w:val="center"/>
          </w:tcPr>
          <w:tbl>
            <w:tblPr>
              <w:tblW w:w="2302" w:type="dxa"/>
              <w:tblBorders>
                <w:top w:val="nil"/>
                <w:left w:val="nil"/>
                <w:bottom w:val="nil"/>
                <w:right w:val="nil"/>
              </w:tblBorders>
              <w:tblLayout w:type="fixed"/>
              <w:tblLook w:val="0000" w:firstRow="0" w:lastRow="0" w:firstColumn="0" w:lastColumn="0" w:noHBand="0" w:noVBand="0"/>
            </w:tblPr>
            <w:tblGrid>
              <w:gridCol w:w="2302"/>
            </w:tblGrid>
            <w:tr w:rsidR="00B42324" w:rsidRPr="00B42324" w:rsidTr="00B42324">
              <w:trPr>
                <w:trHeight w:val="649"/>
              </w:trPr>
              <w:tc>
                <w:tcPr>
                  <w:tcW w:w="2302" w:type="dxa"/>
                </w:tcPr>
                <w:p w:rsidR="00B42324" w:rsidRDefault="00B42324" w:rsidP="00EE3F50">
                  <w:pPr>
                    <w:tabs>
                      <w:tab w:val="left" w:pos="0"/>
                    </w:tabs>
                    <w:spacing w:after="0" w:line="276" w:lineRule="auto"/>
                    <w:ind w:right="34"/>
                    <w:rPr>
                      <w:rFonts w:ascii="Times New Roman" w:hAnsi="Times New Roman" w:cs="Times New Roman"/>
                      <w:b/>
                      <w:sz w:val="20"/>
                      <w:szCs w:val="20"/>
                    </w:rPr>
                  </w:pPr>
                  <w:r w:rsidRPr="00B42324">
                    <w:rPr>
                      <w:rFonts w:ascii="Times New Roman" w:hAnsi="Times New Roman" w:cs="Times New Roman"/>
                      <w:b/>
                      <w:sz w:val="20"/>
                      <w:szCs w:val="20"/>
                    </w:rPr>
                    <w:t>Num</w:t>
                  </w:r>
                  <w:r w:rsidRPr="00B42324">
                    <w:rPr>
                      <w:rFonts w:ascii="Times New Roman" w:hAnsi="Times New Roman" w:cs="Times New Roman"/>
                      <w:b/>
                      <w:bCs/>
                      <w:sz w:val="20"/>
                      <w:szCs w:val="20"/>
                    </w:rPr>
                    <w:t>ă</w:t>
                  </w:r>
                  <w:r w:rsidRPr="00B42324">
                    <w:rPr>
                      <w:rFonts w:ascii="Times New Roman" w:hAnsi="Times New Roman" w:cs="Times New Roman"/>
                      <w:b/>
                      <w:sz w:val="20"/>
                      <w:szCs w:val="20"/>
                    </w:rPr>
                    <w:t>rul de</w:t>
                  </w:r>
                </w:p>
                <w:p w:rsidR="00B42324" w:rsidRDefault="00B42324" w:rsidP="00EE3F50">
                  <w:pPr>
                    <w:tabs>
                      <w:tab w:val="left" w:pos="0"/>
                    </w:tabs>
                    <w:spacing w:after="0" w:line="276" w:lineRule="auto"/>
                    <w:ind w:right="34"/>
                    <w:rPr>
                      <w:rFonts w:ascii="Times New Roman" w:hAnsi="Times New Roman" w:cs="Times New Roman"/>
                      <w:b/>
                      <w:sz w:val="20"/>
                      <w:szCs w:val="20"/>
                    </w:rPr>
                  </w:pPr>
                  <w:r w:rsidRPr="00B42324">
                    <w:rPr>
                      <w:rFonts w:ascii="Times New Roman" w:hAnsi="Times New Roman" w:cs="Times New Roman"/>
                      <w:b/>
                      <w:sz w:val="20"/>
                      <w:szCs w:val="20"/>
                    </w:rPr>
                    <w:t>entit</w:t>
                  </w:r>
                  <w:r w:rsidRPr="00B42324">
                    <w:rPr>
                      <w:rFonts w:ascii="Times New Roman" w:hAnsi="Times New Roman" w:cs="Times New Roman"/>
                      <w:b/>
                      <w:bCs/>
                      <w:sz w:val="20"/>
                      <w:szCs w:val="20"/>
                    </w:rPr>
                    <w:t>ăţ</w:t>
                  </w:r>
                  <w:r w:rsidRPr="00B42324">
                    <w:rPr>
                      <w:rFonts w:ascii="Times New Roman" w:hAnsi="Times New Roman" w:cs="Times New Roman"/>
                      <w:b/>
                      <w:sz w:val="20"/>
                      <w:szCs w:val="20"/>
                    </w:rPr>
                    <w:t>i publice subordonate sau</w:t>
                  </w:r>
                </w:p>
                <w:p w:rsidR="00B42324" w:rsidRDefault="00B42324" w:rsidP="00EE3F50">
                  <w:pPr>
                    <w:tabs>
                      <w:tab w:val="left" w:pos="0"/>
                    </w:tabs>
                    <w:spacing w:after="0" w:line="276" w:lineRule="auto"/>
                    <w:ind w:right="34"/>
                    <w:rPr>
                      <w:rFonts w:ascii="Times New Roman" w:hAnsi="Times New Roman" w:cs="Times New Roman"/>
                      <w:b/>
                      <w:sz w:val="20"/>
                      <w:szCs w:val="20"/>
                    </w:rPr>
                  </w:pPr>
                  <w:r w:rsidRPr="00B42324">
                    <w:rPr>
                      <w:rFonts w:ascii="Times New Roman" w:hAnsi="Times New Roman" w:cs="Times New Roman"/>
                      <w:b/>
                      <w:sz w:val="20"/>
                      <w:szCs w:val="20"/>
                    </w:rPr>
                    <w:t>aflate în</w:t>
                  </w:r>
                </w:p>
                <w:p w:rsidR="00B42324" w:rsidRDefault="00B42324" w:rsidP="00EE3F50">
                  <w:pPr>
                    <w:tabs>
                      <w:tab w:val="left" w:pos="0"/>
                    </w:tabs>
                    <w:spacing w:after="0" w:line="276" w:lineRule="auto"/>
                    <w:ind w:right="34"/>
                    <w:rPr>
                      <w:rFonts w:ascii="Times New Roman" w:hAnsi="Times New Roman" w:cs="Times New Roman"/>
                      <w:b/>
                      <w:sz w:val="20"/>
                      <w:szCs w:val="20"/>
                    </w:rPr>
                  </w:pPr>
                  <w:r w:rsidRPr="00B42324">
                    <w:rPr>
                      <w:rFonts w:ascii="Times New Roman" w:hAnsi="Times New Roman" w:cs="Times New Roman"/>
                      <w:b/>
                      <w:sz w:val="20"/>
                      <w:szCs w:val="20"/>
                    </w:rPr>
                    <w:t>coordonarea ordonatorilor</w:t>
                  </w:r>
                </w:p>
                <w:p w:rsidR="00B42324" w:rsidRPr="00B42324" w:rsidRDefault="00B42324" w:rsidP="00EE3F50">
                  <w:pPr>
                    <w:tabs>
                      <w:tab w:val="left" w:pos="0"/>
                    </w:tabs>
                    <w:spacing w:after="0" w:line="276" w:lineRule="auto"/>
                    <w:ind w:right="34"/>
                    <w:rPr>
                      <w:rFonts w:ascii="Times New Roman" w:hAnsi="Times New Roman" w:cs="Times New Roman"/>
                      <w:b/>
                      <w:sz w:val="20"/>
                      <w:szCs w:val="20"/>
                    </w:rPr>
                  </w:pPr>
                  <w:r w:rsidRPr="00B42324">
                    <w:rPr>
                      <w:rFonts w:ascii="Times New Roman" w:hAnsi="Times New Roman" w:cs="Times New Roman"/>
                      <w:b/>
                      <w:sz w:val="20"/>
                      <w:szCs w:val="20"/>
                    </w:rPr>
                    <w:t>principali de</w:t>
                  </w:r>
                </w:p>
                <w:p w:rsidR="00B42324" w:rsidRPr="00B42324" w:rsidRDefault="00B42324" w:rsidP="00EE3F50">
                  <w:pPr>
                    <w:tabs>
                      <w:tab w:val="left" w:pos="0"/>
                    </w:tabs>
                    <w:spacing w:after="0" w:line="276" w:lineRule="auto"/>
                    <w:ind w:right="34"/>
                    <w:rPr>
                      <w:rFonts w:ascii="Times New Roman" w:hAnsi="Times New Roman" w:cs="Times New Roman"/>
                      <w:b/>
                      <w:sz w:val="20"/>
                      <w:szCs w:val="20"/>
                    </w:rPr>
                  </w:pPr>
                  <w:r w:rsidRPr="00B42324">
                    <w:rPr>
                      <w:rFonts w:ascii="Times New Roman" w:hAnsi="Times New Roman" w:cs="Times New Roman"/>
                      <w:b/>
                      <w:sz w:val="20"/>
                      <w:szCs w:val="20"/>
                    </w:rPr>
                    <w:t>credite la care standardul este:</w:t>
                  </w:r>
                </w:p>
              </w:tc>
            </w:tr>
          </w:tbl>
          <w:p w:rsidR="00B42324" w:rsidRPr="00B42324" w:rsidRDefault="00B42324" w:rsidP="00B42324">
            <w:pPr>
              <w:spacing w:line="276" w:lineRule="auto"/>
              <w:jc w:val="center"/>
              <w:rPr>
                <w:rFonts w:ascii="Times New Roman" w:hAnsi="Times New Roman" w:cs="Times New Roman"/>
                <w:b/>
                <w:sz w:val="20"/>
                <w:szCs w:val="20"/>
              </w:rPr>
            </w:pPr>
          </w:p>
        </w:tc>
        <w:tc>
          <w:tcPr>
            <w:tcW w:w="2127" w:type="dxa"/>
            <w:gridSpan w:val="3"/>
            <w:shd w:val="clear" w:color="auto" w:fill="BDD6EE" w:themeFill="accent1" w:themeFillTint="66"/>
            <w:vAlign w:val="center"/>
          </w:tcPr>
          <w:p w:rsidR="00FB1D3A" w:rsidRDefault="00B42324" w:rsidP="00FB1D3A">
            <w:pPr>
              <w:spacing w:line="276" w:lineRule="auto"/>
              <w:jc w:val="center"/>
              <w:rPr>
                <w:rFonts w:ascii="Times New Roman" w:hAnsi="Times New Roman" w:cs="Times New Roman"/>
                <w:b/>
                <w:sz w:val="20"/>
                <w:szCs w:val="20"/>
              </w:rPr>
            </w:pPr>
            <w:r>
              <w:rPr>
                <w:rFonts w:ascii="Times New Roman" w:hAnsi="Times New Roman" w:cs="Times New Roman"/>
                <w:b/>
                <w:sz w:val="20"/>
                <w:szCs w:val="20"/>
              </w:rPr>
              <w:t>G</w:t>
            </w:r>
            <w:r w:rsidRPr="00B42324">
              <w:rPr>
                <w:rFonts w:ascii="Times New Roman" w:hAnsi="Times New Roman" w:cs="Times New Roman"/>
                <w:b/>
                <w:sz w:val="20"/>
                <w:szCs w:val="20"/>
              </w:rPr>
              <w:t>rad</w:t>
            </w:r>
            <w:r w:rsidR="00FB1D3A">
              <w:rPr>
                <w:rFonts w:ascii="Times New Roman" w:hAnsi="Times New Roman" w:cs="Times New Roman"/>
                <w:b/>
                <w:sz w:val="20"/>
                <w:szCs w:val="20"/>
              </w:rPr>
              <w:t>ul de implementare</w:t>
            </w:r>
          </w:p>
          <w:p w:rsidR="00B42324" w:rsidRPr="00B42324" w:rsidRDefault="00B42324" w:rsidP="00FB1D3A">
            <w:pPr>
              <w:spacing w:line="276" w:lineRule="auto"/>
              <w:jc w:val="center"/>
              <w:rPr>
                <w:rFonts w:ascii="Times New Roman" w:hAnsi="Times New Roman" w:cs="Times New Roman"/>
                <w:b/>
                <w:sz w:val="20"/>
                <w:szCs w:val="20"/>
              </w:rPr>
            </w:pPr>
            <w:r w:rsidRPr="00B42324">
              <w:rPr>
                <w:rFonts w:ascii="Times New Roman" w:hAnsi="Times New Roman" w:cs="Times New Roman"/>
                <w:b/>
                <w:sz w:val="20"/>
                <w:szCs w:val="20"/>
              </w:rPr>
              <w:t>(%)</w:t>
            </w:r>
          </w:p>
        </w:tc>
        <w:tc>
          <w:tcPr>
            <w:tcW w:w="2126" w:type="dxa"/>
            <w:gridSpan w:val="3"/>
            <w:shd w:val="clear" w:color="auto" w:fill="BDD6EE" w:themeFill="accent1" w:themeFillTint="66"/>
            <w:vAlign w:val="center"/>
          </w:tcPr>
          <w:tbl>
            <w:tblPr>
              <w:tblW w:w="2302" w:type="dxa"/>
              <w:tblBorders>
                <w:top w:val="nil"/>
                <w:left w:val="nil"/>
                <w:bottom w:val="nil"/>
                <w:right w:val="nil"/>
              </w:tblBorders>
              <w:tblLayout w:type="fixed"/>
              <w:tblLook w:val="0000" w:firstRow="0" w:lastRow="0" w:firstColumn="0" w:lastColumn="0" w:noHBand="0" w:noVBand="0"/>
            </w:tblPr>
            <w:tblGrid>
              <w:gridCol w:w="2302"/>
            </w:tblGrid>
            <w:tr w:rsidR="00B42324" w:rsidRPr="00B42324" w:rsidTr="00AC5C95">
              <w:trPr>
                <w:trHeight w:val="649"/>
              </w:trPr>
              <w:tc>
                <w:tcPr>
                  <w:tcW w:w="2302" w:type="dxa"/>
                </w:tcPr>
                <w:p w:rsidR="00B42324" w:rsidRDefault="00B42324" w:rsidP="00EE3F50">
                  <w:pPr>
                    <w:tabs>
                      <w:tab w:val="left" w:pos="0"/>
                    </w:tabs>
                    <w:spacing w:after="0" w:line="276" w:lineRule="auto"/>
                    <w:ind w:right="34"/>
                    <w:rPr>
                      <w:rFonts w:ascii="Times New Roman" w:hAnsi="Times New Roman" w:cs="Times New Roman"/>
                      <w:b/>
                      <w:sz w:val="20"/>
                      <w:szCs w:val="20"/>
                    </w:rPr>
                  </w:pPr>
                  <w:r w:rsidRPr="00B42324">
                    <w:rPr>
                      <w:rFonts w:ascii="Times New Roman" w:hAnsi="Times New Roman" w:cs="Times New Roman"/>
                      <w:b/>
                      <w:sz w:val="20"/>
                      <w:szCs w:val="20"/>
                    </w:rPr>
                    <w:t>Num</w:t>
                  </w:r>
                  <w:r w:rsidRPr="00B42324">
                    <w:rPr>
                      <w:rFonts w:ascii="Times New Roman" w:hAnsi="Times New Roman" w:cs="Times New Roman"/>
                      <w:b/>
                      <w:bCs/>
                      <w:sz w:val="20"/>
                      <w:szCs w:val="20"/>
                    </w:rPr>
                    <w:t>ă</w:t>
                  </w:r>
                  <w:r w:rsidRPr="00B42324">
                    <w:rPr>
                      <w:rFonts w:ascii="Times New Roman" w:hAnsi="Times New Roman" w:cs="Times New Roman"/>
                      <w:b/>
                      <w:sz w:val="20"/>
                      <w:szCs w:val="20"/>
                    </w:rPr>
                    <w:t>rul de</w:t>
                  </w:r>
                </w:p>
                <w:p w:rsidR="00B42324" w:rsidRDefault="00B42324" w:rsidP="00EE3F50">
                  <w:pPr>
                    <w:tabs>
                      <w:tab w:val="left" w:pos="0"/>
                    </w:tabs>
                    <w:spacing w:after="0" w:line="276" w:lineRule="auto"/>
                    <w:ind w:right="34"/>
                    <w:rPr>
                      <w:rFonts w:ascii="Times New Roman" w:hAnsi="Times New Roman" w:cs="Times New Roman"/>
                      <w:b/>
                      <w:sz w:val="20"/>
                      <w:szCs w:val="20"/>
                    </w:rPr>
                  </w:pPr>
                  <w:r w:rsidRPr="00B42324">
                    <w:rPr>
                      <w:rFonts w:ascii="Times New Roman" w:hAnsi="Times New Roman" w:cs="Times New Roman"/>
                      <w:b/>
                      <w:sz w:val="20"/>
                      <w:szCs w:val="20"/>
                    </w:rPr>
                    <w:t>entit</w:t>
                  </w:r>
                  <w:r w:rsidRPr="00B42324">
                    <w:rPr>
                      <w:rFonts w:ascii="Times New Roman" w:hAnsi="Times New Roman" w:cs="Times New Roman"/>
                      <w:b/>
                      <w:bCs/>
                      <w:sz w:val="20"/>
                      <w:szCs w:val="20"/>
                    </w:rPr>
                    <w:t>ăţ</w:t>
                  </w:r>
                  <w:r w:rsidRPr="00B42324">
                    <w:rPr>
                      <w:rFonts w:ascii="Times New Roman" w:hAnsi="Times New Roman" w:cs="Times New Roman"/>
                      <w:b/>
                      <w:sz w:val="20"/>
                      <w:szCs w:val="20"/>
                    </w:rPr>
                    <w:t>i publice subordonate sau</w:t>
                  </w:r>
                </w:p>
                <w:p w:rsidR="00B42324" w:rsidRDefault="00B42324" w:rsidP="00EE3F50">
                  <w:pPr>
                    <w:tabs>
                      <w:tab w:val="left" w:pos="0"/>
                    </w:tabs>
                    <w:spacing w:after="0" w:line="276" w:lineRule="auto"/>
                    <w:ind w:right="34"/>
                    <w:rPr>
                      <w:rFonts w:ascii="Times New Roman" w:hAnsi="Times New Roman" w:cs="Times New Roman"/>
                      <w:b/>
                      <w:sz w:val="20"/>
                      <w:szCs w:val="20"/>
                    </w:rPr>
                  </w:pPr>
                  <w:r w:rsidRPr="00B42324">
                    <w:rPr>
                      <w:rFonts w:ascii="Times New Roman" w:hAnsi="Times New Roman" w:cs="Times New Roman"/>
                      <w:b/>
                      <w:sz w:val="20"/>
                      <w:szCs w:val="20"/>
                    </w:rPr>
                    <w:t>aflate în</w:t>
                  </w:r>
                </w:p>
                <w:p w:rsidR="00B42324" w:rsidRDefault="00B42324" w:rsidP="00EE3F50">
                  <w:pPr>
                    <w:tabs>
                      <w:tab w:val="left" w:pos="0"/>
                    </w:tabs>
                    <w:spacing w:after="0" w:line="276" w:lineRule="auto"/>
                    <w:ind w:right="34"/>
                    <w:rPr>
                      <w:rFonts w:ascii="Times New Roman" w:hAnsi="Times New Roman" w:cs="Times New Roman"/>
                      <w:b/>
                      <w:sz w:val="20"/>
                      <w:szCs w:val="20"/>
                    </w:rPr>
                  </w:pPr>
                  <w:r w:rsidRPr="00B42324">
                    <w:rPr>
                      <w:rFonts w:ascii="Times New Roman" w:hAnsi="Times New Roman" w:cs="Times New Roman"/>
                      <w:b/>
                      <w:sz w:val="20"/>
                      <w:szCs w:val="20"/>
                    </w:rPr>
                    <w:t>coordonarea ordonatorilor</w:t>
                  </w:r>
                </w:p>
                <w:p w:rsidR="00B42324" w:rsidRPr="00B42324" w:rsidRDefault="00B42324" w:rsidP="00EE3F50">
                  <w:pPr>
                    <w:tabs>
                      <w:tab w:val="left" w:pos="0"/>
                    </w:tabs>
                    <w:spacing w:after="0" w:line="276" w:lineRule="auto"/>
                    <w:ind w:right="34"/>
                    <w:rPr>
                      <w:rFonts w:ascii="Times New Roman" w:hAnsi="Times New Roman" w:cs="Times New Roman"/>
                      <w:b/>
                      <w:sz w:val="20"/>
                      <w:szCs w:val="20"/>
                    </w:rPr>
                  </w:pPr>
                  <w:r w:rsidRPr="00B42324">
                    <w:rPr>
                      <w:rFonts w:ascii="Times New Roman" w:hAnsi="Times New Roman" w:cs="Times New Roman"/>
                      <w:b/>
                      <w:sz w:val="20"/>
                      <w:szCs w:val="20"/>
                    </w:rPr>
                    <w:t>principali de</w:t>
                  </w:r>
                </w:p>
                <w:p w:rsidR="00B42324" w:rsidRPr="00B42324" w:rsidRDefault="00B42324" w:rsidP="00EE3F50">
                  <w:pPr>
                    <w:tabs>
                      <w:tab w:val="left" w:pos="0"/>
                    </w:tabs>
                    <w:spacing w:after="0" w:line="276" w:lineRule="auto"/>
                    <w:ind w:right="34"/>
                    <w:rPr>
                      <w:rFonts w:ascii="Times New Roman" w:hAnsi="Times New Roman" w:cs="Times New Roman"/>
                      <w:b/>
                      <w:sz w:val="20"/>
                      <w:szCs w:val="20"/>
                    </w:rPr>
                  </w:pPr>
                  <w:r w:rsidRPr="00B42324">
                    <w:rPr>
                      <w:rFonts w:ascii="Times New Roman" w:hAnsi="Times New Roman" w:cs="Times New Roman"/>
                      <w:b/>
                      <w:sz w:val="20"/>
                      <w:szCs w:val="20"/>
                    </w:rPr>
                    <w:t>credite la care standardul este:</w:t>
                  </w:r>
                </w:p>
              </w:tc>
            </w:tr>
          </w:tbl>
          <w:p w:rsidR="00B42324" w:rsidRPr="00B42324" w:rsidRDefault="00B42324" w:rsidP="00B42324">
            <w:pPr>
              <w:spacing w:line="276" w:lineRule="auto"/>
              <w:jc w:val="center"/>
              <w:rPr>
                <w:rFonts w:ascii="Times New Roman" w:hAnsi="Times New Roman" w:cs="Times New Roman"/>
                <w:b/>
                <w:sz w:val="20"/>
                <w:szCs w:val="20"/>
              </w:rPr>
            </w:pPr>
          </w:p>
        </w:tc>
        <w:tc>
          <w:tcPr>
            <w:tcW w:w="2125" w:type="dxa"/>
            <w:gridSpan w:val="3"/>
            <w:shd w:val="clear" w:color="auto" w:fill="BDD6EE" w:themeFill="accent1" w:themeFillTint="66"/>
            <w:vAlign w:val="center"/>
          </w:tcPr>
          <w:p w:rsidR="00FB1D3A" w:rsidRDefault="00B42324" w:rsidP="00FB1D3A">
            <w:pPr>
              <w:spacing w:line="276" w:lineRule="auto"/>
              <w:jc w:val="center"/>
              <w:rPr>
                <w:rFonts w:ascii="Times New Roman" w:hAnsi="Times New Roman" w:cs="Times New Roman"/>
                <w:b/>
                <w:sz w:val="20"/>
                <w:szCs w:val="20"/>
              </w:rPr>
            </w:pPr>
            <w:r>
              <w:rPr>
                <w:rFonts w:ascii="Times New Roman" w:hAnsi="Times New Roman" w:cs="Times New Roman"/>
                <w:b/>
                <w:sz w:val="20"/>
                <w:szCs w:val="20"/>
              </w:rPr>
              <w:t>G</w:t>
            </w:r>
            <w:r w:rsidR="00FB1D3A">
              <w:rPr>
                <w:rFonts w:ascii="Times New Roman" w:hAnsi="Times New Roman" w:cs="Times New Roman"/>
                <w:b/>
                <w:sz w:val="20"/>
                <w:szCs w:val="20"/>
              </w:rPr>
              <w:t>radul de implementare</w:t>
            </w:r>
          </w:p>
          <w:p w:rsidR="00B42324" w:rsidRPr="00B42324" w:rsidRDefault="00B42324" w:rsidP="00FB1D3A">
            <w:pPr>
              <w:spacing w:line="276" w:lineRule="auto"/>
              <w:jc w:val="center"/>
              <w:rPr>
                <w:rFonts w:ascii="Times New Roman" w:hAnsi="Times New Roman" w:cs="Times New Roman"/>
                <w:b/>
                <w:sz w:val="20"/>
                <w:szCs w:val="20"/>
              </w:rPr>
            </w:pPr>
            <w:r w:rsidRPr="00B42324">
              <w:rPr>
                <w:rFonts w:ascii="Times New Roman" w:hAnsi="Times New Roman" w:cs="Times New Roman"/>
                <w:b/>
                <w:sz w:val="20"/>
                <w:szCs w:val="20"/>
              </w:rPr>
              <w:t>(%)</w:t>
            </w:r>
          </w:p>
        </w:tc>
      </w:tr>
      <w:tr w:rsidR="00B42324" w:rsidTr="003A31F2">
        <w:trPr>
          <w:tblHeader/>
        </w:trPr>
        <w:tc>
          <w:tcPr>
            <w:tcW w:w="426" w:type="dxa"/>
            <w:vMerge/>
            <w:shd w:val="clear" w:color="auto" w:fill="BDD6EE" w:themeFill="accent1" w:themeFillTint="66"/>
          </w:tcPr>
          <w:p w:rsidR="00B42324" w:rsidRPr="00B42324" w:rsidRDefault="00B42324" w:rsidP="00B42324">
            <w:pPr>
              <w:spacing w:line="276" w:lineRule="auto"/>
              <w:jc w:val="both"/>
              <w:rPr>
                <w:rFonts w:ascii="Times New Roman" w:hAnsi="Times New Roman" w:cs="Times New Roman"/>
                <w:b/>
                <w:sz w:val="20"/>
                <w:szCs w:val="20"/>
              </w:rPr>
            </w:pPr>
          </w:p>
        </w:tc>
        <w:tc>
          <w:tcPr>
            <w:tcW w:w="1560" w:type="dxa"/>
            <w:vMerge/>
            <w:shd w:val="clear" w:color="auto" w:fill="BDD6EE" w:themeFill="accent1" w:themeFillTint="66"/>
            <w:vAlign w:val="center"/>
          </w:tcPr>
          <w:p w:rsidR="00B42324" w:rsidRPr="00B42324" w:rsidRDefault="00B42324" w:rsidP="00B42324">
            <w:pPr>
              <w:spacing w:line="276" w:lineRule="auto"/>
              <w:jc w:val="both"/>
              <w:rPr>
                <w:rFonts w:ascii="Times New Roman" w:hAnsi="Times New Roman" w:cs="Times New Roman"/>
                <w:b/>
                <w:sz w:val="20"/>
                <w:szCs w:val="20"/>
              </w:rPr>
            </w:pPr>
          </w:p>
        </w:tc>
        <w:tc>
          <w:tcPr>
            <w:tcW w:w="708" w:type="dxa"/>
            <w:shd w:val="clear" w:color="auto" w:fill="BDD6EE" w:themeFill="accent1" w:themeFillTint="66"/>
            <w:vAlign w:val="center"/>
          </w:tcPr>
          <w:p w:rsidR="00B42324" w:rsidRPr="00B42324" w:rsidRDefault="00B42324" w:rsidP="00B42324">
            <w:pPr>
              <w:spacing w:line="276" w:lineRule="auto"/>
              <w:jc w:val="center"/>
              <w:rPr>
                <w:rFonts w:ascii="Times New Roman" w:hAnsi="Times New Roman" w:cs="Times New Roman"/>
                <w:b/>
                <w:sz w:val="20"/>
                <w:szCs w:val="20"/>
              </w:rPr>
            </w:pPr>
            <w:r w:rsidRPr="00B42324">
              <w:rPr>
                <w:rFonts w:ascii="Times New Roman" w:hAnsi="Times New Roman" w:cs="Times New Roman"/>
                <w:b/>
                <w:sz w:val="20"/>
                <w:szCs w:val="20"/>
              </w:rPr>
              <w:t>I</w:t>
            </w:r>
          </w:p>
        </w:tc>
        <w:tc>
          <w:tcPr>
            <w:tcW w:w="567" w:type="dxa"/>
            <w:shd w:val="clear" w:color="auto" w:fill="BDD6EE" w:themeFill="accent1" w:themeFillTint="66"/>
            <w:vAlign w:val="center"/>
          </w:tcPr>
          <w:p w:rsidR="00B42324" w:rsidRPr="00B42324" w:rsidRDefault="00B42324" w:rsidP="00B42324">
            <w:pPr>
              <w:spacing w:line="276" w:lineRule="auto"/>
              <w:jc w:val="center"/>
              <w:rPr>
                <w:rFonts w:ascii="Times New Roman" w:hAnsi="Times New Roman" w:cs="Times New Roman"/>
                <w:b/>
                <w:sz w:val="20"/>
                <w:szCs w:val="20"/>
              </w:rPr>
            </w:pPr>
            <w:r w:rsidRPr="00B42324">
              <w:rPr>
                <w:rFonts w:ascii="Times New Roman" w:hAnsi="Times New Roman" w:cs="Times New Roman"/>
                <w:b/>
                <w:sz w:val="20"/>
                <w:szCs w:val="20"/>
              </w:rPr>
              <w:t>PI</w:t>
            </w:r>
          </w:p>
        </w:tc>
        <w:tc>
          <w:tcPr>
            <w:tcW w:w="567" w:type="dxa"/>
            <w:shd w:val="clear" w:color="auto" w:fill="BDD6EE" w:themeFill="accent1" w:themeFillTint="66"/>
            <w:vAlign w:val="center"/>
          </w:tcPr>
          <w:p w:rsidR="00B42324" w:rsidRPr="00B42324" w:rsidRDefault="00B42324" w:rsidP="00B42324">
            <w:pPr>
              <w:spacing w:line="276" w:lineRule="auto"/>
              <w:jc w:val="center"/>
              <w:rPr>
                <w:rFonts w:ascii="Times New Roman" w:hAnsi="Times New Roman" w:cs="Times New Roman"/>
                <w:b/>
                <w:sz w:val="20"/>
                <w:szCs w:val="20"/>
              </w:rPr>
            </w:pPr>
            <w:r w:rsidRPr="00B42324">
              <w:rPr>
                <w:rFonts w:ascii="Times New Roman" w:hAnsi="Times New Roman" w:cs="Times New Roman"/>
                <w:b/>
                <w:sz w:val="20"/>
                <w:szCs w:val="20"/>
              </w:rPr>
              <w:t>NI</w:t>
            </w:r>
          </w:p>
        </w:tc>
        <w:tc>
          <w:tcPr>
            <w:tcW w:w="709" w:type="dxa"/>
            <w:shd w:val="clear" w:color="auto" w:fill="BDD6EE" w:themeFill="accent1" w:themeFillTint="66"/>
            <w:vAlign w:val="center"/>
          </w:tcPr>
          <w:p w:rsidR="00B42324" w:rsidRPr="00B42324" w:rsidRDefault="00B42324" w:rsidP="00B42324">
            <w:pPr>
              <w:spacing w:line="276" w:lineRule="auto"/>
              <w:jc w:val="center"/>
              <w:rPr>
                <w:rFonts w:ascii="Times New Roman" w:hAnsi="Times New Roman" w:cs="Times New Roman"/>
                <w:b/>
                <w:sz w:val="20"/>
                <w:szCs w:val="20"/>
              </w:rPr>
            </w:pPr>
            <w:r w:rsidRPr="00B42324">
              <w:rPr>
                <w:rFonts w:ascii="Times New Roman" w:hAnsi="Times New Roman" w:cs="Times New Roman"/>
                <w:b/>
                <w:sz w:val="20"/>
                <w:szCs w:val="20"/>
              </w:rPr>
              <w:t>I</w:t>
            </w:r>
          </w:p>
        </w:tc>
        <w:tc>
          <w:tcPr>
            <w:tcW w:w="709" w:type="dxa"/>
            <w:shd w:val="clear" w:color="auto" w:fill="BDD6EE" w:themeFill="accent1" w:themeFillTint="66"/>
            <w:vAlign w:val="center"/>
          </w:tcPr>
          <w:p w:rsidR="00B42324" w:rsidRPr="00B42324" w:rsidRDefault="00B42324" w:rsidP="00B42324">
            <w:pPr>
              <w:spacing w:line="276" w:lineRule="auto"/>
              <w:jc w:val="center"/>
              <w:rPr>
                <w:rFonts w:ascii="Times New Roman" w:hAnsi="Times New Roman" w:cs="Times New Roman"/>
                <w:b/>
                <w:sz w:val="20"/>
                <w:szCs w:val="20"/>
              </w:rPr>
            </w:pPr>
            <w:r w:rsidRPr="00B42324">
              <w:rPr>
                <w:rFonts w:ascii="Times New Roman" w:hAnsi="Times New Roman" w:cs="Times New Roman"/>
                <w:b/>
                <w:sz w:val="20"/>
                <w:szCs w:val="20"/>
              </w:rPr>
              <w:t>PI</w:t>
            </w:r>
          </w:p>
        </w:tc>
        <w:tc>
          <w:tcPr>
            <w:tcW w:w="709" w:type="dxa"/>
            <w:shd w:val="clear" w:color="auto" w:fill="BDD6EE" w:themeFill="accent1" w:themeFillTint="66"/>
            <w:vAlign w:val="center"/>
          </w:tcPr>
          <w:p w:rsidR="00B42324" w:rsidRPr="00B42324" w:rsidRDefault="00B42324" w:rsidP="00B42324">
            <w:pPr>
              <w:spacing w:line="276" w:lineRule="auto"/>
              <w:jc w:val="center"/>
              <w:rPr>
                <w:rFonts w:ascii="Times New Roman" w:hAnsi="Times New Roman" w:cs="Times New Roman"/>
                <w:b/>
                <w:sz w:val="20"/>
                <w:szCs w:val="20"/>
              </w:rPr>
            </w:pPr>
            <w:r w:rsidRPr="00B42324">
              <w:rPr>
                <w:rFonts w:ascii="Times New Roman" w:hAnsi="Times New Roman" w:cs="Times New Roman"/>
                <w:b/>
                <w:sz w:val="20"/>
                <w:szCs w:val="20"/>
              </w:rPr>
              <w:t>NI</w:t>
            </w:r>
          </w:p>
        </w:tc>
        <w:tc>
          <w:tcPr>
            <w:tcW w:w="708" w:type="dxa"/>
            <w:shd w:val="clear" w:color="auto" w:fill="BDD6EE" w:themeFill="accent1" w:themeFillTint="66"/>
            <w:vAlign w:val="center"/>
          </w:tcPr>
          <w:p w:rsidR="00B42324" w:rsidRPr="00B42324" w:rsidRDefault="00B42324" w:rsidP="00B42324">
            <w:pPr>
              <w:spacing w:line="276" w:lineRule="auto"/>
              <w:jc w:val="center"/>
              <w:rPr>
                <w:rFonts w:ascii="Times New Roman" w:hAnsi="Times New Roman" w:cs="Times New Roman"/>
                <w:b/>
                <w:sz w:val="20"/>
                <w:szCs w:val="20"/>
              </w:rPr>
            </w:pPr>
            <w:r w:rsidRPr="00B42324">
              <w:rPr>
                <w:rFonts w:ascii="Times New Roman" w:hAnsi="Times New Roman" w:cs="Times New Roman"/>
                <w:b/>
                <w:sz w:val="20"/>
                <w:szCs w:val="20"/>
              </w:rPr>
              <w:t>I</w:t>
            </w:r>
          </w:p>
        </w:tc>
        <w:tc>
          <w:tcPr>
            <w:tcW w:w="709" w:type="dxa"/>
            <w:shd w:val="clear" w:color="auto" w:fill="BDD6EE" w:themeFill="accent1" w:themeFillTint="66"/>
            <w:vAlign w:val="center"/>
          </w:tcPr>
          <w:p w:rsidR="00B42324" w:rsidRPr="00B42324" w:rsidRDefault="00B42324" w:rsidP="00B42324">
            <w:pPr>
              <w:spacing w:line="276" w:lineRule="auto"/>
              <w:jc w:val="center"/>
              <w:rPr>
                <w:rFonts w:ascii="Times New Roman" w:hAnsi="Times New Roman" w:cs="Times New Roman"/>
                <w:b/>
                <w:sz w:val="20"/>
                <w:szCs w:val="20"/>
              </w:rPr>
            </w:pPr>
            <w:r w:rsidRPr="00B42324">
              <w:rPr>
                <w:rFonts w:ascii="Times New Roman" w:hAnsi="Times New Roman" w:cs="Times New Roman"/>
                <w:b/>
                <w:sz w:val="20"/>
                <w:szCs w:val="20"/>
              </w:rPr>
              <w:t>PI</w:t>
            </w:r>
          </w:p>
        </w:tc>
        <w:tc>
          <w:tcPr>
            <w:tcW w:w="709" w:type="dxa"/>
            <w:shd w:val="clear" w:color="auto" w:fill="BDD6EE" w:themeFill="accent1" w:themeFillTint="66"/>
            <w:vAlign w:val="center"/>
          </w:tcPr>
          <w:p w:rsidR="00B42324" w:rsidRPr="00B42324" w:rsidRDefault="00B42324" w:rsidP="00B42324">
            <w:pPr>
              <w:spacing w:line="276" w:lineRule="auto"/>
              <w:jc w:val="center"/>
              <w:rPr>
                <w:rFonts w:ascii="Times New Roman" w:hAnsi="Times New Roman" w:cs="Times New Roman"/>
                <w:b/>
                <w:sz w:val="20"/>
                <w:szCs w:val="20"/>
              </w:rPr>
            </w:pPr>
            <w:r w:rsidRPr="00B42324">
              <w:rPr>
                <w:rFonts w:ascii="Times New Roman" w:hAnsi="Times New Roman" w:cs="Times New Roman"/>
                <w:b/>
                <w:sz w:val="20"/>
                <w:szCs w:val="20"/>
              </w:rPr>
              <w:t>NI</w:t>
            </w:r>
          </w:p>
        </w:tc>
        <w:tc>
          <w:tcPr>
            <w:tcW w:w="709" w:type="dxa"/>
            <w:shd w:val="clear" w:color="auto" w:fill="BDD6EE" w:themeFill="accent1" w:themeFillTint="66"/>
            <w:vAlign w:val="center"/>
          </w:tcPr>
          <w:p w:rsidR="00B42324" w:rsidRPr="00B42324" w:rsidRDefault="00B42324" w:rsidP="00B42324">
            <w:pPr>
              <w:spacing w:line="276" w:lineRule="auto"/>
              <w:jc w:val="center"/>
              <w:rPr>
                <w:rFonts w:ascii="Times New Roman" w:hAnsi="Times New Roman" w:cs="Times New Roman"/>
                <w:b/>
                <w:sz w:val="20"/>
                <w:szCs w:val="20"/>
              </w:rPr>
            </w:pPr>
            <w:r w:rsidRPr="00B42324">
              <w:rPr>
                <w:rFonts w:ascii="Times New Roman" w:hAnsi="Times New Roman" w:cs="Times New Roman"/>
                <w:b/>
                <w:sz w:val="20"/>
                <w:szCs w:val="20"/>
              </w:rPr>
              <w:t>I</w:t>
            </w:r>
          </w:p>
        </w:tc>
        <w:tc>
          <w:tcPr>
            <w:tcW w:w="708" w:type="dxa"/>
            <w:shd w:val="clear" w:color="auto" w:fill="BDD6EE" w:themeFill="accent1" w:themeFillTint="66"/>
            <w:vAlign w:val="center"/>
          </w:tcPr>
          <w:p w:rsidR="00B42324" w:rsidRPr="00B42324" w:rsidRDefault="00B42324" w:rsidP="00B42324">
            <w:pPr>
              <w:spacing w:line="276" w:lineRule="auto"/>
              <w:jc w:val="center"/>
              <w:rPr>
                <w:rFonts w:ascii="Times New Roman" w:hAnsi="Times New Roman" w:cs="Times New Roman"/>
                <w:b/>
                <w:sz w:val="20"/>
                <w:szCs w:val="20"/>
              </w:rPr>
            </w:pPr>
            <w:r w:rsidRPr="00B42324">
              <w:rPr>
                <w:rFonts w:ascii="Times New Roman" w:hAnsi="Times New Roman" w:cs="Times New Roman"/>
                <w:b/>
                <w:sz w:val="20"/>
                <w:szCs w:val="20"/>
              </w:rPr>
              <w:t>PI</w:t>
            </w:r>
          </w:p>
        </w:tc>
        <w:tc>
          <w:tcPr>
            <w:tcW w:w="708" w:type="dxa"/>
            <w:shd w:val="clear" w:color="auto" w:fill="BDD6EE" w:themeFill="accent1" w:themeFillTint="66"/>
            <w:vAlign w:val="center"/>
          </w:tcPr>
          <w:p w:rsidR="00B42324" w:rsidRPr="00B42324" w:rsidRDefault="00B42324" w:rsidP="00B42324">
            <w:pPr>
              <w:spacing w:line="276" w:lineRule="auto"/>
              <w:jc w:val="center"/>
              <w:rPr>
                <w:rFonts w:ascii="Times New Roman" w:hAnsi="Times New Roman" w:cs="Times New Roman"/>
                <w:b/>
                <w:sz w:val="20"/>
                <w:szCs w:val="20"/>
              </w:rPr>
            </w:pPr>
            <w:r w:rsidRPr="00B42324">
              <w:rPr>
                <w:rFonts w:ascii="Times New Roman" w:hAnsi="Times New Roman" w:cs="Times New Roman"/>
                <w:b/>
                <w:sz w:val="20"/>
                <w:szCs w:val="20"/>
              </w:rPr>
              <w:t>NI</w:t>
            </w:r>
          </w:p>
        </w:tc>
      </w:tr>
      <w:tr w:rsidR="00B42324" w:rsidTr="003A31F2">
        <w:tc>
          <w:tcPr>
            <w:tcW w:w="426" w:type="dxa"/>
            <w:shd w:val="clear" w:color="auto" w:fill="FFF2CC" w:themeFill="accent4" w:themeFillTint="33"/>
            <w:vAlign w:val="center"/>
          </w:tcPr>
          <w:p w:rsidR="00B42324" w:rsidRPr="00B42324" w:rsidRDefault="00B42324" w:rsidP="00B42324">
            <w:pPr>
              <w:spacing w:line="276" w:lineRule="auto"/>
              <w:jc w:val="center"/>
              <w:rPr>
                <w:rFonts w:ascii="Times New Roman" w:hAnsi="Times New Roman" w:cs="Times New Roman"/>
                <w:sz w:val="20"/>
                <w:szCs w:val="20"/>
              </w:rPr>
            </w:pPr>
            <w:r w:rsidRPr="00B42324">
              <w:rPr>
                <w:rFonts w:ascii="Times New Roman" w:hAnsi="Times New Roman" w:cs="Times New Roman"/>
                <w:sz w:val="20"/>
                <w:szCs w:val="20"/>
              </w:rPr>
              <w:t>1</w:t>
            </w:r>
          </w:p>
        </w:tc>
        <w:tc>
          <w:tcPr>
            <w:tcW w:w="1560" w:type="dxa"/>
            <w:shd w:val="clear" w:color="auto" w:fill="FFF2CC" w:themeFill="accent4" w:themeFillTint="33"/>
            <w:vAlign w:val="center"/>
          </w:tcPr>
          <w:p w:rsidR="00B42324" w:rsidRPr="00B42324" w:rsidRDefault="00B42324" w:rsidP="00B42324">
            <w:pPr>
              <w:spacing w:line="276" w:lineRule="auto"/>
              <w:jc w:val="both"/>
              <w:rPr>
                <w:rFonts w:ascii="Times New Roman" w:hAnsi="Times New Roman" w:cs="Times New Roman"/>
                <w:sz w:val="20"/>
                <w:szCs w:val="20"/>
              </w:rPr>
            </w:pPr>
            <w:r w:rsidRPr="00B42324">
              <w:rPr>
                <w:rFonts w:ascii="Times New Roman" w:hAnsi="Times New Roman" w:cs="Times New Roman"/>
                <w:sz w:val="20"/>
                <w:szCs w:val="20"/>
                <w:lang w:val="en-US"/>
              </w:rPr>
              <w:t>Etica şi integritatea</w:t>
            </w:r>
          </w:p>
        </w:tc>
        <w:tc>
          <w:tcPr>
            <w:tcW w:w="70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1.996</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85</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color w:val="000000"/>
                <w:sz w:val="20"/>
                <w:szCs w:val="20"/>
              </w:rPr>
              <w:t>11</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95,41</w:t>
            </w:r>
          </w:p>
        </w:tc>
        <w:tc>
          <w:tcPr>
            <w:tcW w:w="709"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4,06</w:t>
            </w:r>
          </w:p>
        </w:tc>
        <w:tc>
          <w:tcPr>
            <w:tcW w:w="709"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0,53</w:t>
            </w:r>
          </w:p>
        </w:tc>
        <w:tc>
          <w:tcPr>
            <w:tcW w:w="70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726038" w:rsidP="00BC4177">
            <w:pPr>
              <w:spacing w:line="276" w:lineRule="auto"/>
              <w:jc w:val="right"/>
              <w:rPr>
                <w:rFonts w:ascii="Times New Roman" w:hAnsi="Times New Roman" w:cs="Times New Roman"/>
                <w:sz w:val="20"/>
                <w:szCs w:val="20"/>
              </w:rPr>
            </w:pPr>
            <w:r>
              <w:rPr>
                <w:rFonts w:ascii="Times New Roman" w:hAnsi="Times New Roman" w:cs="Times New Roman"/>
                <w:sz w:val="20"/>
                <w:szCs w:val="20"/>
              </w:rPr>
              <w:t>1.</w:t>
            </w:r>
            <w:r w:rsidR="00B42324" w:rsidRPr="00B42324">
              <w:rPr>
                <w:rFonts w:ascii="Times New Roman" w:hAnsi="Times New Roman" w:cs="Times New Roman"/>
                <w:sz w:val="20"/>
                <w:szCs w:val="20"/>
              </w:rPr>
              <w:t>910</w:t>
            </w:r>
          </w:p>
        </w:tc>
        <w:tc>
          <w:tcPr>
            <w:tcW w:w="709"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68</w:t>
            </w:r>
          </w:p>
        </w:tc>
        <w:tc>
          <w:tcPr>
            <w:tcW w:w="709"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6</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96,27</w:t>
            </w:r>
          </w:p>
        </w:tc>
        <w:tc>
          <w:tcPr>
            <w:tcW w:w="708"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3,43</w:t>
            </w:r>
          </w:p>
        </w:tc>
        <w:tc>
          <w:tcPr>
            <w:tcW w:w="708"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0,30</w:t>
            </w:r>
          </w:p>
        </w:tc>
      </w:tr>
      <w:tr w:rsidR="00B42324" w:rsidTr="003A31F2">
        <w:tc>
          <w:tcPr>
            <w:tcW w:w="426" w:type="dxa"/>
            <w:shd w:val="clear" w:color="auto" w:fill="FFF2CC" w:themeFill="accent4" w:themeFillTint="33"/>
            <w:vAlign w:val="center"/>
          </w:tcPr>
          <w:p w:rsidR="00B42324" w:rsidRPr="00B42324" w:rsidRDefault="00B42324" w:rsidP="00B42324">
            <w:pPr>
              <w:spacing w:line="276" w:lineRule="auto"/>
              <w:jc w:val="center"/>
              <w:rPr>
                <w:rFonts w:ascii="Times New Roman" w:hAnsi="Times New Roman" w:cs="Times New Roman"/>
                <w:sz w:val="20"/>
                <w:szCs w:val="20"/>
              </w:rPr>
            </w:pPr>
            <w:r w:rsidRPr="00B42324">
              <w:rPr>
                <w:rFonts w:ascii="Times New Roman" w:hAnsi="Times New Roman" w:cs="Times New Roman"/>
                <w:sz w:val="20"/>
                <w:szCs w:val="20"/>
              </w:rPr>
              <w:t>2</w:t>
            </w:r>
          </w:p>
        </w:tc>
        <w:tc>
          <w:tcPr>
            <w:tcW w:w="1560" w:type="dxa"/>
            <w:shd w:val="clear" w:color="auto" w:fill="FFF2CC" w:themeFill="accent4" w:themeFillTint="33"/>
            <w:vAlign w:val="center"/>
          </w:tcPr>
          <w:p w:rsidR="00B42324" w:rsidRPr="00B42324" w:rsidRDefault="00B42324" w:rsidP="00B42324">
            <w:pPr>
              <w:spacing w:line="276" w:lineRule="auto"/>
              <w:jc w:val="both"/>
              <w:rPr>
                <w:rFonts w:ascii="Times New Roman" w:hAnsi="Times New Roman" w:cs="Times New Roman"/>
                <w:sz w:val="20"/>
                <w:szCs w:val="20"/>
              </w:rPr>
            </w:pPr>
            <w:r w:rsidRPr="00B42324">
              <w:rPr>
                <w:rFonts w:ascii="Times New Roman" w:hAnsi="Times New Roman" w:cs="Times New Roman"/>
                <w:sz w:val="20"/>
                <w:szCs w:val="20"/>
                <w:lang w:val="en-US"/>
              </w:rPr>
              <w:t>Atribuţii, funcţii, sarcini</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1.890</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180</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22</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90,34</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8,60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1,05</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726038" w:rsidP="00BC4177">
            <w:pPr>
              <w:spacing w:line="276" w:lineRule="auto"/>
              <w:jc w:val="right"/>
              <w:rPr>
                <w:rFonts w:ascii="Times New Roman" w:hAnsi="Times New Roman" w:cs="Times New Roman"/>
                <w:sz w:val="20"/>
                <w:szCs w:val="20"/>
              </w:rPr>
            </w:pPr>
            <w:r>
              <w:rPr>
                <w:rFonts w:ascii="Times New Roman" w:hAnsi="Times New Roman" w:cs="Times New Roman"/>
                <w:sz w:val="20"/>
                <w:szCs w:val="20"/>
              </w:rPr>
              <w:t>1.</w:t>
            </w:r>
            <w:r w:rsidR="00B42324" w:rsidRPr="00B42324">
              <w:rPr>
                <w:rFonts w:ascii="Times New Roman" w:hAnsi="Times New Roman" w:cs="Times New Roman"/>
                <w:sz w:val="20"/>
                <w:szCs w:val="20"/>
              </w:rPr>
              <w:t>812</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157</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15</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91,33</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7,91</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0,76</w:t>
            </w:r>
          </w:p>
        </w:tc>
      </w:tr>
      <w:tr w:rsidR="00B42324" w:rsidTr="003A31F2">
        <w:tc>
          <w:tcPr>
            <w:tcW w:w="426" w:type="dxa"/>
            <w:shd w:val="clear" w:color="auto" w:fill="FFF2CC" w:themeFill="accent4" w:themeFillTint="33"/>
            <w:vAlign w:val="center"/>
          </w:tcPr>
          <w:p w:rsidR="00B42324" w:rsidRPr="00B42324" w:rsidRDefault="00B42324" w:rsidP="00B42324">
            <w:pPr>
              <w:spacing w:line="276" w:lineRule="auto"/>
              <w:jc w:val="center"/>
              <w:rPr>
                <w:rFonts w:ascii="Times New Roman" w:hAnsi="Times New Roman" w:cs="Times New Roman"/>
                <w:sz w:val="20"/>
                <w:szCs w:val="20"/>
              </w:rPr>
            </w:pPr>
            <w:r w:rsidRPr="00B42324">
              <w:rPr>
                <w:rFonts w:ascii="Times New Roman" w:hAnsi="Times New Roman" w:cs="Times New Roman"/>
                <w:sz w:val="20"/>
                <w:szCs w:val="20"/>
              </w:rPr>
              <w:t>3</w:t>
            </w:r>
          </w:p>
        </w:tc>
        <w:tc>
          <w:tcPr>
            <w:tcW w:w="1560" w:type="dxa"/>
            <w:shd w:val="clear" w:color="auto" w:fill="FFF2CC" w:themeFill="accent4" w:themeFillTint="33"/>
            <w:vAlign w:val="center"/>
          </w:tcPr>
          <w:p w:rsidR="00B42324" w:rsidRPr="00B42324" w:rsidRDefault="00B42324" w:rsidP="00B42324">
            <w:pPr>
              <w:spacing w:line="276" w:lineRule="auto"/>
              <w:jc w:val="both"/>
              <w:rPr>
                <w:rFonts w:ascii="Times New Roman" w:hAnsi="Times New Roman" w:cs="Times New Roman"/>
                <w:sz w:val="20"/>
                <w:szCs w:val="20"/>
              </w:rPr>
            </w:pPr>
            <w:r w:rsidRPr="00B42324">
              <w:rPr>
                <w:rFonts w:ascii="Times New Roman" w:hAnsi="Times New Roman" w:cs="Times New Roman"/>
                <w:sz w:val="20"/>
                <w:szCs w:val="20"/>
                <w:lang w:val="en-US"/>
              </w:rPr>
              <w:t>Competenţa, performanţa</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1.941</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146</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5</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92,78</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6,98</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0,24</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726038" w:rsidP="00BC4177">
            <w:pPr>
              <w:spacing w:line="276" w:lineRule="auto"/>
              <w:jc w:val="right"/>
              <w:rPr>
                <w:rFonts w:ascii="Times New Roman" w:hAnsi="Times New Roman" w:cs="Times New Roman"/>
                <w:sz w:val="20"/>
                <w:szCs w:val="20"/>
              </w:rPr>
            </w:pPr>
            <w:r>
              <w:rPr>
                <w:rFonts w:ascii="Times New Roman" w:hAnsi="Times New Roman" w:cs="Times New Roman"/>
                <w:sz w:val="20"/>
                <w:szCs w:val="20"/>
              </w:rPr>
              <w:t>1.</w:t>
            </w:r>
            <w:r w:rsidR="00B42324" w:rsidRPr="00B42324">
              <w:rPr>
                <w:rFonts w:ascii="Times New Roman" w:hAnsi="Times New Roman" w:cs="Times New Roman"/>
                <w:sz w:val="20"/>
                <w:szCs w:val="20"/>
              </w:rPr>
              <w:t>858</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123</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3</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93,65</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6,20</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0,15</w:t>
            </w:r>
          </w:p>
        </w:tc>
      </w:tr>
      <w:tr w:rsidR="00B42324" w:rsidTr="003A31F2">
        <w:tc>
          <w:tcPr>
            <w:tcW w:w="426" w:type="dxa"/>
            <w:shd w:val="clear" w:color="auto" w:fill="FFF2CC" w:themeFill="accent4" w:themeFillTint="33"/>
            <w:vAlign w:val="center"/>
          </w:tcPr>
          <w:p w:rsidR="00B42324" w:rsidRPr="00B42324" w:rsidRDefault="00B42324" w:rsidP="00B42324">
            <w:pPr>
              <w:spacing w:line="276" w:lineRule="auto"/>
              <w:jc w:val="center"/>
              <w:rPr>
                <w:rFonts w:ascii="Times New Roman" w:hAnsi="Times New Roman" w:cs="Times New Roman"/>
                <w:sz w:val="20"/>
                <w:szCs w:val="20"/>
              </w:rPr>
            </w:pPr>
            <w:r w:rsidRPr="00B42324">
              <w:rPr>
                <w:rFonts w:ascii="Times New Roman" w:hAnsi="Times New Roman" w:cs="Times New Roman"/>
                <w:sz w:val="20"/>
                <w:szCs w:val="20"/>
              </w:rPr>
              <w:t>4</w:t>
            </w:r>
          </w:p>
        </w:tc>
        <w:tc>
          <w:tcPr>
            <w:tcW w:w="1560" w:type="dxa"/>
            <w:shd w:val="clear" w:color="auto" w:fill="FFF2CC" w:themeFill="accent4" w:themeFillTint="33"/>
            <w:vAlign w:val="center"/>
          </w:tcPr>
          <w:p w:rsidR="00B42324" w:rsidRPr="00B42324" w:rsidRDefault="00B42324" w:rsidP="00B42324">
            <w:pPr>
              <w:spacing w:line="276" w:lineRule="auto"/>
              <w:jc w:val="both"/>
              <w:rPr>
                <w:rFonts w:ascii="Times New Roman" w:hAnsi="Times New Roman" w:cs="Times New Roman"/>
                <w:sz w:val="20"/>
                <w:szCs w:val="20"/>
              </w:rPr>
            </w:pPr>
            <w:r w:rsidRPr="00B42324">
              <w:rPr>
                <w:rFonts w:ascii="Times New Roman" w:hAnsi="Times New Roman" w:cs="Times New Roman"/>
                <w:sz w:val="20"/>
                <w:szCs w:val="20"/>
                <w:lang w:val="en-US"/>
              </w:rPr>
              <w:t>Structura organizatorică</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1.978</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101</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13</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94,55</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4,83</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0,62</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726038" w:rsidP="00BC4177">
            <w:pPr>
              <w:spacing w:line="276" w:lineRule="auto"/>
              <w:jc w:val="right"/>
              <w:rPr>
                <w:rFonts w:ascii="Times New Roman" w:hAnsi="Times New Roman" w:cs="Times New Roman"/>
                <w:sz w:val="20"/>
                <w:szCs w:val="20"/>
              </w:rPr>
            </w:pPr>
            <w:r>
              <w:rPr>
                <w:rFonts w:ascii="Times New Roman" w:hAnsi="Times New Roman" w:cs="Times New Roman"/>
                <w:sz w:val="20"/>
                <w:szCs w:val="20"/>
              </w:rPr>
              <w:t>1.</w:t>
            </w:r>
            <w:r w:rsidR="00B42324" w:rsidRPr="00B42324">
              <w:rPr>
                <w:rFonts w:ascii="Times New Roman" w:hAnsi="Times New Roman" w:cs="Times New Roman"/>
                <w:sz w:val="20"/>
                <w:szCs w:val="20"/>
              </w:rPr>
              <w:t>899</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75</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10</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95,72</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3,78</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0,50</w:t>
            </w:r>
          </w:p>
        </w:tc>
      </w:tr>
      <w:tr w:rsidR="00B42324" w:rsidTr="003A31F2">
        <w:tc>
          <w:tcPr>
            <w:tcW w:w="426" w:type="dxa"/>
            <w:shd w:val="clear" w:color="auto" w:fill="FFF2CC" w:themeFill="accent4" w:themeFillTint="33"/>
            <w:vAlign w:val="center"/>
          </w:tcPr>
          <w:p w:rsidR="00B42324" w:rsidRPr="00B42324" w:rsidRDefault="00B42324" w:rsidP="00B42324">
            <w:pPr>
              <w:spacing w:line="276" w:lineRule="auto"/>
              <w:jc w:val="center"/>
              <w:rPr>
                <w:rFonts w:ascii="Times New Roman" w:hAnsi="Times New Roman" w:cs="Times New Roman"/>
                <w:sz w:val="20"/>
                <w:szCs w:val="20"/>
              </w:rPr>
            </w:pPr>
            <w:r w:rsidRPr="00B42324">
              <w:rPr>
                <w:rFonts w:ascii="Times New Roman" w:hAnsi="Times New Roman" w:cs="Times New Roman"/>
                <w:sz w:val="20"/>
                <w:szCs w:val="20"/>
              </w:rPr>
              <w:t>5</w:t>
            </w:r>
          </w:p>
        </w:tc>
        <w:tc>
          <w:tcPr>
            <w:tcW w:w="1560" w:type="dxa"/>
            <w:shd w:val="clear" w:color="auto" w:fill="FFF2CC" w:themeFill="accent4" w:themeFillTint="33"/>
            <w:vAlign w:val="center"/>
          </w:tcPr>
          <w:p w:rsidR="00B42324" w:rsidRPr="00B42324" w:rsidRDefault="00B42324" w:rsidP="00B42324">
            <w:pPr>
              <w:spacing w:line="276" w:lineRule="auto"/>
              <w:jc w:val="both"/>
              <w:rPr>
                <w:rFonts w:ascii="Times New Roman" w:hAnsi="Times New Roman" w:cs="Times New Roman"/>
                <w:sz w:val="20"/>
                <w:szCs w:val="20"/>
              </w:rPr>
            </w:pPr>
            <w:r w:rsidRPr="00B42324">
              <w:rPr>
                <w:rFonts w:ascii="Times New Roman" w:hAnsi="Times New Roman" w:cs="Times New Roman"/>
                <w:sz w:val="20"/>
                <w:szCs w:val="20"/>
                <w:lang w:val="en-US"/>
              </w:rPr>
              <w:t>Obiective</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1.937</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136</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19</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92,59</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6,50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0,91</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726038" w:rsidP="00BC4177">
            <w:pPr>
              <w:spacing w:line="276" w:lineRule="auto"/>
              <w:jc w:val="right"/>
              <w:rPr>
                <w:rFonts w:ascii="Times New Roman" w:hAnsi="Times New Roman" w:cs="Times New Roman"/>
                <w:sz w:val="20"/>
                <w:szCs w:val="20"/>
              </w:rPr>
            </w:pPr>
            <w:r>
              <w:rPr>
                <w:rFonts w:ascii="Times New Roman" w:hAnsi="Times New Roman" w:cs="Times New Roman"/>
                <w:sz w:val="20"/>
                <w:szCs w:val="20"/>
              </w:rPr>
              <w:t>1.</w:t>
            </w:r>
            <w:r w:rsidR="00B42324" w:rsidRPr="00B42324">
              <w:rPr>
                <w:rFonts w:ascii="Times New Roman" w:hAnsi="Times New Roman" w:cs="Times New Roman"/>
                <w:sz w:val="20"/>
                <w:szCs w:val="20"/>
              </w:rPr>
              <w:t>839</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132</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13</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92,69</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6,65</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0,66</w:t>
            </w:r>
          </w:p>
        </w:tc>
      </w:tr>
      <w:tr w:rsidR="00B42324" w:rsidTr="003A31F2">
        <w:tc>
          <w:tcPr>
            <w:tcW w:w="426" w:type="dxa"/>
            <w:shd w:val="clear" w:color="auto" w:fill="FFF2CC" w:themeFill="accent4" w:themeFillTint="33"/>
            <w:vAlign w:val="center"/>
          </w:tcPr>
          <w:p w:rsidR="00B42324" w:rsidRPr="00B42324" w:rsidRDefault="00B42324" w:rsidP="00B42324">
            <w:pPr>
              <w:spacing w:line="276" w:lineRule="auto"/>
              <w:jc w:val="center"/>
              <w:rPr>
                <w:rFonts w:ascii="Times New Roman" w:hAnsi="Times New Roman" w:cs="Times New Roman"/>
                <w:sz w:val="20"/>
                <w:szCs w:val="20"/>
              </w:rPr>
            </w:pPr>
            <w:r w:rsidRPr="00B42324">
              <w:rPr>
                <w:rFonts w:ascii="Times New Roman" w:hAnsi="Times New Roman" w:cs="Times New Roman"/>
                <w:sz w:val="20"/>
                <w:szCs w:val="20"/>
              </w:rPr>
              <w:t>6</w:t>
            </w:r>
          </w:p>
        </w:tc>
        <w:tc>
          <w:tcPr>
            <w:tcW w:w="1560" w:type="dxa"/>
            <w:shd w:val="clear" w:color="auto" w:fill="FFF2CC" w:themeFill="accent4" w:themeFillTint="33"/>
            <w:vAlign w:val="center"/>
          </w:tcPr>
          <w:p w:rsidR="00B42324" w:rsidRPr="00B42324" w:rsidRDefault="00B42324" w:rsidP="00B42324">
            <w:pPr>
              <w:spacing w:line="276" w:lineRule="auto"/>
              <w:jc w:val="both"/>
              <w:rPr>
                <w:rFonts w:ascii="Times New Roman" w:hAnsi="Times New Roman" w:cs="Times New Roman"/>
                <w:sz w:val="20"/>
                <w:szCs w:val="20"/>
                <w:lang w:val="en-US"/>
              </w:rPr>
            </w:pPr>
            <w:r w:rsidRPr="00B42324">
              <w:rPr>
                <w:rFonts w:ascii="Times New Roman" w:hAnsi="Times New Roman" w:cs="Times New Roman"/>
                <w:sz w:val="20"/>
                <w:szCs w:val="20"/>
                <w:lang w:val="en-US"/>
              </w:rPr>
              <w:t>Planificarea</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1.977</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101</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23</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94,10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4,81</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1,09</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726038" w:rsidP="00BC4177">
            <w:pPr>
              <w:spacing w:line="276" w:lineRule="auto"/>
              <w:jc w:val="right"/>
              <w:rPr>
                <w:rFonts w:ascii="Times New Roman" w:hAnsi="Times New Roman" w:cs="Times New Roman"/>
                <w:sz w:val="20"/>
                <w:szCs w:val="20"/>
              </w:rPr>
            </w:pPr>
            <w:r>
              <w:rPr>
                <w:rFonts w:ascii="Times New Roman" w:hAnsi="Times New Roman" w:cs="Times New Roman"/>
                <w:sz w:val="20"/>
                <w:szCs w:val="20"/>
              </w:rPr>
              <w:t>1.</w:t>
            </w:r>
            <w:r w:rsidR="00B42324" w:rsidRPr="00B42324">
              <w:rPr>
                <w:rFonts w:ascii="Times New Roman" w:hAnsi="Times New Roman" w:cs="Times New Roman"/>
                <w:sz w:val="20"/>
                <w:szCs w:val="20"/>
              </w:rPr>
              <w:t>895</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82</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7</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95,51</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4,13</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0,35</w:t>
            </w:r>
          </w:p>
        </w:tc>
      </w:tr>
      <w:tr w:rsidR="00B42324" w:rsidTr="003A31F2">
        <w:tc>
          <w:tcPr>
            <w:tcW w:w="426" w:type="dxa"/>
            <w:shd w:val="clear" w:color="auto" w:fill="FFF2CC" w:themeFill="accent4" w:themeFillTint="33"/>
            <w:vAlign w:val="center"/>
          </w:tcPr>
          <w:p w:rsidR="00B42324" w:rsidRPr="00B42324" w:rsidRDefault="00B42324" w:rsidP="00B42324">
            <w:pPr>
              <w:spacing w:line="276" w:lineRule="auto"/>
              <w:jc w:val="center"/>
              <w:rPr>
                <w:rFonts w:ascii="Times New Roman" w:hAnsi="Times New Roman" w:cs="Times New Roman"/>
                <w:sz w:val="20"/>
                <w:szCs w:val="20"/>
              </w:rPr>
            </w:pPr>
            <w:r w:rsidRPr="00B42324">
              <w:rPr>
                <w:rFonts w:ascii="Times New Roman" w:hAnsi="Times New Roman" w:cs="Times New Roman"/>
                <w:sz w:val="20"/>
                <w:szCs w:val="20"/>
              </w:rPr>
              <w:t>7</w:t>
            </w:r>
          </w:p>
        </w:tc>
        <w:tc>
          <w:tcPr>
            <w:tcW w:w="1560" w:type="dxa"/>
            <w:shd w:val="clear" w:color="auto" w:fill="FFF2CC" w:themeFill="accent4" w:themeFillTint="33"/>
            <w:vAlign w:val="center"/>
          </w:tcPr>
          <w:p w:rsidR="00B42324" w:rsidRPr="00B42324" w:rsidRDefault="00B42324" w:rsidP="00B42324">
            <w:pPr>
              <w:spacing w:line="276" w:lineRule="auto"/>
              <w:jc w:val="both"/>
              <w:rPr>
                <w:rFonts w:ascii="Times New Roman" w:hAnsi="Times New Roman" w:cs="Times New Roman"/>
                <w:sz w:val="20"/>
                <w:szCs w:val="20"/>
              </w:rPr>
            </w:pPr>
            <w:r w:rsidRPr="00B42324">
              <w:rPr>
                <w:rFonts w:ascii="Times New Roman" w:hAnsi="Times New Roman" w:cs="Times New Roman"/>
                <w:sz w:val="20"/>
                <w:szCs w:val="20"/>
                <w:lang w:val="en-US"/>
              </w:rPr>
              <w:t>Monitorizarea performanţelor</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1.851</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183</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58</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88,48</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8,75</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2,77</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726038" w:rsidP="00BC4177">
            <w:pPr>
              <w:spacing w:line="276" w:lineRule="auto"/>
              <w:jc w:val="right"/>
              <w:rPr>
                <w:rFonts w:ascii="Times New Roman" w:hAnsi="Times New Roman" w:cs="Times New Roman"/>
                <w:sz w:val="20"/>
                <w:szCs w:val="20"/>
              </w:rPr>
            </w:pPr>
            <w:r>
              <w:rPr>
                <w:rFonts w:ascii="Times New Roman" w:hAnsi="Times New Roman" w:cs="Times New Roman"/>
                <w:sz w:val="20"/>
                <w:szCs w:val="20"/>
              </w:rPr>
              <w:t>1.</w:t>
            </w:r>
            <w:r w:rsidR="00B42324" w:rsidRPr="00B42324">
              <w:rPr>
                <w:rFonts w:ascii="Times New Roman" w:hAnsi="Times New Roman" w:cs="Times New Roman"/>
                <w:sz w:val="20"/>
                <w:szCs w:val="20"/>
              </w:rPr>
              <w:t>770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173</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41</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89,21</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8,72</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2,07</w:t>
            </w:r>
          </w:p>
        </w:tc>
      </w:tr>
      <w:tr w:rsidR="00B42324" w:rsidTr="003A31F2">
        <w:tc>
          <w:tcPr>
            <w:tcW w:w="426" w:type="dxa"/>
            <w:shd w:val="clear" w:color="auto" w:fill="FFF2CC" w:themeFill="accent4" w:themeFillTint="33"/>
            <w:vAlign w:val="center"/>
          </w:tcPr>
          <w:p w:rsidR="00B42324" w:rsidRPr="00B42324" w:rsidRDefault="00B42324" w:rsidP="00B42324">
            <w:pPr>
              <w:spacing w:line="276" w:lineRule="auto"/>
              <w:jc w:val="center"/>
              <w:rPr>
                <w:rFonts w:ascii="Times New Roman" w:hAnsi="Times New Roman" w:cs="Times New Roman"/>
                <w:sz w:val="20"/>
                <w:szCs w:val="20"/>
              </w:rPr>
            </w:pPr>
            <w:r w:rsidRPr="00B42324">
              <w:rPr>
                <w:rFonts w:ascii="Times New Roman" w:hAnsi="Times New Roman" w:cs="Times New Roman"/>
                <w:sz w:val="20"/>
                <w:szCs w:val="20"/>
              </w:rPr>
              <w:t>8</w:t>
            </w:r>
          </w:p>
        </w:tc>
        <w:tc>
          <w:tcPr>
            <w:tcW w:w="1560" w:type="dxa"/>
            <w:shd w:val="clear" w:color="auto" w:fill="FFF2CC" w:themeFill="accent4" w:themeFillTint="33"/>
            <w:vAlign w:val="center"/>
          </w:tcPr>
          <w:p w:rsidR="00B42324" w:rsidRPr="00B42324" w:rsidRDefault="00B42324" w:rsidP="00B42324">
            <w:pPr>
              <w:tabs>
                <w:tab w:val="left" w:pos="975"/>
              </w:tabs>
              <w:spacing w:line="276" w:lineRule="auto"/>
              <w:jc w:val="both"/>
              <w:rPr>
                <w:rFonts w:ascii="Times New Roman" w:hAnsi="Times New Roman" w:cs="Times New Roman"/>
                <w:sz w:val="20"/>
                <w:szCs w:val="20"/>
                <w:lang w:val="en-US"/>
              </w:rPr>
            </w:pPr>
            <w:r w:rsidRPr="00B42324">
              <w:rPr>
                <w:rFonts w:ascii="Times New Roman" w:hAnsi="Times New Roman" w:cs="Times New Roman"/>
                <w:sz w:val="20"/>
                <w:szCs w:val="20"/>
                <w:lang w:val="en-US"/>
              </w:rPr>
              <w:t>Managementul riscului</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1.639</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360</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93</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78,35</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17,21</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4,45</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726038" w:rsidP="00BC4177">
            <w:pPr>
              <w:spacing w:line="276" w:lineRule="auto"/>
              <w:jc w:val="right"/>
              <w:rPr>
                <w:rFonts w:ascii="Times New Roman" w:hAnsi="Times New Roman" w:cs="Times New Roman"/>
                <w:sz w:val="20"/>
                <w:szCs w:val="20"/>
              </w:rPr>
            </w:pPr>
            <w:r>
              <w:rPr>
                <w:rFonts w:ascii="Times New Roman" w:hAnsi="Times New Roman" w:cs="Times New Roman"/>
                <w:sz w:val="20"/>
                <w:szCs w:val="20"/>
              </w:rPr>
              <w:t>1.</w:t>
            </w:r>
            <w:r w:rsidR="00B42324" w:rsidRPr="00B42324">
              <w:rPr>
                <w:rFonts w:ascii="Times New Roman" w:hAnsi="Times New Roman" w:cs="Times New Roman"/>
                <w:sz w:val="20"/>
                <w:szCs w:val="20"/>
              </w:rPr>
              <w:t>608</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312</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64</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81,05</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15,73</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3,23</w:t>
            </w:r>
          </w:p>
        </w:tc>
      </w:tr>
      <w:tr w:rsidR="00B42324" w:rsidTr="003A31F2">
        <w:tc>
          <w:tcPr>
            <w:tcW w:w="426" w:type="dxa"/>
            <w:shd w:val="clear" w:color="auto" w:fill="FFF2CC" w:themeFill="accent4" w:themeFillTint="33"/>
            <w:vAlign w:val="center"/>
          </w:tcPr>
          <w:p w:rsidR="00B42324" w:rsidRPr="00B42324" w:rsidRDefault="00B42324" w:rsidP="00B42324">
            <w:pPr>
              <w:spacing w:line="276" w:lineRule="auto"/>
              <w:jc w:val="center"/>
              <w:rPr>
                <w:rFonts w:ascii="Times New Roman" w:hAnsi="Times New Roman" w:cs="Times New Roman"/>
                <w:sz w:val="20"/>
                <w:szCs w:val="20"/>
              </w:rPr>
            </w:pPr>
            <w:r w:rsidRPr="00B42324">
              <w:rPr>
                <w:rFonts w:ascii="Times New Roman" w:hAnsi="Times New Roman" w:cs="Times New Roman"/>
                <w:sz w:val="20"/>
                <w:szCs w:val="20"/>
              </w:rPr>
              <w:t>9</w:t>
            </w:r>
          </w:p>
        </w:tc>
        <w:tc>
          <w:tcPr>
            <w:tcW w:w="1560" w:type="dxa"/>
            <w:shd w:val="clear" w:color="auto" w:fill="FFF2CC" w:themeFill="accent4" w:themeFillTint="33"/>
            <w:vAlign w:val="center"/>
          </w:tcPr>
          <w:p w:rsidR="00B42324" w:rsidRPr="00B42324" w:rsidRDefault="00B42324" w:rsidP="00B42324">
            <w:pPr>
              <w:spacing w:line="276" w:lineRule="auto"/>
              <w:rPr>
                <w:rFonts w:ascii="Times New Roman" w:hAnsi="Times New Roman" w:cs="Times New Roman"/>
                <w:sz w:val="20"/>
                <w:szCs w:val="20"/>
                <w:lang w:val="en-US"/>
              </w:rPr>
            </w:pPr>
            <w:r w:rsidRPr="00B42324">
              <w:rPr>
                <w:rFonts w:ascii="Times New Roman" w:hAnsi="Times New Roman" w:cs="Times New Roman"/>
                <w:sz w:val="20"/>
                <w:szCs w:val="20"/>
                <w:lang w:val="en-US"/>
              </w:rPr>
              <w:t>Proceduri</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1.706</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367</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19</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81,55</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17,54</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0,91</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726038" w:rsidP="00BC4177">
            <w:pPr>
              <w:spacing w:line="276" w:lineRule="auto"/>
              <w:jc w:val="right"/>
              <w:rPr>
                <w:rFonts w:ascii="Times New Roman" w:hAnsi="Times New Roman" w:cs="Times New Roman"/>
                <w:sz w:val="20"/>
                <w:szCs w:val="20"/>
              </w:rPr>
            </w:pPr>
            <w:r>
              <w:rPr>
                <w:rFonts w:ascii="Times New Roman" w:hAnsi="Times New Roman" w:cs="Times New Roman"/>
                <w:sz w:val="20"/>
                <w:szCs w:val="20"/>
              </w:rPr>
              <w:t>1.</w:t>
            </w:r>
            <w:r w:rsidR="00B42324" w:rsidRPr="00B42324">
              <w:rPr>
                <w:rFonts w:ascii="Times New Roman" w:hAnsi="Times New Roman" w:cs="Times New Roman"/>
                <w:sz w:val="20"/>
                <w:szCs w:val="20"/>
              </w:rPr>
              <w:t>645</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317</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22</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82,91</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15,98</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1,11</w:t>
            </w:r>
          </w:p>
        </w:tc>
      </w:tr>
      <w:tr w:rsidR="00B42324" w:rsidTr="003A31F2">
        <w:tc>
          <w:tcPr>
            <w:tcW w:w="426" w:type="dxa"/>
            <w:shd w:val="clear" w:color="auto" w:fill="FFF2CC" w:themeFill="accent4" w:themeFillTint="33"/>
            <w:vAlign w:val="center"/>
          </w:tcPr>
          <w:p w:rsidR="00B42324" w:rsidRPr="00B42324" w:rsidRDefault="00B42324" w:rsidP="00B42324">
            <w:pPr>
              <w:spacing w:line="276" w:lineRule="auto"/>
              <w:jc w:val="center"/>
              <w:rPr>
                <w:rFonts w:ascii="Times New Roman" w:hAnsi="Times New Roman" w:cs="Times New Roman"/>
                <w:sz w:val="20"/>
                <w:szCs w:val="20"/>
              </w:rPr>
            </w:pPr>
            <w:r w:rsidRPr="00B42324">
              <w:rPr>
                <w:rFonts w:ascii="Times New Roman" w:hAnsi="Times New Roman" w:cs="Times New Roman"/>
                <w:sz w:val="20"/>
                <w:szCs w:val="20"/>
              </w:rPr>
              <w:t>10</w:t>
            </w:r>
          </w:p>
        </w:tc>
        <w:tc>
          <w:tcPr>
            <w:tcW w:w="1560" w:type="dxa"/>
            <w:shd w:val="clear" w:color="auto" w:fill="FFF2CC" w:themeFill="accent4" w:themeFillTint="33"/>
            <w:vAlign w:val="center"/>
          </w:tcPr>
          <w:p w:rsidR="00B42324" w:rsidRPr="00B42324" w:rsidRDefault="00B42324" w:rsidP="00B42324">
            <w:pPr>
              <w:spacing w:line="276" w:lineRule="auto"/>
              <w:jc w:val="both"/>
              <w:rPr>
                <w:rFonts w:ascii="Times New Roman" w:hAnsi="Times New Roman" w:cs="Times New Roman"/>
                <w:sz w:val="20"/>
                <w:szCs w:val="20"/>
                <w:lang w:val="en-US"/>
              </w:rPr>
            </w:pPr>
            <w:r w:rsidRPr="00B42324">
              <w:rPr>
                <w:rFonts w:ascii="Times New Roman" w:hAnsi="Times New Roman" w:cs="Times New Roman"/>
                <w:sz w:val="20"/>
                <w:szCs w:val="20"/>
                <w:lang w:val="en-US"/>
              </w:rPr>
              <w:t>Supravegherea</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1.827</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248</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15</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87,42</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11,87</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0,72</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726038" w:rsidP="00BC4177">
            <w:pPr>
              <w:spacing w:line="276" w:lineRule="auto"/>
              <w:jc w:val="right"/>
              <w:rPr>
                <w:rFonts w:ascii="Times New Roman" w:hAnsi="Times New Roman" w:cs="Times New Roman"/>
                <w:sz w:val="20"/>
                <w:szCs w:val="20"/>
              </w:rPr>
            </w:pPr>
            <w:r>
              <w:rPr>
                <w:rFonts w:ascii="Times New Roman" w:hAnsi="Times New Roman" w:cs="Times New Roman"/>
                <w:sz w:val="20"/>
                <w:szCs w:val="20"/>
              </w:rPr>
              <w:t>1.</w:t>
            </w:r>
            <w:r w:rsidR="00B42324" w:rsidRPr="00B42324">
              <w:rPr>
                <w:rFonts w:ascii="Times New Roman" w:hAnsi="Times New Roman" w:cs="Times New Roman"/>
                <w:sz w:val="20"/>
                <w:szCs w:val="20"/>
              </w:rPr>
              <w:t>781</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196</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7</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89,77</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9,88</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0,35</w:t>
            </w:r>
          </w:p>
        </w:tc>
      </w:tr>
      <w:tr w:rsidR="00B42324" w:rsidTr="003A31F2">
        <w:tc>
          <w:tcPr>
            <w:tcW w:w="426" w:type="dxa"/>
            <w:shd w:val="clear" w:color="auto" w:fill="FFF2CC" w:themeFill="accent4" w:themeFillTint="33"/>
            <w:vAlign w:val="center"/>
          </w:tcPr>
          <w:p w:rsidR="00B42324" w:rsidRPr="00B42324" w:rsidRDefault="00B42324" w:rsidP="00B42324">
            <w:pPr>
              <w:spacing w:line="276" w:lineRule="auto"/>
              <w:jc w:val="center"/>
              <w:rPr>
                <w:rFonts w:ascii="Times New Roman" w:hAnsi="Times New Roman" w:cs="Times New Roman"/>
                <w:sz w:val="20"/>
                <w:szCs w:val="20"/>
              </w:rPr>
            </w:pPr>
            <w:r w:rsidRPr="00B42324">
              <w:rPr>
                <w:rFonts w:ascii="Times New Roman" w:hAnsi="Times New Roman" w:cs="Times New Roman"/>
                <w:sz w:val="20"/>
                <w:szCs w:val="20"/>
              </w:rPr>
              <w:t>11</w:t>
            </w:r>
          </w:p>
        </w:tc>
        <w:tc>
          <w:tcPr>
            <w:tcW w:w="1560" w:type="dxa"/>
            <w:shd w:val="clear" w:color="auto" w:fill="FFF2CC" w:themeFill="accent4" w:themeFillTint="33"/>
            <w:vAlign w:val="center"/>
          </w:tcPr>
          <w:p w:rsidR="00B42324" w:rsidRPr="00B42324" w:rsidRDefault="00B42324" w:rsidP="00B42324">
            <w:pPr>
              <w:spacing w:line="276" w:lineRule="auto"/>
              <w:jc w:val="both"/>
              <w:rPr>
                <w:rFonts w:ascii="Times New Roman" w:hAnsi="Times New Roman" w:cs="Times New Roman"/>
                <w:sz w:val="20"/>
                <w:szCs w:val="20"/>
              </w:rPr>
            </w:pPr>
            <w:r w:rsidRPr="00B42324">
              <w:rPr>
                <w:rFonts w:ascii="Times New Roman" w:hAnsi="Times New Roman" w:cs="Times New Roman"/>
                <w:sz w:val="20"/>
                <w:szCs w:val="20"/>
                <w:lang w:val="en-US"/>
              </w:rPr>
              <w:t>Continuitatea activităţii</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1.855</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182</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55</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88,67</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8,70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2,63</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726038" w:rsidP="00BC4177">
            <w:pPr>
              <w:spacing w:line="276" w:lineRule="auto"/>
              <w:jc w:val="right"/>
              <w:rPr>
                <w:rFonts w:ascii="Times New Roman" w:hAnsi="Times New Roman" w:cs="Times New Roman"/>
                <w:sz w:val="20"/>
                <w:szCs w:val="20"/>
              </w:rPr>
            </w:pPr>
            <w:r>
              <w:rPr>
                <w:rFonts w:ascii="Times New Roman" w:hAnsi="Times New Roman" w:cs="Times New Roman"/>
                <w:sz w:val="20"/>
                <w:szCs w:val="20"/>
              </w:rPr>
              <w:t>1.</w:t>
            </w:r>
            <w:r w:rsidR="00B42324" w:rsidRPr="00B42324">
              <w:rPr>
                <w:rFonts w:ascii="Times New Roman" w:hAnsi="Times New Roman" w:cs="Times New Roman"/>
                <w:sz w:val="20"/>
                <w:szCs w:val="20"/>
              </w:rPr>
              <w:t>773</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177</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34</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89,36</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8,92</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1,71</w:t>
            </w:r>
          </w:p>
        </w:tc>
      </w:tr>
      <w:tr w:rsidR="00B42324" w:rsidTr="003A31F2">
        <w:tc>
          <w:tcPr>
            <w:tcW w:w="426" w:type="dxa"/>
            <w:shd w:val="clear" w:color="auto" w:fill="FFF2CC" w:themeFill="accent4" w:themeFillTint="33"/>
            <w:vAlign w:val="center"/>
          </w:tcPr>
          <w:p w:rsidR="00B42324" w:rsidRPr="00B42324" w:rsidRDefault="00B42324" w:rsidP="00B42324">
            <w:pPr>
              <w:spacing w:line="276" w:lineRule="auto"/>
              <w:jc w:val="center"/>
              <w:rPr>
                <w:rFonts w:ascii="Times New Roman" w:hAnsi="Times New Roman" w:cs="Times New Roman"/>
                <w:sz w:val="20"/>
                <w:szCs w:val="20"/>
              </w:rPr>
            </w:pPr>
            <w:r w:rsidRPr="00B42324">
              <w:rPr>
                <w:rFonts w:ascii="Times New Roman" w:hAnsi="Times New Roman" w:cs="Times New Roman"/>
                <w:sz w:val="20"/>
                <w:szCs w:val="20"/>
              </w:rPr>
              <w:t>12</w:t>
            </w:r>
          </w:p>
        </w:tc>
        <w:tc>
          <w:tcPr>
            <w:tcW w:w="1560" w:type="dxa"/>
            <w:shd w:val="clear" w:color="auto" w:fill="FFF2CC" w:themeFill="accent4" w:themeFillTint="33"/>
            <w:vAlign w:val="center"/>
          </w:tcPr>
          <w:p w:rsidR="00B42324" w:rsidRPr="00B42324" w:rsidRDefault="00B42324" w:rsidP="00B42324">
            <w:pPr>
              <w:spacing w:line="276" w:lineRule="auto"/>
              <w:jc w:val="both"/>
              <w:rPr>
                <w:rFonts w:ascii="Times New Roman" w:hAnsi="Times New Roman" w:cs="Times New Roman"/>
                <w:sz w:val="20"/>
                <w:szCs w:val="20"/>
              </w:rPr>
            </w:pPr>
            <w:r w:rsidRPr="00B42324">
              <w:rPr>
                <w:rFonts w:ascii="Times New Roman" w:hAnsi="Times New Roman" w:cs="Times New Roman"/>
                <w:sz w:val="20"/>
                <w:szCs w:val="20"/>
                <w:lang w:val="en-US"/>
              </w:rPr>
              <w:t>Informarea şi comunicarea</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1.985</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96</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11</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94,89</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4,59</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0,53</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726038" w:rsidP="00BC4177">
            <w:pPr>
              <w:spacing w:line="276" w:lineRule="auto"/>
              <w:jc w:val="right"/>
              <w:rPr>
                <w:rFonts w:ascii="Times New Roman" w:hAnsi="Times New Roman" w:cs="Times New Roman"/>
                <w:sz w:val="20"/>
                <w:szCs w:val="20"/>
              </w:rPr>
            </w:pPr>
            <w:r>
              <w:rPr>
                <w:rFonts w:ascii="Times New Roman" w:hAnsi="Times New Roman" w:cs="Times New Roman"/>
                <w:sz w:val="20"/>
                <w:szCs w:val="20"/>
              </w:rPr>
              <w:t>1.</w:t>
            </w:r>
            <w:r w:rsidR="00B42324" w:rsidRPr="00B42324">
              <w:rPr>
                <w:rFonts w:ascii="Times New Roman" w:hAnsi="Times New Roman" w:cs="Times New Roman"/>
                <w:sz w:val="20"/>
                <w:szCs w:val="20"/>
              </w:rPr>
              <w:t>903</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78</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3</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95,92</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3,93</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0,15</w:t>
            </w:r>
          </w:p>
        </w:tc>
      </w:tr>
      <w:tr w:rsidR="00B42324" w:rsidTr="003A31F2">
        <w:tc>
          <w:tcPr>
            <w:tcW w:w="426" w:type="dxa"/>
            <w:shd w:val="clear" w:color="auto" w:fill="FFF2CC" w:themeFill="accent4" w:themeFillTint="33"/>
            <w:vAlign w:val="center"/>
          </w:tcPr>
          <w:p w:rsidR="00B42324" w:rsidRPr="00B42324" w:rsidRDefault="00B42324" w:rsidP="00B42324">
            <w:pPr>
              <w:spacing w:line="276" w:lineRule="auto"/>
              <w:jc w:val="center"/>
              <w:rPr>
                <w:rFonts w:ascii="Times New Roman" w:hAnsi="Times New Roman" w:cs="Times New Roman"/>
                <w:sz w:val="20"/>
                <w:szCs w:val="20"/>
              </w:rPr>
            </w:pPr>
            <w:r w:rsidRPr="00B42324">
              <w:rPr>
                <w:rFonts w:ascii="Times New Roman" w:hAnsi="Times New Roman" w:cs="Times New Roman"/>
                <w:sz w:val="20"/>
                <w:szCs w:val="20"/>
              </w:rPr>
              <w:t>13</w:t>
            </w:r>
          </w:p>
        </w:tc>
        <w:tc>
          <w:tcPr>
            <w:tcW w:w="1560" w:type="dxa"/>
            <w:shd w:val="clear" w:color="auto" w:fill="FFF2CC" w:themeFill="accent4" w:themeFillTint="33"/>
            <w:vAlign w:val="center"/>
          </w:tcPr>
          <w:p w:rsidR="00B42324" w:rsidRPr="00B42324" w:rsidRDefault="00B42324" w:rsidP="00B42324">
            <w:pPr>
              <w:spacing w:line="276" w:lineRule="auto"/>
              <w:jc w:val="both"/>
              <w:rPr>
                <w:rFonts w:ascii="Times New Roman" w:hAnsi="Times New Roman" w:cs="Times New Roman"/>
                <w:sz w:val="20"/>
                <w:szCs w:val="20"/>
                <w:lang w:val="en-US"/>
              </w:rPr>
            </w:pPr>
            <w:r w:rsidRPr="00B42324">
              <w:rPr>
                <w:rFonts w:ascii="Times New Roman" w:hAnsi="Times New Roman" w:cs="Times New Roman"/>
                <w:sz w:val="20"/>
                <w:szCs w:val="20"/>
                <w:lang w:val="en-US"/>
              </w:rPr>
              <w:t>Gestionarea documentelor</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1.890</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172</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30</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90,34</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8,22</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1,43</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726038" w:rsidP="00BC4177">
            <w:pPr>
              <w:spacing w:line="276" w:lineRule="auto"/>
              <w:jc w:val="right"/>
              <w:rPr>
                <w:rFonts w:ascii="Times New Roman" w:hAnsi="Times New Roman" w:cs="Times New Roman"/>
                <w:sz w:val="20"/>
                <w:szCs w:val="20"/>
              </w:rPr>
            </w:pPr>
            <w:r>
              <w:rPr>
                <w:rFonts w:ascii="Times New Roman" w:hAnsi="Times New Roman" w:cs="Times New Roman"/>
                <w:sz w:val="20"/>
                <w:szCs w:val="20"/>
              </w:rPr>
              <w:t>1.</w:t>
            </w:r>
            <w:r w:rsidR="00B42324" w:rsidRPr="00B42324">
              <w:rPr>
                <w:rFonts w:ascii="Times New Roman" w:hAnsi="Times New Roman" w:cs="Times New Roman"/>
                <w:sz w:val="20"/>
                <w:szCs w:val="20"/>
              </w:rPr>
              <w:t>817</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148</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19</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91,58</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7,46</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0,96</w:t>
            </w:r>
          </w:p>
        </w:tc>
      </w:tr>
      <w:tr w:rsidR="00B42324" w:rsidTr="003A31F2">
        <w:trPr>
          <w:trHeight w:val="574"/>
        </w:trPr>
        <w:tc>
          <w:tcPr>
            <w:tcW w:w="426" w:type="dxa"/>
            <w:shd w:val="clear" w:color="auto" w:fill="FFF2CC" w:themeFill="accent4" w:themeFillTint="33"/>
            <w:vAlign w:val="center"/>
          </w:tcPr>
          <w:p w:rsidR="00B42324" w:rsidRPr="00B42324" w:rsidRDefault="00B42324" w:rsidP="00B42324">
            <w:pPr>
              <w:tabs>
                <w:tab w:val="left" w:pos="2010"/>
              </w:tabs>
              <w:spacing w:line="276" w:lineRule="auto"/>
              <w:jc w:val="center"/>
              <w:rPr>
                <w:rFonts w:ascii="Times New Roman" w:hAnsi="Times New Roman" w:cs="Times New Roman"/>
                <w:sz w:val="20"/>
                <w:szCs w:val="20"/>
              </w:rPr>
            </w:pPr>
            <w:r w:rsidRPr="00B42324">
              <w:rPr>
                <w:rFonts w:ascii="Times New Roman" w:hAnsi="Times New Roman" w:cs="Times New Roman"/>
                <w:sz w:val="20"/>
                <w:szCs w:val="20"/>
              </w:rPr>
              <w:t>14</w:t>
            </w:r>
          </w:p>
        </w:tc>
        <w:tc>
          <w:tcPr>
            <w:tcW w:w="1560" w:type="dxa"/>
            <w:shd w:val="clear" w:color="auto" w:fill="FFF2CC" w:themeFill="accent4" w:themeFillTint="33"/>
            <w:vAlign w:val="center"/>
          </w:tcPr>
          <w:p w:rsidR="00B42324" w:rsidRPr="00B42324" w:rsidRDefault="00B42324" w:rsidP="00B42324">
            <w:pPr>
              <w:spacing w:line="276" w:lineRule="auto"/>
              <w:jc w:val="both"/>
              <w:rPr>
                <w:rFonts w:ascii="Times New Roman" w:hAnsi="Times New Roman" w:cs="Times New Roman"/>
                <w:sz w:val="20"/>
                <w:szCs w:val="20"/>
              </w:rPr>
            </w:pPr>
            <w:r w:rsidRPr="00B42324">
              <w:rPr>
                <w:rFonts w:ascii="Times New Roman" w:hAnsi="Times New Roman" w:cs="Times New Roman"/>
                <w:sz w:val="20"/>
                <w:szCs w:val="20"/>
                <w:lang w:val="en-US"/>
              </w:rPr>
              <w:t>Raportarea contabilă şi financiară</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1.987</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92</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14</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94,94</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4,40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0,67</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726038" w:rsidP="00BC4177">
            <w:pPr>
              <w:spacing w:line="276" w:lineRule="auto"/>
              <w:jc w:val="right"/>
              <w:rPr>
                <w:rFonts w:ascii="Times New Roman" w:hAnsi="Times New Roman" w:cs="Times New Roman"/>
                <w:sz w:val="20"/>
                <w:szCs w:val="20"/>
              </w:rPr>
            </w:pPr>
            <w:r>
              <w:rPr>
                <w:rFonts w:ascii="Times New Roman" w:hAnsi="Times New Roman" w:cs="Times New Roman"/>
                <w:sz w:val="20"/>
                <w:szCs w:val="20"/>
              </w:rPr>
              <w:t>1.</w:t>
            </w:r>
            <w:r w:rsidR="00B42324" w:rsidRPr="00B42324">
              <w:rPr>
                <w:rFonts w:ascii="Times New Roman" w:hAnsi="Times New Roman" w:cs="Times New Roman"/>
                <w:sz w:val="20"/>
                <w:szCs w:val="20"/>
              </w:rPr>
              <w:t>905</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75</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5</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95,97</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3,78</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0,25</w:t>
            </w:r>
          </w:p>
        </w:tc>
      </w:tr>
      <w:tr w:rsidR="00B42324" w:rsidTr="003A31F2">
        <w:tc>
          <w:tcPr>
            <w:tcW w:w="426" w:type="dxa"/>
            <w:shd w:val="clear" w:color="auto" w:fill="FFF2CC" w:themeFill="accent4" w:themeFillTint="33"/>
            <w:vAlign w:val="center"/>
          </w:tcPr>
          <w:p w:rsidR="00B42324" w:rsidRPr="00B42324" w:rsidRDefault="00B42324" w:rsidP="00B42324">
            <w:pPr>
              <w:spacing w:line="276" w:lineRule="auto"/>
              <w:jc w:val="center"/>
              <w:rPr>
                <w:rFonts w:ascii="Times New Roman" w:hAnsi="Times New Roman" w:cs="Times New Roman"/>
                <w:sz w:val="20"/>
                <w:szCs w:val="20"/>
              </w:rPr>
            </w:pPr>
            <w:r w:rsidRPr="00B42324">
              <w:rPr>
                <w:rFonts w:ascii="Times New Roman" w:hAnsi="Times New Roman" w:cs="Times New Roman"/>
                <w:sz w:val="20"/>
                <w:szCs w:val="20"/>
              </w:rPr>
              <w:t>15</w:t>
            </w:r>
          </w:p>
        </w:tc>
        <w:tc>
          <w:tcPr>
            <w:tcW w:w="1560" w:type="dxa"/>
            <w:shd w:val="clear" w:color="auto" w:fill="FFF2CC" w:themeFill="accent4" w:themeFillTint="33"/>
            <w:vAlign w:val="center"/>
          </w:tcPr>
          <w:p w:rsidR="00B42324" w:rsidRPr="00B42324" w:rsidRDefault="00B42324" w:rsidP="00B42324">
            <w:pPr>
              <w:spacing w:line="276" w:lineRule="auto"/>
              <w:jc w:val="both"/>
              <w:rPr>
                <w:rFonts w:ascii="Times New Roman" w:hAnsi="Times New Roman" w:cs="Times New Roman"/>
                <w:sz w:val="20"/>
                <w:szCs w:val="20"/>
              </w:rPr>
            </w:pPr>
            <w:r w:rsidRPr="00B42324">
              <w:rPr>
                <w:rFonts w:ascii="Times New Roman" w:hAnsi="Times New Roman" w:cs="Times New Roman"/>
                <w:sz w:val="20"/>
                <w:szCs w:val="20"/>
                <w:lang w:val="en-US"/>
              </w:rPr>
              <w:t>Evaluarea sistemului de control intern managerial</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1.910</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155</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27</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91,30</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7,41</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1,29</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726038" w:rsidP="00BC4177">
            <w:pPr>
              <w:spacing w:line="276" w:lineRule="auto"/>
              <w:jc w:val="right"/>
              <w:rPr>
                <w:rFonts w:ascii="Times New Roman" w:hAnsi="Times New Roman" w:cs="Times New Roman"/>
                <w:sz w:val="20"/>
                <w:szCs w:val="20"/>
              </w:rPr>
            </w:pPr>
            <w:r>
              <w:rPr>
                <w:rFonts w:ascii="Times New Roman" w:hAnsi="Times New Roman" w:cs="Times New Roman"/>
                <w:sz w:val="20"/>
                <w:szCs w:val="20"/>
              </w:rPr>
              <w:t>1.</w:t>
            </w:r>
            <w:r w:rsidR="00B42324" w:rsidRPr="00B42324">
              <w:rPr>
                <w:rFonts w:ascii="Times New Roman" w:hAnsi="Times New Roman" w:cs="Times New Roman"/>
                <w:sz w:val="20"/>
                <w:szCs w:val="20"/>
              </w:rPr>
              <w:t>845</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119</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20</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92,99</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6,00</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1,01</w:t>
            </w:r>
          </w:p>
        </w:tc>
      </w:tr>
      <w:tr w:rsidR="00B42324" w:rsidTr="003A31F2">
        <w:tc>
          <w:tcPr>
            <w:tcW w:w="426" w:type="dxa"/>
            <w:shd w:val="clear" w:color="auto" w:fill="FFF2CC" w:themeFill="accent4" w:themeFillTint="33"/>
            <w:vAlign w:val="center"/>
          </w:tcPr>
          <w:p w:rsidR="00B42324" w:rsidRPr="00B42324" w:rsidRDefault="00B42324" w:rsidP="00B42324">
            <w:pPr>
              <w:spacing w:line="276" w:lineRule="auto"/>
              <w:jc w:val="center"/>
              <w:rPr>
                <w:rFonts w:ascii="Times New Roman" w:hAnsi="Times New Roman" w:cs="Times New Roman"/>
                <w:sz w:val="20"/>
                <w:szCs w:val="20"/>
              </w:rPr>
            </w:pPr>
            <w:r w:rsidRPr="00B42324">
              <w:rPr>
                <w:rFonts w:ascii="Times New Roman" w:hAnsi="Times New Roman" w:cs="Times New Roman"/>
                <w:sz w:val="20"/>
                <w:szCs w:val="20"/>
              </w:rPr>
              <w:t>16</w:t>
            </w:r>
          </w:p>
        </w:tc>
        <w:tc>
          <w:tcPr>
            <w:tcW w:w="1560" w:type="dxa"/>
            <w:shd w:val="clear" w:color="auto" w:fill="FFF2CC" w:themeFill="accent4" w:themeFillTint="33"/>
            <w:vAlign w:val="bottom"/>
          </w:tcPr>
          <w:p w:rsidR="00B42324" w:rsidRPr="00B42324" w:rsidRDefault="00B42324" w:rsidP="00B42324">
            <w:pPr>
              <w:spacing w:line="276" w:lineRule="auto"/>
              <w:jc w:val="both"/>
              <w:rPr>
                <w:rFonts w:ascii="Times New Roman" w:hAnsi="Times New Roman" w:cs="Times New Roman"/>
                <w:sz w:val="20"/>
                <w:szCs w:val="20"/>
                <w:lang w:val="en-US"/>
              </w:rPr>
            </w:pPr>
            <w:r w:rsidRPr="00B42324">
              <w:rPr>
                <w:rFonts w:ascii="Times New Roman" w:hAnsi="Times New Roman" w:cs="Times New Roman"/>
                <w:sz w:val="20"/>
                <w:szCs w:val="20"/>
                <w:lang w:val="en-US"/>
              </w:rPr>
              <w:t>Auditul intern</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1.188</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95</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481</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67,35</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5,39</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b/>
                <w:sz w:val="20"/>
                <w:szCs w:val="20"/>
              </w:rPr>
            </w:pPr>
            <w:r w:rsidRPr="00B42324">
              <w:rPr>
                <w:rFonts w:ascii="Times New Roman" w:hAnsi="Times New Roman" w:cs="Times New Roman"/>
                <w:color w:val="000000"/>
                <w:sz w:val="20"/>
                <w:szCs w:val="20"/>
              </w:rPr>
              <w:t>27,27</w:t>
            </w:r>
          </w:p>
        </w:tc>
        <w:tc>
          <w:tcPr>
            <w:tcW w:w="708"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726038" w:rsidP="00BC4177">
            <w:pPr>
              <w:spacing w:line="276" w:lineRule="auto"/>
              <w:jc w:val="right"/>
              <w:rPr>
                <w:rFonts w:ascii="Times New Roman" w:hAnsi="Times New Roman" w:cs="Times New Roman"/>
                <w:sz w:val="20"/>
                <w:szCs w:val="20"/>
              </w:rPr>
            </w:pPr>
            <w:r>
              <w:rPr>
                <w:rFonts w:ascii="Times New Roman" w:hAnsi="Times New Roman" w:cs="Times New Roman"/>
                <w:sz w:val="20"/>
                <w:szCs w:val="20"/>
              </w:rPr>
              <w:t>1.</w:t>
            </w:r>
            <w:r w:rsidR="00B42324" w:rsidRPr="00B42324">
              <w:rPr>
                <w:rFonts w:ascii="Times New Roman" w:hAnsi="Times New Roman" w:cs="Times New Roman"/>
                <w:sz w:val="20"/>
                <w:szCs w:val="20"/>
              </w:rPr>
              <w:t>151</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111</w:t>
            </w:r>
          </w:p>
        </w:tc>
        <w:tc>
          <w:tcPr>
            <w:tcW w:w="709"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424</w:t>
            </w:r>
          </w:p>
        </w:tc>
        <w:tc>
          <w:tcPr>
            <w:tcW w:w="709"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68,27</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6,58</w:t>
            </w:r>
          </w:p>
        </w:tc>
        <w:tc>
          <w:tcPr>
            <w:tcW w:w="708" w:type="dxa"/>
            <w:tcBorders>
              <w:top w:val="nil"/>
              <w:left w:val="nil"/>
              <w:bottom w:val="single" w:sz="4" w:space="0" w:color="auto"/>
              <w:right w:val="single" w:sz="4" w:space="0" w:color="auto"/>
            </w:tcBorders>
            <w:shd w:val="clear" w:color="auto" w:fill="FFF2CC" w:themeFill="accent4" w:themeFillTint="33"/>
            <w:vAlign w:val="center"/>
          </w:tcPr>
          <w:p w:rsidR="00B42324" w:rsidRPr="00B42324" w:rsidRDefault="00B42324" w:rsidP="00BC4177">
            <w:pPr>
              <w:spacing w:line="276" w:lineRule="auto"/>
              <w:jc w:val="right"/>
              <w:rPr>
                <w:rFonts w:ascii="Times New Roman" w:hAnsi="Times New Roman" w:cs="Times New Roman"/>
                <w:sz w:val="20"/>
                <w:szCs w:val="20"/>
              </w:rPr>
            </w:pPr>
            <w:r w:rsidRPr="00B42324">
              <w:rPr>
                <w:rFonts w:ascii="Times New Roman" w:hAnsi="Times New Roman" w:cs="Times New Roman"/>
                <w:sz w:val="20"/>
                <w:szCs w:val="20"/>
              </w:rPr>
              <w:t>25,15</w:t>
            </w:r>
          </w:p>
        </w:tc>
      </w:tr>
    </w:tbl>
    <w:p w:rsidR="00BC4177" w:rsidRDefault="00BC4177" w:rsidP="00BC4177">
      <w:pPr>
        <w:spacing w:line="276" w:lineRule="auto"/>
        <w:rPr>
          <w:rFonts w:ascii="Times New Roman" w:hAnsi="Times New Roman" w:cs="Times New Roman"/>
          <w:sz w:val="24"/>
          <w:szCs w:val="24"/>
        </w:rPr>
      </w:pPr>
      <w:r>
        <w:rPr>
          <w:noProof/>
          <w:lang w:eastAsia="ro-RO"/>
        </w:rPr>
        <w:drawing>
          <wp:inline distT="0" distB="0" distL="0" distR="0" wp14:anchorId="3C221A3E" wp14:editId="03559491">
            <wp:extent cx="6197600" cy="8324850"/>
            <wp:effectExtent l="0" t="0" r="0" b="0"/>
            <wp:docPr id="109" name="Chart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BC4177" w:rsidRDefault="00726038">
      <w:pPr>
        <w:rPr>
          <w:rFonts w:ascii="Times New Roman" w:hAnsi="Times New Roman" w:cs="Times New Roman"/>
          <w:b/>
          <w:color w:val="FF0000"/>
          <w:sz w:val="24"/>
          <w:szCs w:val="24"/>
        </w:rPr>
      </w:pPr>
      <w:r>
        <w:rPr>
          <w:noProof/>
          <w:lang w:eastAsia="ro-RO"/>
        </w:rPr>
        <w:drawing>
          <wp:inline distT="0" distB="0" distL="0" distR="0" wp14:anchorId="5F05B2EE" wp14:editId="78AE3C02">
            <wp:extent cx="6434455" cy="8229600"/>
            <wp:effectExtent l="0" t="0" r="4445" b="0"/>
            <wp:docPr id="110" name="Chart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sidR="00BC4177">
        <w:rPr>
          <w:rFonts w:ascii="Times New Roman" w:hAnsi="Times New Roman" w:cs="Times New Roman"/>
          <w:b/>
          <w:color w:val="FF0000"/>
          <w:sz w:val="24"/>
          <w:szCs w:val="24"/>
        </w:rPr>
        <w:br w:type="page"/>
      </w:r>
    </w:p>
    <w:p w:rsidR="00713067" w:rsidRDefault="00713067" w:rsidP="00713067">
      <w:pPr>
        <w:spacing w:line="276" w:lineRule="auto"/>
        <w:rPr>
          <w:rFonts w:ascii="Times New Roman" w:hAnsi="Times New Roman" w:cs="Times New Roman"/>
          <w:b/>
          <w:color w:val="FF0000"/>
          <w:sz w:val="24"/>
          <w:szCs w:val="24"/>
        </w:rPr>
      </w:pPr>
      <w:r>
        <w:rPr>
          <w:noProof/>
          <w:lang w:eastAsia="ro-RO"/>
        </w:rPr>
        <w:drawing>
          <wp:inline distT="0" distB="0" distL="0" distR="0" wp14:anchorId="4724741E" wp14:editId="5C877ACA">
            <wp:extent cx="6318885" cy="8214970"/>
            <wp:effectExtent l="0" t="0" r="5715" b="0"/>
            <wp:docPr id="111" name="Chart 1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851C49" w:rsidRDefault="00851C49">
      <w:pPr>
        <w:rPr>
          <w:rFonts w:ascii="Times New Roman" w:hAnsi="Times New Roman" w:cs="Times New Roman"/>
          <w:b/>
          <w:color w:val="FF0000"/>
          <w:sz w:val="24"/>
          <w:szCs w:val="24"/>
        </w:rPr>
      </w:pPr>
      <w:r>
        <w:rPr>
          <w:noProof/>
          <w:lang w:eastAsia="ro-RO"/>
        </w:rPr>
        <w:drawing>
          <wp:inline distT="0" distB="0" distL="0" distR="0" wp14:anchorId="5F673E1F" wp14:editId="16C70541">
            <wp:extent cx="6264275" cy="8207655"/>
            <wp:effectExtent l="0" t="0" r="3175" b="3175"/>
            <wp:docPr id="112" name="Chart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Pr>
          <w:rFonts w:ascii="Times New Roman" w:hAnsi="Times New Roman" w:cs="Times New Roman"/>
          <w:b/>
          <w:color w:val="FF0000"/>
          <w:sz w:val="24"/>
          <w:szCs w:val="24"/>
        </w:rPr>
        <w:br w:type="page"/>
      </w:r>
    </w:p>
    <w:p w:rsidR="00851C49" w:rsidRDefault="00AF434B">
      <w:pPr>
        <w:rPr>
          <w:rFonts w:ascii="Times New Roman" w:hAnsi="Times New Roman" w:cs="Times New Roman"/>
          <w:b/>
          <w:color w:val="FF0000"/>
          <w:sz w:val="24"/>
          <w:szCs w:val="24"/>
        </w:rPr>
      </w:pPr>
      <w:r>
        <w:rPr>
          <w:noProof/>
          <w:lang w:eastAsia="ro-RO"/>
        </w:rPr>
        <w:drawing>
          <wp:inline distT="0" distB="0" distL="0" distR="0" wp14:anchorId="37827F56" wp14:editId="245BCE66">
            <wp:extent cx="6277610" cy="8214970"/>
            <wp:effectExtent l="0" t="0" r="8890" b="0"/>
            <wp:docPr id="113" name="Chart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rsidR="00851C49">
        <w:rPr>
          <w:rFonts w:ascii="Times New Roman" w:hAnsi="Times New Roman" w:cs="Times New Roman"/>
          <w:b/>
          <w:color w:val="FF0000"/>
          <w:sz w:val="24"/>
          <w:szCs w:val="24"/>
        </w:rPr>
        <w:br w:type="page"/>
      </w:r>
    </w:p>
    <w:p w:rsidR="00AF434B" w:rsidRDefault="00AF434B">
      <w:pPr>
        <w:rPr>
          <w:rFonts w:ascii="Times New Roman" w:hAnsi="Times New Roman" w:cs="Times New Roman"/>
          <w:b/>
          <w:color w:val="FF0000"/>
          <w:sz w:val="24"/>
          <w:szCs w:val="24"/>
        </w:rPr>
      </w:pPr>
      <w:r>
        <w:rPr>
          <w:noProof/>
          <w:lang w:eastAsia="ro-RO"/>
        </w:rPr>
        <w:drawing>
          <wp:inline distT="0" distB="0" distL="0" distR="0" wp14:anchorId="26BC49D1" wp14:editId="206896B1">
            <wp:extent cx="6318885" cy="8207655"/>
            <wp:effectExtent l="0" t="0" r="5715" b="3175"/>
            <wp:docPr id="114" name="Chart 1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Pr>
          <w:rFonts w:ascii="Times New Roman" w:hAnsi="Times New Roman" w:cs="Times New Roman"/>
          <w:b/>
          <w:color w:val="FF0000"/>
          <w:sz w:val="24"/>
          <w:szCs w:val="24"/>
        </w:rPr>
        <w:br w:type="page"/>
      </w:r>
    </w:p>
    <w:p w:rsidR="00CF58DE" w:rsidRPr="00FB01D2" w:rsidRDefault="00FB01D2" w:rsidP="00CF58DE">
      <w:pPr>
        <w:spacing w:line="276" w:lineRule="auto"/>
        <w:ind w:firstLine="708"/>
        <w:jc w:val="right"/>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Tabel nr.</w:t>
      </w:r>
      <w:r w:rsidR="00CF58DE" w:rsidRPr="00FB01D2">
        <w:rPr>
          <w:rFonts w:ascii="Times New Roman" w:hAnsi="Times New Roman" w:cs="Times New Roman"/>
          <w:b/>
          <w:color w:val="000000" w:themeColor="text1"/>
          <w:sz w:val="24"/>
          <w:szCs w:val="24"/>
        </w:rPr>
        <w:t>4</w:t>
      </w:r>
      <w:r>
        <w:rPr>
          <w:rFonts w:ascii="Times New Roman" w:hAnsi="Times New Roman" w:cs="Times New Roman"/>
          <w:b/>
          <w:color w:val="000000" w:themeColor="text1"/>
          <w:sz w:val="24"/>
          <w:szCs w:val="24"/>
        </w:rPr>
        <w:t>.</w:t>
      </w:r>
      <w:r w:rsidR="00D27D2A" w:rsidRPr="00FB01D2">
        <w:rPr>
          <w:rFonts w:ascii="Times New Roman" w:hAnsi="Times New Roman" w:cs="Times New Roman"/>
          <w:b/>
          <w:color w:val="000000" w:themeColor="text1"/>
          <w:sz w:val="24"/>
          <w:szCs w:val="24"/>
        </w:rPr>
        <w:t>b</w:t>
      </w:r>
      <w:r w:rsidR="00CF58DE" w:rsidRPr="00FB01D2">
        <w:rPr>
          <w:rFonts w:ascii="Times New Roman" w:hAnsi="Times New Roman" w:cs="Times New Roman"/>
          <w:b/>
          <w:color w:val="000000" w:themeColor="text1"/>
          <w:sz w:val="24"/>
          <w:szCs w:val="24"/>
        </w:rPr>
        <w:t xml:space="preserve"> </w:t>
      </w:r>
    </w:p>
    <w:p w:rsidR="00CF58DE" w:rsidRPr="00FB01D2" w:rsidRDefault="00CF58DE" w:rsidP="00CF58DE">
      <w:pPr>
        <w:spacing w:line="276" w:lineRule="auto"/>
        <w:ind w:firstLine="708"/>
        <w:jc w:val="center"/>
        <w:rPr>
          <w:rFonts w:ascii="Times New Roman" w:hAnsi="Times New Roman" w:cs="Times New Roman"/>
          <w:b/>
          <w:color w:val="000000" w:themeColor="text1"/>
          <w:sz w:val="24"/>
          <w:szCs w:val="24"/>
        </w:rPr>
      </w:pPr>
      <w:r w:rsidRPr="00FB01D2">
        <w:rPr>
          <w:rFonts w:ascii="Times New Roman" w:hAnsi="Times New Roman" w:cs="Times New Roman"/>
          <w:b/>
          <w:color w:val="000000" w:themeColor="text1"/>
          <w:sz w:val="24"/>
          <w:szCs w:val="24"/>
        </w:rPr>
        <w:t xml:space="preserve">Gradul </w:t>
      </w:r>
      <w:r w:rsidR="00293BDD">
        <w:rPr>
          <w:rFonts w:ascii="Times New Roman" w:hAnsi="Times New Roman" w:cs="Times New Roman"/>
          <w:b/>
          <w:color w:val="000000" w:themeColor="text1"/>
          <w:sz w:val="24"/>
          <w:szCs w:val="24"/>
        </w:rPr>
        <w:t xml:space="preserve">mediu </w:t>
      </w:r>
      <w:r w:rsidRPr="00FB01D2">
        <w:rPr>
          <w:rFonts w:ascii="Times New Roman" w:hAnsi="Times New Roman" w:cs="Times New Roman"/>
          <w:b/>
          <w:color w:val="000000" w:themeColor="text1"/>
          <w:sz w:val="24"/>
          <w:szCs w:val="24"/>
        </w:rPr>
        <w:t xml:space="preserve">de implementare al standardelor de control intern managerial, la nivelul entităților publice subordonate sau aflate în coordonarea ordonatorilor principali de credite </w:t>
      </w:r>
      <w:r w:rsidR="00FB01D2" w:rsidRPr="00FB01D2">
        <w:rPr>
          <w:rFonts w:ascii="Times New Roman" w:hAnsi="Times New Roman" w:cs="Times New Roman"/>
          <w:b/>
          <w:color w:val="000000" w:themeColor="text1"/>
          <w:sz w:val="24"/>
          <w:szCs w:val="24"/>
        </w:rPr>
        <w:t xml:space="preserve">în perioada 2015 - </w:t>
      </w:r>
      <w:r w:rsidRPr="00FB01D2">
        <w:rPr>
          <w:rFonts w:ascii="Times New Roman" w:hAnsi="Times New Roman" w:cs="Times New Roman"/>
          <w:b/>
          <w:color w:val="000000" w:themeColor="text1"/>
          <w:sz w:val="24"/>
          <w:szCs w:val="24"/>
        </w:rPr>
        <w:t>2016</w:t>
      </w:r>
    </w:p>
    <w:p w:rsidR="00CF58DE" w:rsidRPr="00CF58DE" w:rsidRDefault="00CF58DE" w:rsidP="00CF58DE">
      <w:pPr>
        <w:pStyle w:val="ListParagraph"/>
        <w:spacing w:line="276" w:lineRule="auto"/>
        <w:ind w:left="450"/>
        <w:jc w:val="both"/>
        <w:rPr>
          <w:rFonts w:ascii="Times New Roman" w:hAnsi="Times New Roman" w:cs="Times New Roman"/>
          <w:sz w:val="24"/>
          <w:szCs w:val="24"/>
        </w:rPr>
      </w:pPr>
    </w:p>
    <w:p w:rsidR="002C0404" w:rsidRPr="00FB01D2" w:rsidRDefault="00EA0650" w:rsidP="00FB01D2">
      <w:pPr>
        <w:spacing w:line="276" w:lineRule="auto"/>
        <w:jc w:val="both"/>
        <w:rPr>
          <w:rFonts w:ascii="Times New Roman" w:hAnsi="Times New Roman" w:cs="Times New Roman"/>
          <w:color w:val="000000" w:themeColor="text1"/>
          <w:sz w:val="24"/>
          <w:szCs w:val="24"/>
        </w:rPr>
      </w:pPr>
      <w:r w:rsidRPr="00FB01D2">
        <w:rPr>
          <w:rFonts w:ascii="Times New Roman" w:hAnsi="Times New Roman" w:cs="Times New Roman"/>
          <w:color w:val="000000" w:themeColor="text1"/>
          <w:sz w:val="24"/>
          <w:szCs w:val="24"/>
        </w:rPr>
        <w:t>Gradul mediu de implementare al standardelor de control intern managerial, la nivelul entităţilor publice subordonate</w:t>
      </w:r>
      <w:r w:rsidR="00A74F71" w:rsidRPr="00FB01D2">
        <w:rPr>
          <w:rFonts w:ascii="Times New Roman" w:hAnsi="Times New Roman" w:cs="Times New Roman"/>
          <w:color w:val="000000" w:themeColor="text1"/>
          <w:sz w:val="24"/>
          <w:szCs w:val="24"/>
        </w:rPr>
        <w:t xml:space="preserve"> sau aflate în coordonarea</w:t>
      </w:r>
      <w:r w:rsidRPr="00FB01D2">
        <w:rPr>
          <w:rFonts w:ascii="Times New Roman" w:hAnsi="Times New Roman" w:cs="Times New Roman"/>
          <w:color w:val="000000" w:themeColor="text1"/>
          <w:sz w:val="24"/>
          <w:szCs w:val="24"/>
        </w:rPr>
        <w:t xml:space="preserve"> ordonatorilor principali de credite</w:t>
      </w:r>
      <w:r w:rsidR="00666211" w:rsidRPr="00FB01D2">
        <w:rPr>
          <w:rFonts w:ascii="Times New Roman" w:hAnsi="Times New Roman" w:cs="Times New Roman"/>
          <w:color w:val="000000" w:themeColor="text1"/>
          <w:sz w:val="24"/>
          <w:szCs w:val="24"/>
        </w:rPr>
        <w:t>,</w:t>
      </w:r>
      <w:r w:rsidRPr="00FB01D2">
        <w:rPr>
          <w:rFonts w:ascii="Times New Roman" w:hAnsi="Times New Roman" w:cs="Times New Roman"/>
          <w:color w:val="000000" w:themeColor="text1"/>
          <w:sz w:val="24"/>
          <w:szCs w:val="24"/>
        </w:rPr>
        <w:t xml:space="preserve"> la data de </w:t>
      </w:r>
      <w:r w:rsidR="00FB01D2">
        <w:rPr>
          <w:rFonts w:ascii="Times New Roman" w:hAnsi="Times New Roman" w:cs="Times New Roman"/>
          <w:color w:val="000000" w:themeColor="text1"/>
          <w:sz w:val="24"/>
          <w:szCs w:val="24"/>
        </w:rPr>
        <w:t xml:space="preserve">                           </w:t>
      </w:r>
      <w:r w:rsidR="006A0B0E" w:rsidRPr="00FB01D2">
        <w:rPr>
          <w:rFonts w:ascii="Times New Roman" w:hAnsi="Times New Roman" w:cs="Times New Roman"/>
          <w:color w:val="000000" w:themeColor="text1"/>
          <w:sz w:val="24"/>
          <w:szCs w:val="24"/>
        </w:rPr>
        <w:t xml:space="preserve">31 decembrie 2016, comparativ cu gradul mediu de implementare al standardelor de control intern managerial la data de </w:t>
      </w:r>
      <w:r w:rsidRPr="00FB01D2">
        <w:rPr>
          <w:rFonts w:ascii="Times New Roman" w:hAnsi="Times New Roman" w:cs="Times New Roman"/>
          <w:color w:val="000000" w:themeColor="text1"/>
          <w:sz w:val="24"/>
          <w:szCs w:val="24"/>
        </w:rPr>
        <w:t xml:space="preserve">31 decembrie 2015, </w:t>
      </w:r>
      <w:r w:rsidR="00666211" w:rsidRPr="00FB01D2">
        <w:rPr>
          <w:rFonts w:ascii="Times New Roman" w:hAnsi="Times New Roman" w:cs="Times New Roman"/>
          <w:color w:val="000000" w:themeColor="text1"/>
          <w:sz w:val="24"/>
          <w:szCs w:val="24"/>
        </w:rPr>
        <w:t>pe baza</w:t>
      </w:r>
      <w:r w:rsidR="00412653" w:rsidRPr="00FB01D2">
        <w:rPr>
          <w:rFonts w:ascii="Times New Roman" w:hAnsi="Times New Roman" w:cs="Times New Roman"/>
          <w:color w:val="000000" w:themeColor="text1"/>
          <w:sz w:val="24"/>
          <w:szCs w:val="24"/>
        </w:rPr>
        <w:t xml:space="preserve"> datelor cuprinse </w:t>
      </w:r>
      <w:r w:rsidR="00666211" w:rsidRPr="00FB01D2">
        <w:rPr>
          <w:rFonts w:ascii="Times New Roman" w:hAnsi="Times New Roman" w:cs="Times New Roman"/>
          <w:color w:val="000000" w:themeColor="text1"/>
          <w:sz w:val="24"/>
          <w:szCs w:val="24"/>
        </w:rPr>
        <w:t>în tabelul de mai sus</w:t>
      </w:r>
      <w:r w:rsidR="00412653" w:rsidRPr="00FB01D2">
        <w:rPr>
          <w:rFonts w:ascii="Times New Roman" w:hAnsi="Times New Roman" w:cs="Times New Roman"/>
          <w:color w:val="000000" w:themeColor="text1"/>
          <w:sz w:val="24"/>
          <w:szCs w:val="24"/>
        </w:rPr>
        <w:t xml:space="preserve">, este următorul: </w:t>
      </w:r>
    </w:p>
    <w:tbl>
      <w:tblPr>
        <w:tblStyle w:val="TableGrid"/>
        <w:tblW w:w="9639" w:type="dxa"/>
        <w:tblInd w:w="-5" w:type="dxa"/>
        <w:tblLook w:val="04A0" w:firstRow="1" w:lastRow="0" w:firstColumn="1" w:lastColumn="0" w:noHBand="0" w:noVBand="1"/>
      </w:tblPr>
      <w:tblGrid>
        <w:gridCol w:w="2977"/>
        <w:gridCol w:w="3260"/>
        <w:gridCol w:w="3402"/>
      </w:tblGrid>
      <w:tr w:rsidR="0065233C" w:rsidRPr="00B64C60" w:rsidTr="0065233C">
        <w:trPr>
          <w:trHeight w:val="245"/>
        </w:trPr>
        <w:tc>
          <w:tcPr>
            <w:tcW w:w="2977" w:type="dxa"/>
            <w:vMerge w:val="restart"/>
            <w:shd w:val="clear" w:color="auto" w:fill="BDD6EE" w:themeFill="accent1" w:themeFillTint="66"/>
            <w:vAlign w:val="center"/>
          </w:tcPr>
          <w:p w:rsidR="0065233C" w:rsidRPr="00FB01D2" w:rsidRDefault="0065233C" w:rsidP="00D27D2A">
            <w:pPr>
              <w:pStyle w:val="ListParagraph"/>
              <w:tabs>
                <w:tab w:val="left" w:pos="990"/>
                <w:tab w:val="left" w:pos="1080"/>
                <w:tab w:val="left" w:pos="1170"/>
              </w:tabs>
              <w:spacing w:line="276" w:lineRule="auto"/>
              <w:ind w:left="0"/>
              <w:jc w:val="center"/>
              <w:rPr>
                <w:rFonts w:ascii="Times New Roman" w:hAnsi="Times New Roman" w:cs="Times New Roman"/>
                <w:b/>
                <w:color w:val="000000" w:themeColor="text1"/>
                <w:sz w:val="24"/>
                <w:szCs w:val="24"/>
              </w:rPr>
            </w:pPr>
            <w:r w:rsidRPr="00FB01D2">
              <w:rPr>
                <w:rFonts w:ascii="Times New Roman" w:hAnsi="Times New Roman" w:cs="Times New Roman"/>
                <w:b/>
                <w:color w:val="000000" w:themeColor="text1"/>
                <w:sz w:val="24"/>
                <w:szCs w:val="24"/>
              </w:rPr>
              <w:t>Standarde</w:t>
            </w:r>
          </w:p>
        </w:tc>
        <w:tc>
          <w:tcPr>
            <w:tcW w:w="6662" w:type="dxa"/>
            <w:gridSpan w:val="2"/>
            <w:shd w:val="clear" w:color="auto" w:fill="BDD6EE" w:themeFill="accent1" w:themeFillTint="66"/>
            <w:vAlign w:val="center"/>
          </w:tcPr>
          <w:p w:rsidR="0065233C" w:rsidRPr="00FB01D2" w:rsidRDefault="0065233C" w:rsidP="0065233C">
            <w:pPr>
              <w:pStyle w:val="ListParagraph"/>
              <w:tabs>
                <w:tab w:val="left" w:pos="990"/>
                <w:tab w:val="left" w:pos="1080"/>
                <w:tab w:val="left" w:pos="1170"/>
              </w:tabs>
              <w:spacing w:line="276" w:lineRule="auto"/>
              <w:ind w:left="0"/>
              <w:jc w:val="center"/>
              <w:rPr>
                <w:rFonts w:ascii="Times New Roman" w:hAnsi="Times New Roman" w:cs="Times New Roman"/>
                <w:b/>
                <w:color w:val="000000" w:themeColor="text1"/>
                <w:sz w:val="24"/>
                <w:szCs w:val="24"/>
              </w:rPr>
            </w:pPr>
            <w:r w:rsidRPr="00FB01D2">
              <w:rPr>
                <w:rFonts w:ascii="Times New Roman" w:hAnsi="Times New Roman" w:cs="Times New Roman"/>
                <w:b/>
                <w:color w:val="000000" w:themeColor="text1"/>
                <w:sz w:val="24"/>
                <w:szCs w:val="24"/>
              </w:rPr>
              <w:t xml:space="preserve">Grad </w:t>
            </w:r>
            <w:r>
              <w:rPr>
                <w:rFonts w:ascii="Times New Roman" w:hAnsi="Times New Roman" w:cs="Times New Roman"/>
                <w:b/>
                <w:color w:val="000000" w:themeColor="text1"/>
                <w:sz w:val="24"/>
                <w:szCs w:val="24"/>
              </w:rPr>
              <w:t xml:space="preserve">mediu </w:t>
            </w:r>
            <w:r w:rsidRPr="00FB01D2">
              <w:rPr>
                <w:rFonts w:ascii="Times New Roman" w:hAnsi="Times New Roman" w:cs="Times New Roman"/>
                <w:b/>
                <w:color w:val="000000" w:themeColor="text1"/>
                <w:sz w:val="24"/>
                <w:szCs w:val="24"/>
              </w:rPr>
              <w:t>im</w:t>
            </w:r>
            <w:r>
              <w:rPr>
                <w:rFonts w:ascii="Times New Roman" w:hAnsi="Times New Roman" w:cs="Times New Roman"/>
                <w:b/>
                <w:color w:val="000000" w:themeColor="text1"/>
                <w:sz w:val="24"/>
                <w:szCs w:val="24"/>
              </w:rPr>
              <w:t>plementare standarde</w:t>
            </w:r>
          </w:p>
        </w:tc>
      </w:tr>
      <w:tr w:rsidR="0065233C" w:rsidRPr="00B64C60" w:rsidTr="0065233C">
        <w:trPr>
          <w:trHeight w:val="245"/>
        </w:trPr>
        <w:tc>
          <w:tcPr>
            <w:tcW w:w="2977" w:type="dxa"/>
            <w:vMerge/>
            <w:shd w:val="clear" w:color="auto" w:fill="BDD6EE" w:themeFill="accent1" w:themeFillTint="66"/>
            <w:vAlign w:val="center"/>
          </w:tcPr>
          <w:p w:rsidR="0065233C" w:rsidRPr="00FB01D2" w:rsidRDefault="0065233C" w:rsidP="00D27D2A">
            <w:pPr>
              <w:pStyle w:val="ListParagraph"/>
              <w:tabs>
                <w:tab w:val="left" w:pos="990"/>
                <w:tab w:val="left" w:pos="1080"/>
                <w:tab w:val="left" w:pos="1170"/>
              </w:tabs>
              <w:spacing w:line="276" w:lineRule="auto"/>
              <w:ind w:left="0"/>
              <w:jc w:val="center"/>
              <w:rPr>
                <w:rFonts w:ascii="Times New Roman" w:hAnsi="Times New Roman" w:cs="Times New Roman"/>
                <w:b/>
                <w:color w:val="000000" w:themeColor="text1"/>
                <w:sz w:val="24"/>
                <w:szCs w:val="24"/>
              </w:rPr>
            </w:pPr>
          </w:p>
        </w:tc>
        <w:tc>
          <w:tcPr>
            <w:tcW w:w="3260" w:type="dxa"/>
            <w:shd w:val="clear" w:color="auto" w:fill="BDD6EE" w:themeFill="accent1" w:themeFillTint="66"/>
            <w:vAlign w:val="center"/>
          </w:tcPr>
          <w:p w:rsidR="0065233C" w:rsidRPr="0065233C" w:rsidRDefault="0065233C" w:rsidP="00D27D2A">
            <w:pPr>
              <w:pStyle w:val="ListParagraph"/>
              <w:tabs>
                <w:tab w:val="left" w:pos="990"/>
                <w:tab w:val="left" w:pos="1080"/>
                <w:tab w:val="left" w:pos="1170"/>
              </w:tabs>
              <w:spacing w:line="276" w:lineRule="auto"/>
              <w:ind w:left="0"/>
              <w:jc w:val="center"/>
              <w:rPr>
                <w:rFonts w:ascii="Times New Roman" w:hAnsi="Times New Roman" w:cs="Times New Roman"/>
                <w:b/>
                <w:i/>
                <w:color w:val="000000" w:themeColor="text1"/>
                <w:sz w:val="24"/>
                <w:szCs w:val="24"/>
              </w:rPr>
            </w:pPr>
            <w:r w:rsidRPr="0065233C">
              <w:rPr>
                <w:rFonts w:ascii="Times New Roman" w:hAnsi="Times New Roman" w:cs="Times New Roman"/>
                <w:b/>
                <w:i/>
                <w:color w:val="000000" w:themeColor="text1"/>
                <w:sz w:val="24"/>
                <w:szCs w:val="24"/>
              </w:rPr>
              <w:t>2015</w:t>
            </w:r>
          </w:p>
        </w:tc>
        <w:tc>
          <w:tcPr>
            <w:tcW w:w="3402" w:type="dxa"/>
            <w:shd w:val="clear" w:color="auto" w:fill="BDD6EE" w:themeFill="accent1" w:themeFillTint="66"/>
            <w:vAlign w:val="center"/>
          </w:tcPr>
          <w:p w:rsidR="0065233C" w:rsidRPr="0065233C" w:rsidRDefault="0065233C" w:rsidP="00D27D2A">
            <w:pPr>
              <w:pStyle w:val="ListParagraph"/>
              <w:tabs>
                <w:tab w:val="left" w:pos="990"/>
                <w:tab w:val="left" w:pos="1080"/>
                <w:tab w:val="left" w:pos="1170"/>
              </w:tabs>
              <w:spacing w:line="276" w:lineRule="auto"/>
              <w:ind w:left="0"/>
              <w:jc w:val="center"/>
              <w:rPr>
                <w:rFonts w:ascii="Times New Roman" w:hAnsi="Times New Roman" w:cs="Times New Roman"/>
                <w:b/>
                <w:i/>
                <w:color w:val="000000" w:themeColor="text1"/>
                <w:sz w:val="24"/>
                <w:szCs w:val="24"/>
              </w:rPr>
            </w:pPr>
            <w:r w:rsidRPr="0065233C">
              <w:rPr>
                <w:rFonts w:ascii="Times New Roman" w:hAnsi="Times New Roman" w:cs="Times New Roman"/>
                <w:b/>
                <w:i/>
                <w:color w:val="000000" w:themeColor="text1"/>
                <w:sz w:val="24"/>
                <w:szCs w:val="24"/>
              </w:rPr>
              <w:t>2016</w:t>
            </w:r>
          </w:p>
        </w:tc>
      </w:tr>
      <w:tr w:rsidR="00CA20D9" w:rsidRPr="00E76F3A" w:rsidTr="00FB01D2">
        <w:tc>
          <w:tcPr>
            <w:tcW w:w="2977" w:type="dxa"/>
            <w:shd w:val="clear" w:color="auto" w:fill="FFF2CC" w:themeFill="accent4" w:themeFillTint="33"/>
            <w:vAlign w:val="center"/>
          </w:tcPr>
          <w:p w:rsidR="00CA20D9" w:rsidRPr="0065233C" w:rsidRDefault="00CA20D9" w:rsidP="0065233C">
            <w:pPr>
              <w:pStyle w:val="ListParagraph"/>
              <w:tabs>
                <w:tab w:val="left" w:pos="990"/>
                <w:tab w:val="left" w:pos="1080"/>
                <w:tab w:val="left" w:pos="1170"/>
              </w:tabs>
              <w:spacing w:line="276" w:lineRule="auto"/>
              <w:ind w:left="0"/>
              <w:jc w:val="right"/>
              <w:rPr>
                <w:rFonts w:ascii="Times New Roman" w:hAnsi="Times New Roman" w:cs="Times New Roman"/>
                <w:i/>
                <w:color w:val="000000" w:themeColor="text1"/>
                <w:sz w:val="24"/>
                <w:szCs w:val="24"/>
              </w:rPr>
            </w:pPr>
            <w:r w:rsidRPr="0065233C">
              <w:rPr>
                <w:rFonts w:ascii="Times New Roman" w:hAnsi="Times New Roman" w:cs="Times New Roman"/>
                <w:i/>
                <w:color w:val="000000" w:themeColor="text1"/>
                <w:sz w:val="24"/>
                <w:szCs w:val="24"/>
              </w:rPr>
              <w:t>Implementate</w:t>
            </w:r>
          </w:p>
        </w:tc>
        <w:tc>
          <w:tcPr>
            <w:tcW w:w="3260" w:type="dxa"/>
            <w:shd w:val="clear" w:color="auto" w:fill="FFF2CC" w:themeFill="accent4" w:themeFillTint="33"/>
            <w:vAlign w:val="center"/>
          </w:tcPr>
          <w:p w:rsidR="00CA20D9" w:rsidRPr="00FB01D2" w:rsidRDefault="00CA20D9" w:rsidP="0065233C">
            <w:pPr>
              <w:pStyle w:val="ListParagraph"/>
              <w:tabs>
                <w:tab w:val="left" w:pos="990"/>
                <w:tab w:val="left" w:pos="1080"/>
                <w:tab w:val="left" w:pos="1170"/>
              </w:tabs>
              <w:spacing w:line="276" w:lineRule="auto"/>
              <w:ind w:left="0"/>
              <w:jc w:val="center"/>
              <w:rPr>
                <w:rFonts w:ascii="Times New Roman" w:hAnsi="Times New Roman" w:cs="Times New Roman"/>
                <w:color w:val="000000" w:themeColor="text1"/>
                <w:sz w:val="24"/>
                <w:szCs w:val="24"/>
              </w:rPr>
            </w:pPr>
            <w:r w:rsidRPr="00FB01D2">
              <w:rPr>
                <w:rFonts w:ascii="Times New Roman" w:eastAsia="Times New Roman" w:hAnsi="Times New Roman" w:cs="Times New Roman"/>
                <w:bCs/>
                <w:color w:val="000000" w:themeColor="text1"/>
                <w:sz w:val="24"/>
                <w:szCs w:val="24"/>
                <w:lang w:eastAsia="ro-RO"/>
              </w:rPr>
              <w:t>88,94</w:t>
            </w:r>
            <w:r w:rsidR="0065233C">
              <w:rPr>
                <w:rFonts w:ascii="Times New Roman" w:hAnsi="Times New Roman" w:cs="Times New Roman"/>
                <w:color w:val="000000" w:themeColor="text1"/>
                <w:sz w:val="24"/>
                <w:szCs w:val="24"/>
              </w:rPr>
              <w:t xml:space="preserve"> </w:t>
            </w:r>
            <w:r w:rsidRPr="00FB01D2">
              <w:rPr>
                <w:rFonts w:ascii="Times New Roman" w:hAnsi="Times New Roman" w:cs="Times New Roman"/>
                <w:color w:val="000000" w:themeColor="text1"/>
                <w:sz w:val="24"/>
                <w:szCs w:val="24"/>
              </w:rPr>
              <w:t>%</w:t>
            </w:r>
          </w:p>
        </w:tc>
        <w:tc>
          <w:tcPr>
            <w:tcW w:w="3402" w:type="dxa"/>
            <w:shd w:val="clear" w:color="auto" w:fill="FFF2CC" w:themeFill="accent4" w:themeFillTint="33"/>
            <w:vAlign w:val="center"/>
          </w:tcPr>
          <w:p w:rsidR="00CA20D9" w:rsidRPr="00FB01D2" w:rsidRDefault="00CA20D9" w:rsidP="0065233C">
            <w:pPr>
              <w:pStyle w:val="ListParagraph"/>
              <w:tabs>
                <w:tab w:val="left" w:pos="990"/>
                <w:tab w:val="left" w:pos="1080"/>
                <w:tab w:val="left" w:pos="1170"/>
              </w:tabs>
              <w:spacing w:line="276" w:lineRule="auto"/>
              <w:ind w:left="0"/>
              <w:jc w:val="center"/>
              <w:rPr>
                <w:rFonts w:ascii="Times New Roman" w:hAnsi="Times New Roman" w:cs="Times New Roman"/>
                <w:color w:val="000000" w:themeColor="text1"/>
                <w:sz w:val="24"/>
                <w:szCs w:val="24"/>
              </w:rPr>
            </w:pPr>
            <w:r w:rsidRPr="00FB01D2">
              <w:rPr>
                <w:rFonts w:ascii="Times New Roman" w:hAnsi="Times New Roman" w:cs="Times New Roman"/>
                <w:color w:val="000000" w:themeColor="text1"/>
                <w:sz w:val="24"/>
                <w:szCs w:val="24"/>
              </w:rPr>
              <w:t>90,14</w:t>
            </w:r>
            <w:r w:rsidR="0065233C">
              <w:rPr>
                <w:rFonts w:ascii="Times New Roman" w:hAnsi="Times New Roman" w:cs="Times New Roman"/>
                <w:color w:val="000000" w:themeColor="text1"/>
                <w:sz w:val="24"/>
                <w:szCs w:val="24"/>
              </w:rPr>
              <w:t xml:space="preserve"> </w:t>
            </w:r>
            <w:r w:rsidRPr="00FB01D2">
              <w:rPr>
                <w:rFonts w:ascii="Times New Roman" w:hAnsi="Times New Roman" w:cs="Times New Roman"/>
                <w:color w:val="000000" w:themeColor="text1"/>
                <w:sz w:val="24"/>
                <w:szCs w:val="24"/>
              </w:rPr>
              <w:t>%</w:t>
            </w:r>
          </w:p>
        </w:tc>
      </w:tr>
      <w:tr w:rsidR="00CA20D9" w:rsidRPr="00E76F3A" w:rsidTr="00FB01D2">
        <w:tc>
          <w:tcPr>
            <w:tcW w:w="2977" w:type="dxa"/>
            <w:shd w:val="clear" w:color="auto" w:fill="FFF2CC" w:themeFill="accent4" w:themeFillTint="33"/>
            <w:vAlign w:val="center"/>
          </w:tcPr>
          <w:p w:rsidR="00CA20D9" w:rsidRPr="0065233C" w:rsidRDefault="00CA20D9" w:rsidP="0065233C">
            <w:pPr>
              <w:pStyle w:val="ListParagraph"/>
              <w:tabs>
                <w:tab w:val="left" w:pos="990"/>
                <w:tab w:val="left" w:pos="1080"/>
                <w:tab w:val="left" w:pos="1170"/>
              </w:tabs>
              <w:spacing w:line="276" w:lineRule="auto"/>
              <w:ind w:left="0"/>
              <w:jc w:val="right"/>
              <w:rPr>
                <w:rFonts w:ascii="Times New Roman" w:hAnsi="Times New Roman" w:cs="Times New Roman"/>
                <w:i/>
                <w:color w:val="000000" w:themeColor="text1"/>
                <w:sz w:val="24"/>
                <w:szCs w:val="24"/>
              </w:rPr>
            </w:pPr>
            <w:r w:rsidRPr="0065233C">
              <w:rPr>
                <w:rFonts w:ascii="Times New Roman" w:hAnsi="Times New Roman" w:cs="Times New Roman"/>
                <w:i/>
                <w:color w:val="000000" w:themeColor="text1"/>
                <w:sz w:val="24"/>
                <w:szCs w:val="24"/>
              </w:rPr>
              <w:t>Parțial implementate</w:t>
            </w:r>
          </w:p>
        </w:tc>
        <w:tc>
          <w:tcPr>
            <w:tcW w:w="3260" w:type="dxa"/>
            <w:shd w:val="clear" w:color="auto" w:fill="FFF2CC" w:themeFill="accent4" w:themeFillTint="33"/>
            <w:vAlign w:val="center"/>
          </w:tcPr>
          <w:p w:rsidR="00CA20D9" w:rsidRPr="00FB01D2" w:rsidRDefault="00F20372" w:rsidP="0065233C">
            <w:pPr>
              <w:pStyle w:val="ListParagraph"/>
              <w:tabs>
                <w:tab w:val="left" w:pos="990"/>
                <w:tab w:val="left" w:pos="1080"/>
                <w:tab w:val="left" w:pos="1170"/>
              </w:tabs>
              <w:spacing w:line="276" w:lineRule="auto"/>
              <w:ind w:left="0"/>
              <w:jc w:val="center"/>
              <w:rPr>
                <w:rFonts w:ascii="Times New Roman" w:hAnsi="Times New Roman" w:cs="Times New Roman"/>
                <w:color w:val="000000" w:themeColor="text1"/>
                <w:sz w:val="24"/>
                <w:szCs w:val="24"/>
              </w:rPr>
            </w:pPr>
            <w:r>
              <w:rPr>
                <w:rFonts w:ascii="Times New Roman" w:eastAsia="Times New Roman" w:hAnsi="Times New Roman" w:cs="Times New Roman"/>
                <w:bCs/>
                <w:color w:val="000000" w:themeColor="text1"/>
                <w:sz w:val="24"/>
                <w:szCs w:val="24"/>
                <w:lang w:eastAsia="ro-RO"/>
              </w:rPr>
              <w:t xml:space="preserve"> </w:t>
            </w:r>
            <w:r w:rsidR="00CA20D9" w:rsidRPr="00FB01D2">
              <w:rPr>
                <w:rFonts w:ascii="Times New Roman" w:eastAsia="Times New Roman" w:hAnsi="Times New Roman" w:cs="Times New Roman"/>
                <w:bCs/>
                <w:color w:val="000000" w:themeColor="text1"/>
                <w:sz w:val="24"/>
                <w:szCs w:val="24"/>
                <w:lang w:eastAsia="ro-RO"/>
              </w:rPr>
              <w:t>8,12</w:t>
            </w:r>
            <w:r w:rsidR="0065233C">
              <w:rPr>
                <w:rFonts w:ascii="Times New Roman" w:eastAsia="Times New Roman" w:hAnsi="Times New Roman" w:cs="Times New Roman"/>
                <w:bCs/>
                <w:color w:val="000000" w:themeColor="text1"/>
                <w:sz w:val="24"/>
                <w:szCs w:val="24"/>
                <w:lang w:eastAsia="ro-RO"/>
              </w:rPr>
              <w:t xml:space="preserve"> </w:t>
            </w:r>
            <w:r w:rsidR="00CA20D9" w:rsidRPr="00FB01D2">
              <w:rPr>
                <w:rFonts w:ascii="Times New Roman" w:hAnsi="Times New Roman" w:cs="Times New Roman"/>
                <w:color w:val="000000" w:themeColor="text1"/>
                <w:sz w:val="24"/>
                <w:szCs w:val="24"/>
              </w:rPr>
              <w:t>%</w:t>
            </w:r>
          </w:p>
        </w:tc>
        <w:tc>
          <w:tcPr>
            <w:tcW w:w="3402" w:type="dxa"/>
            <w:shd w:val="clear" w:color="auto" w:fill="FFF2CC" w:themeFill="accent4" w:themeFillTint="33"/>
            <w:vAlign w:val="center"/>
          </w:tcPr>
          <w:p w:rsidR="00CA20D9" w:rsidRPr="00FB01D2" w:rsidRDefault="00F20372" w:rsidP="0065233C">
            <w:pPr>
              <w:pStyle w:val="ListParagraph"/>
              <w:tabs>
                <w:tab w:val="left" w:pos="990"/>
                <w:tab w:val="left" w:pos="1080"/>
                <w:tab w:val="left" w:pos="1170"/>
              </w:tabs>
              <w:spacing w:line="276" w:lineRule="auto"/>
              <w:ind w:left="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0065233C">
              <w:rPr>
                <w:rFonts w:ascii="Times New Roman" w:hAnsi="Times New Roman" w:cs="Times New Roman"/>
                <w:color w:val="000000" w:themeColor="text1"/>
                <w:sz w:val="24"/>
                <w:szCs w:val="24"/>
              </w:rPr>
              <w:t xml:space="preserve">7,44 </w:t>
            </w:r>
            <w:r w:rsidR="00CA20D9" w:rsidRPr="00FB01D2">
              <w:rPr>
                <w:rFonts w:ascii="Times New Roman" w:hAnsi="Times New Roman" w:cs="Times New Roman"/>
                <w:color w:val="000000" w:themeColor="text1"/>
                <w:sz w:val="24"/>
                <w:szCs w:val="24"/>
              </w:rPr>
              <w:t>%</w:t>
            </w:r>
          </w:p>
        </w:tc>
      </w:tr>
      <w:tr w:rsidR="00CA20D9" w:rsidRPr="00E76F3A" w:rsidTr="00FB01D2">
        <w:tc>
          <w:tcPr>
            <w:tcW w:w="2977" w:type="dxa"/>
            <w:shd w:val="clear" w:color="auto" w:fill="FFF2CC" w:themeFill="accent4" w:themeFillTint="33"/>
            <w:vAlign w:val="center"/>
          </w:tcPr>
          <w:p w:rsidR="00CA20D9" w:rsidRPr="0065233C" w:rsidRDefault="00CA20D9" w:rsidP="0065233C">
            <w:pPr>
              <w:pStyle w:val="ListParagraph"/>
              <w:tabs>
                <w:tab w:val="left" w:pos="990"/>
                <w:tab w:val="left" w:pos="1080"/>
                <w:tab w:val="left" w:pos="1170"/>
              </w:tabs>
              <w:spacing w:line="276" w:lineRule="auto"/>
              <w:ind w:left="0"/>
              <w:jc w:val="right"/>
              <w:rPr>
                <w:rFonts w:ascii="Times New Roman" w:hAnsi="Times New Roman" w:cs="Times New Roman"/>
                <w:i/>
                <w:color w:val="000000" w:themeColor="text1"/>
                <w:sz w:val="24"/>
                <w:szCs w:val="24"/>
              </w:rPr>
            </w:pPr>
            <w:r w:rsidRPr="0065233C">
              <w:rPr>
                <w:rFonts w:ascii="Times New Roman" w:hAnsi="Times New Roman" w:cs="Times New Roman"/>
                <w:i/>
                <w:color w:val="000000" w:themeColor="text1"/>
                <w:sz w:val="24"/>
                <w:szCs w:val="24"/>
              </w:rPr>
              <w:t>Neimplementate</w:t>
            </w:r>
          </w:p>
        </w:tc>
        <w:tc>
          <w:tcPr>
            <w:tcW w:w="3260" w:type="dxa"/>
            <w:shd w:val="clear" w:color="auto" w:fill="FFF2CC" w:themeFill="accent4" w:themeFillTint="33"/>
            <w:vAlign w:val="center"/>
          </w:tcPr>
          <w:p w:rsidR="00CA20D9" w:rsidRPr="00FB01D2" w:rsidRDefault="00F20372" w:rsidP="0065233C">
            <w:pPr>
              <w:pStyle w:val="ListParagraph"/>
              <w:tabs>
                <w:tab w:val="left" w:pos="990"/>
                <w:tab w:val="left" w:pos="1080"/>
                <w:tab w:val="left" w:pos="1170"/>
              </w:tabs>
              <w:spacing w:line="276" w:lineRule="auto"/>
              <w:ind w:left="0"/>
              <w:jc w:val="center"/>
              <w:rPr>
                <w:rFonts w:ascii="Times New Roman" w:hAnsi="Times New Roman" w:cs="Times New Roman"/>
                <w:color w:val="000000" w:themeColor="text1"/>
                <w:sz w:val="24"/>
                <w:szCs w:val="24"/>
              </w:rPr>
            </w:pPr>
            <w:r>
              <w:rPr>
                <w:rFonts w:ascii="Times New Roman" w:eastAsia="Times New Roman" w:hAnsi="Times New Roman" w:cs="Times New Roman"/>
                <w:bCs/>
                <w:color w:val="000000" w:themeColor="text1"/>
                <w:sz w:val="24"/>
                <w:szCs w:val="24"/>
                <w:lang w:eastAsia="ro-RO"/>
              </w:rPr>
              <w:t xml:space="preserve"> </w:t>
            </w:r>
            <w:r w:rsidR="00CA20D9" w:rsidRPr="00FB01D2">
              <w:rPr>
                <w:rFonts w:ascii="Times New Roman" w:eastAsia="Times New Roman" w:hAnsi="Times New Roman" w:cs="Times New Roman"/>
                <w:bCs/>
                <w:color w:val="000000" w:themeColor="text1"/>
                <w:sz w:val="24"/>
                <w:szCs w:val="24"/>
                <w:lang w:eastAsia="ro-RO"/>
              </w:rPr>
              <w:t>2,94</w:t>
            </w:r>
            <w:r w:rsidR="0065233C">
              <w:rPr>
                <w:rFonts w:ascii="Times New Roman" w:eastAsia="Times New Roman" w:hAnsi="Times New Roman" w:cs="Times New Roman"/>
                <w:bCs/>
                <w:color w:val="000000" w:themeColor="text1"/>
                <w:sz w:val="24"/>
                <w:szCs w:val="24"/>
                <w:lang w:eastAsia="ro-RO"/>
              </w:rPr>
              <w:t xml:space="preserve"> </w:t>
            </w:r>
            <w:r w:rsidR="00CA20D9" w:rsidRPr="00FB01D2">
              <w:rPr>
                <w:rFonts w:ascii="Times New Roman" w:hAnsi="Times New Roman" w:cs="Times New Roman"/>
                <w:color w:val="000000" w:themeColor="text1"/>
                <w:sz w:val="24"/>
                <w:szCs w:val="24"/>
              </w:rPr>
              <w:t>%</w:t>
            </w:r>
          </w:p>
        </w:tc>
        <w:tc>
          <w:tcPr>
            <w:tcW w:w="3402" w:type="dxa"/>
            <w:shd w:val="clear" w:color="auto" w:fill="FFF2CC" w:themeFill="accent4" w:themeFillTint="33"/>
            <w:vAlign w:val="center"/>
          </w:tcPr>
          <w:p w:rsidR="00CA20D9" w:rsidRPr="00FB01D2" w:rsidRDefault="00F20372" w:rsidP="0065233C">
            <w:pPr>
              <w:pStyle w:val="ListParagraph"/>
              <w:tabs>
                <w:tab w:val="left" w:pos="990"/>
                <w:tab w:val="left" w:pos="1080"/>
                <w:tab w:val="left" w:pos="1170"/>
              </w:tabs>
              <w:spacing w:line="276" w:lineRule="auto"/>
              <w:ind w:left="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00CA20D9" w:rsidRPr="00FB01D2">
              <w:rPr>
                <w:rFonts w:ascii="Times New Roman" w:hAnsi="Times New Roman" w:cs="Times New Roman"/>
                <w:color w:val="000000" w:themeColor="text1"/>
                <w:sz w:val="24"/>
                <w:szCs w:val="24"/>
              </w:rPr>
              <w:t>2,</w:t>
            </w:r>
            <w:r w:rsidR="00B64393" w:rsidRPr="00FB01D2">
              <w:rPr>
                <w:rFonts w:ascii="Times New Roman" w:hAnsi="Times New Roman" w:cs="Times New Roman"/>
                <w:color w:val="000000" w:themeColor="text1"/>
                <w:sz w:val="24"/>
                <w:szCs w:val="24"/>
              </w:rPr>
              <w:t>42</w:t>
            </w:r>
            <w:r w:rsidR="0065233C">
              <w:rPr>
                <w:rFonts w:ascii="Times New Roman" w:hAnsi="Times New Roman" w:cs="Times New Roman"/>
                <w:color w:val="000000" w:themeColor="text1"/>
                <w:sz w:val="24"/>
                <w:szCs w:val="24"/>
              </w:rPr>
              <w:t xml:space="preserve"> </w:t>
            </w:r>
            <w:r w:rsidR="00CA20D9" w:rsidRPr="00FB01D2">
              <w:rPr>
                <w:rFonts w:ascii="Times New Roman" w:hAnsi="Times New Roman" w:cs="Times New Roman"/>
                <w:color w:val="000000" w:themeColor="text1"/>
                <w:sz w:val="24"/>
                <w:szCs w:val="24"/>
              </w:rPr>
              <w:t>%</w:t>
            </w:r>
          </w:p>
        </w:tc>
      </w:tr>
    </w:tbl>
    <w:p w:rsidR="00CA20D9" w:rsidRPr="00666211" w:rsidRDefault="00CA20D9" w:rsidP="00CA20D9">
      <w:pPr>
        <w:pStyle w:val="ListParagraph"/>
        <w:spacing w:line="276" w:lineRule="auto"/>
        <w:ind w:left="450"/>
        <w:jc w:val="both"/>
        <w:rPr>
          <w:rFonts w:ascii="Times New Roman" w:hAnsi="Times New Roman" w:cs="Times New Roman"/>
          <w:sz w:val="24"/>
          <w:szCs w:val="24"/>
        </w:rPr>
      </w:pPr>
    </w:p>
    <w:p w:rsidR="00412653" w:rsidRPr="00412653" w:rsidRDefault="001D32C5" w:rsidP="0077708F">
      <w:pPr>
        <w:spacing w:after="120" w:line="276" w:lineRule="auto"/>
        <w:jc w:val="both"/>
        <w:rPr>
          <w:rFonts w:ascii="Times New Roman" w:hAnsi="Times New Roman" w:cs="Times New Roman"/>
          <w:sz w:val="24"/>
          <w:szCs w:val="24"/>
        </w:rPr>
      </w:pPr>
      <w:r>
        <w:rPr>
          <w:rFonts w:ascii="Times New Roman" w:hAnsi="Times New Roman" w:cs="Times New Roman"/>
          <w:sz w:val="24"/>
          <w:szCs w:val="24"/>
        </w:rPr>
        <w:t xml:space="preserve">Din informaţiile cuprinse </w:t>
      </w:r>
      <w:r w:rsidRPr="00665264">
        <w:rPr>
          <w:rFonts w:ascii="Times New Roman" w:hAnsi="Times New Roman" w:cs="Times New Roman"/>
          <w:color w:val="000000" w:themeColor="text1"/>
          <w:sz w:val="24"/>
          <w:szCs w:val="24"/>
        </w:rPr>
        <w:t xml:space="preserve">în </w:t>
      </w:r>
      <w:r w:rsidRPr="0065233C">
        <w:rPr>
          <w:rFonts w:ascii="Times New Roman" w:hAnsi="Times New Roman" w:cs="Times New Roman"/>
          <w:b/>
          <w:color w:val="000000" w:themeColor="text1"/>
          <w:sz w:val="24"/>
          <w:szCs w:val="24"/>
        </w:rPr>
        <w:t>T</w:t>
      </w:r>
      <w:r w:rsidR="00412653" w:rsidRPr="0065233C">
        <w:rPr>
          <w:rFonts w:ascii="Times New Roman" w:hAnsi="Times New Roman" w:cs="Times New Roman"/>
          <w:b/>
          <w:color w:val="000000" w:themeColor="text1"/>
          <w:sz w:val="24"/>
          <w:szCs w:val="24"/>
        </w:rPr>
        <w:t>abel</w:t>
      </w:r>
      <w:r w:rsidR="0077708F" w:rsidRPr="0065233C">
        <w:rPr>
          <w:rFonts w:ascii="Times New Roman" w:hAnsi="Times New Roman" w:cs="Times New Roman"/>
          <w:b/>
          <w:color w:val="000000" w:themeColor="text1"/>
          <w:sz w:val="24"/>
          <w:szCs w:val="24"/>
        </w:rPr>
        <w:t>ul nr.</w:t>
      </w:r>
      <w:r w:rsidRPr="0065233C">
        <w:rPr>
          <w:rFonts w:ascii="Times New Roman" w:hAnsi="Times New Roman" w:cs="Times New Roman"/>
          <w:b/>
          <w:color w:val="000000" w:themeColor="text1"/>
          <w:sz w:val="24"/>
          <w:szCs w:val="24"/>
        </w:rPr>
        <w:t>4</w:t>
      </w:r>
      <w:r w:rsidR="00665264" w:rsidRPr="0065233C">
        <w:rPr>
          <w:rFonts w:ascii="Times New Roman" w:hAnsi="Times New Roman" w:cs="Times New Roman"/>
          <w:b/>
          <w:color w:val="000000" w:themeColor="text1"/>
          <w:sz w:val="24"/>
          <w:szCs w:val="24"/>
        </w:rPr>
        <w:t>.b</w:t>
      </w:r>
      <w:r w:rsidR="00412653" w:rsidRPr="00412653">
        <w:rPr>
          <w:rFonts w:ascii="Times New Roman" w:hAnsi="Times New Roman" w:cs="Times New Roman"/>
          <w:sz w:val="24"/>
          <w:szCs w:val="24"/>
        </w:rPr>
        <w:t xml:space="preserve">, se pot desprinde </w:t>
      </w:r>
      <w:r>
        <w:rPr>
          <w:rFonts w:ascii="Times New Roman" w:hAnsi="Times New Roman" w:cs="Times New Roman"/>
          <w:sz w:val="24"/>
          <w:szCs w:val="24"/>
        </w:rPr>
        <w:t>următoarele concluzii</w:t>
      </w:r>
      <w:r w:rsidR="00412653" w:rsidRPr="00412653">
        <w:rPr>
          <w:rFonts w:ascii="Times New Roman" w:hAnsi="Times New Roman" w:cs="Times New Roman"/>
          <w:sz w:val="24"/>
          <w:szCs w:val="24"/>
        </w:rPr>
        <w:t xml:space="preserve">: </w:t>
      </w:r>
    </w:p>
    <w:p w:rsidR="00412653" w:rsidRPr="004920C6" w:rsidRDefault="00412653" w:rsidP="00C7604C">
      <w:pPr>
        <w:pStyle w:val="ListParagraph"/>
        <w:numPr>
          <w:ilvl w:val="0"/>
          <w:numId w:val="53"/>
        </w:numPr>
        <w:spacing w:after="120" w:line="276" w:lineRule="auto"/>
        <w:ind w:left="284" w:hanging="284"/>
        <w:contextualSpacing w:val="0"/>
        <w:jc w:val="both"/>
        <w:rPr>
          <w:rFonts w:ascii="Times New Roman" w:hAnsi="Times New Roman" w:cs="Times New Roman"/>
          <w:i/>
          <w:sz w:val="24"/>
          <w:szCs w:val="24"/>
        </w:rPr>
      </w:pPr>
      <w:r w:rsidRPr="004920C6">
        <w:rPr>
          <w:rFonts w:ascii="Times New Roman" w:hAnsi="Times New Roman" w:cs="Times New Roman"/>
          <w:i/>
          <w:sz w:val="24"/>
          <w:szCs w:val="24"/>
        </w:rPr>
        <w:t xml:space="preserve">toate standardele de control intern managerial au grade de implementare de peste </w:t>
      </w:r>
      <w:r w:rsidR="00BC5984" w:rsidRPr="004920C6">
        <w:rPr>
          <w:rFonts w:ascii="Times New Roman" w:hAnsi="Times New Roman" w:cs="Times New Roman"/>
          <w:i/>
          <w:sz w:val="24"/>
          <w:szCs w:val="24"/>
        </w:rPr>
        <w:t>50</w:t>
      </w:r>
      <w:r w:rsidRPr="004920C6">
        <w:rPr>
          <w:rFonts w:ascii="Times New Roman" w:hAnsi="Times New Roman" w:cs="Times New Roman"/>
          <w:i/>
          <w:sz w:val="24"/>
          <w:szCs w:val="24"/>
        </w:rPr>
        <w:t xml:space="preserve">%, iar </w:t>
      </w:r>
      <w:r w:rsidR="00BC5984" w:rsidRPr="004920C6">
        <w:rPr>
          <w:rFonts w:ascii="Times New Roman" w:hAnsi="Times New Roman" w:cs="Times New Roman"/>
          <w:i/>
          <w:sz w:val="24"/>
          <w:szCs w:val="24"/>
        </w:rPr>
        <w:t>10</w:t>
      </w:r>
      <w:r w:rsidRPr="004920C6">
        <w:rPr>
          <w:rFonts w:ascii="Times New Roman" w:hAnsi="Times New Roman" w:cs="Times New Roman"/>
          <w:i/>
          <w:sz w:val="24"/>
          <w:szCs w:val="24"/>
        </w:rPr>
        <w:t xml:space="preserve"> dintre ele de peste </w:t>
      </w:r>
      <w:r w:rsidR="00BC5984" w:rsidRPr="004920C6">
        <w:rPr>
          <w:rFonts w:ascii="Times New Roman" w:hAnsi="Times New Roman" w:cs="Times New Roman"/>
          <w:i/>
          <w:sz w:val="24"/>
          <w:szCs w:val="24"/>
        </w:rPr>
        <w:t>90</w:t>
      </w:r>
      <w:r w:rsidR="0065233C">
        <w:rPr>
          <w:rFonts w:ascii="Times New Roman" w:hAnsi="Times New Roman" w:cs="Times New Roman"/>
          <w:i/>
          <w:sz w:val="24"/>
          <w:szCs w:val="24"/>
        </w:rPr>
        <w:t>%;</w:t>
      </w:r>
    </w:p>
    <w:p w:rsidR="00412653" w:rsidRPr="004920C6" w:rsidRDefault="00691D87" w:rsidP="00C7604C">
      <w:pPr>
        <w:pStyle w:val="ListParagraph"/>
        <w:numPr>
          <w:ilvl w:val="0"/>
          <w:numId w:val="53"/>
        </w:numPr>
        <w:spacing w:after="120" w:line="276" w:lineRule="auto"/>
        <w:ind w:left="284" w:hanging="284"/>
        <w:contextualSpacing w:val="0"/>
        <w:jc w:val="both"/>
        <w:rPr>
          <w:rFonts w:ascii="Times New Roman" w:hAnsi="Times New Roman" w:cs="Times New Roman"/>
          <w:i/>
          <w:sz w:val="24"/>
          <w:szCs w:val="24"/>
        </w:rPr>
      </w:pPr>
      <w:r>
        <w:rPr>
          <w:rFonts w:ascii="Times New Roman" w:hAnsi="Times New Roman" w:cs="Times New Roman"/>
          <w:i/>
          <w:sz w:val="24"/>
          <w:szCs w:val="24"/>
        </w:rPr>
        <w:t>6</w:t>
      </w:r>
      <w:r w:rsidR="00BC5984" w:rsidRPr="004920C6">
        <w:rPr>
          <w:rFonts w:ascii="Times New Roman" w:hAnsi="Times New Roman" w:cs="Times New Roman"/>
          <w:i/>
          <w:sz w:val="24"/>
          <w:szCs w:val="24"/>
        </w:rPr>
        <w:t xml:space="preserve"> </w:t>
      </w:r>
      <w:r w:rsidR="00412653" w:rsidRPr="004920C6">
        <w:rPr>
          <w:rFonts w:ascii="Times New Roman" w:hAnsi="Times New Roman" w:cs="Times New Roman"/>
          <w:i/>
          <w:sz w:val="24"/>
          <w:szCs w:val="24"/>
        </w:rPr>
        <w:t xml:space="preserve">standarde de control intern managerial au grade de implementare inferioare gradului mediu de implementare, reprezentând un procent de </w:t>
      </w:r>
      <w:r>
        <w:rPr>
          <w:rFonts w:ascii="Times New Roman" w:hAnsi="Times New Roman" w:cs="Times New Roman"/>
          <w:i/>
          <w:sz w:val="24"/>
          <w:szCs w:val="24"/>
        </w:rPr>
        <w:t>37,50</w:t>
      </w:r>
      <w:r w:rsidR="00412653" w:rsidRPr="004920C6">
        <w:rPr>
          <w:rFonts w:ascii="Times New Roman" w:hAnsi="Times New Roman" w:cs="Times New Roman"/>
          <w:i/>
          <w:sz w:val="24"/>
          <w:szCs w:val="24"/>
        </w:rPr>
        <w:t xml:space="preserve">%, iar </w:t>
      </w:r>
      <w:r w:rsidR="00BC5984" w:rsidRPr="004920C6">
        <w:rPr>
          <w:rFonts w:ascii="Times New Roman" w:hAnsi="Times New Roman" w:cs="Times New Roman"/>
          <w:i/>
          <w:sz w:val="24"/>
          <w:szCs w:val="24"/>
        </w:rPr>
        <w:t>1</w:t>
      </w:r>
      <w:r>
        <w:rPr>
          <w:rFonts w:ascii="Times New Roman" w:hAnsi="Times New Roman" w:cs="Times New Roman"/>
          <w:i/>
          <w:sz w:val="24"/>
          <w:szCs w:val="24"/>
        </w:rPr>
        <w:t>0</w:t>
      </w:r>
      <w:r w:rsidR="00412653" w:rsidRPr="004920C6">
        <w:rPr>
          <w:rFonts w:ascii="Times New Roman" w:hAnsi="Times New Roman" w:cs="Times New Roman"/>
          <w:i/>
          <w:sz w:val="24"/>
          <w:szCs w:val="24"/>
        </w:rPr>
        <w:t xml:space="preserve"> standarde au gradele de implementare superioare gradului mediu de implementare, ceea ce reprezintă </w:t>
      </w:r>
      <w:r w:rsidR="00BC5984" w:rsidRPr="004920C6">
        <w:rPr>
          <w:rFonts w:ascii="Times New Roman" w:hAnsi="Times New Roman" w:cs="Times New Roman"/>
          <w:i/>
          <w:sz w:val="24"/>
          <w:szCs w:val="24"/>
        </w:rPr>
        <w:t>6</w:t>
      </w:r>
      <w:r>
        <w:rPr>
          <w:rFonts w:ascii="Times New Roman" w:hAnsi="Times New Roman" w:cs="Times New Roman"/>
          <w:i/>
          <w:sz w:val="24"/>
          <w:szCs w:val="24"/>
        </w:rPr>
        <w:t>2,</w:t>
      </w:r>
      <w:r w:rsidR="00BC5984" w:rsidRPr="004920C6">
        <w:rPr>
          <w:rFonts w:ascii="Times New Roman" w:hAnsi="Times New Roman" w:cs="Times New Roman"/>
          <w:i/>
          <w:sz w:val="24"/>
          <w:szCs w:val="24"/>
        </w:rPr>
        <w:t>5</w:t>
      </w:r>
      <w:r>
        <w:rPr>
          <w:rFonts w:ascii="Times New Roman" w:hAnsi="Times New Roman" w:cs="Times New Roman"/>
          <w:i/>
          <w:sz w:val="24"/>
          <w:szCs w:val="24"/>
        </w:rPr>
        <w:t>0</w:t>
      </w:r>
      <w:r w:rsidR="00412653" w:rsidRPr="004920C6">
        <w:rPr>
          <w:rFonts w:ascii="Times New Roman" w:hAnsi="Times New Roman" w:cs="Times New Roman"/>
          <w:i/>
          <w:sz w:val="24"/>
          <w:szCs w:val="24"/>
        </w:rPr>
        <w:t xml:space="preserve">%. </w:t>
      </w:r>
    </w:p>
    <w:p w:rsidR="00725140" w:rsidRPr="00725140" w:rsidRDefault="00725140" w:rsidP="0077708F">
      <w:pPr>
        <w:spacing w:after="120" w:line="276" w:lineRule="auto"/>
        <w:jc w:val="both"/>
        <w:rPr>
          <w:rFonts w:ascii="Times New Roman" w:hAnsi="Times New Roman" w:cs="Times New Roman"/>
          <w:sz w:val="24"/>
          <w:szCs w:val="24"/>
        </w:rPr>
      </w:pPr>
      <w:r>
        <w:rPr>
          <w:rFonts w:ascii="Times New Roman" w:hAnsi="Times New Roman" w:cs="Times New Roman"/>
          <w:sz w:val="24"/>
          <w:szCs w:val="24"/>
        </w:rPr>
        <w:t>O</w:t>
      </w:r>
      <w:r w:rsidRPr="00725140">
        <w:rPr>
          <w:rFonts w:ascii="Times New Roman" w:hAnsi="Times New Roman" w:cs="Times New Roman"/>
          <w:sz w:val="24"/>
          <w:szCs w:val="24"/>
        </w:rPr>
        <w:t xml:space="preserve">rdonatorii principali de credite nu au efectuat decât operaţiunea de a cumula informaţiile cuprinse în situaţiile sintetice ale rezultatelor autoevaluării, întocmite de entităţile publice din subordine, </w:t>
      </w:r>
      <w:r>
        <w:rPr>
          <w:rFonts w:ascii="Times New Roman" w:hAnsi="Times New Roman" w:cs="Times New Roman"/>
          <w:sz w:val="24"/>
          <w:szCs w:val="24"/>
        </w:rPr>
        <w:t>astfel</w:t>
      </w:r>
      <w:r w:rsidRPr="00725140">
        <w:rPr>
          <w:rFonts w:ascii="Times New Roman" w:hAnsi="Times New Roman" w:cs="Times New Roman"/>
          <w:sz w:val="24"/>
          <w:szCs w:val="24"/>
        </w:rPr>
        <w:t xml:space="preserve"> gradul de implementare al standardelor la nivelul acestora trebuie privit şi tratat cu prudenţă. </w:t>
      </w:r>
    </w:p>
    <w:p w:rsidR="00725140" w:rsidRDefault="00725140" w:rsidP="0077708F">
      <w:pPr>
        <w:spacing w:after="120" w:line="276" w:lineRule="auto"/>
        <w:jc w:val="both"/>
        <w:rPr>
          <w:rFonts w:ascii="Times New Roman" w:hAnsi="Times New Roman" w:cs="Times New Roman"/>
          <w:sz w:val="24"/>
          <w:szCs w:val="24"/>
        </w:rPr>
      </w:pPr>
      <w:r w:rsidRPr="00725140">
        <w:rPr>
          <w:rFonts w:ascii="Times New Roman" w:hAnsi="Times New Roman" w:cs="Times New Roman"/>
          <w:sz w:val="24"/>
          <w:szCs w:val="24"/>
        </w:rPr>
        <w:t xml:space="preserve">Totodată, cu precauție trebuie tratat și modul în care conducătorii compartimentelor din cadrul unor entităţi subordonate au tratat operaţiunea de autoevaluare, respectiv că răspunsurile asociate criteriilor generale de autoevaluare nu s-au bazat întotdeauna pe documente, ci mai degrabă pe ceea ce au considerat că ar trebui să răspundă, astfel încât standardele să poată fi considerate ca implementate. </w:t>
      </w:r>
    </w:p>
    <w:p w:rsidR="0077708F" w:rsidRDefault="0077708F">
      <w:pPr>
        <w:rPr>
          <w:rFonts w:ascii="Times New Roman" w:hAnsi="Times New Roman" w:cs="Times New Roman"/>
          <w:b/>
          <w:sz w:val="28"/>
          <w:szCs w:val="28"/>
        </w:rPr>
      </w:pPr>
      <w:r>
        <w:rPr>
          <w:rFonts w:ascii="Times New Roman" w:hAnsi="Times New Roman" w:cs="Times New Roman"/>
          <w:b/>
          <w:sz w:val="28"/>
          <w:szCs w:val="28"/>
        </w:rPr>
        <w:br w:type="page"/>
      </w:r>
    </w:p>
    <w:p w:rsidR="00D93066" w:rsidRPr="00CF64CA" w:rsidRDefault="00D93066" w:rsidP="00A24314">
      <w:pPr>
        <w:pStyle w:val="Raport"/>
        <w:spacing w:after="360"/>
        <w:jc w:val="both"/>
        <w:rPr>
          <w:sz w:val="24"/>
          <w:szCs w:val="24"/>
        </w:rPr>
      </w:pPr>
      <w:bookmarkStart w:id="14" w:name="_Toc485992675"/>
      <w:r w:rsidRPr="00CF64CA">
        <w:rPr>
          <w:sz w:val="24"/>
          <w:szCs w:val="24"/>
        </w:rPr>
        <w:t>2.1.3. Concluziile privind stadiul implementării standardelor de control intern managerial la nivelul entităţilor publice centrale</w:t>
      </w:r>
      <w:bookmarkEnd w:id="14"/>
    </w:p>
    <w:p w:rsidR="00D93066" w:rsidRPr="0077708F" w:rsidRDefault="00D93066" w:rsidP="0077708F">
      <w:pPr>
        <w:spacing w:line="276" w:lineRule="auto"/>
        <w:jc w:val="both"/>
        <w:rPr>
          <w:rFonts w:ascii="Times New Roman" w:hAnsi="Times New Roman" w:cs="Times New Roman"/>
          <w:color w:val="000000" w:themeColor="text1"/>
          <w:sz w:val="24"/>
          <w:szCs w:val="24"/>
        </w:rPr>
      </w:pPr>
      <w:r w:rsidRPr="0077708F">
        <w:rPr>
          <w:rFonts w:ascii="Times New Roman" w:hAnsi="Times New Roman" w:cs="Times New Roman"/>
          <w:color w:val="000000" w:themeColor="text1"/>
          <w:sz w:val="24"/>
          <w:szCs w:val="24"/>
        </w:rPr>
        <w:t>În urma analizei gradului de implementare al fiec</w:t>
      </w:r>
      <w:r w:rsidR="00EF05CF" w:rsidRPr="0077708F">
        <w:rPr>
          <w:rFonts w:ascii="Times New Roman" w:hAnsi="Times New Roman" w:cs="Times New Roman"/>
          <w:color w:val="000000" w:themeColor="text1"/>
          <w:sz w:val="24"/>
          <w:szCs w:val="24"/>
        </w:rPr>
        <w:t xml:space="preserve">ărui standard de control intern </w:t>
      </w:r>
      <w:r w:rsidRPr="0077708F">
        <w:rPr>
          <w:rFonts w:ascii="Times New Roman" w:hAnsi="Times New Roman" w:cs="Times New Roman"/>
          <w:color w:val="000000" w:themeColor="text1"/>
          <w:sz w:val="24"/>
          <w:szCs w:val="24"/>
        </w:rPr>
        <w:t>managerial la nivelul ordonatorilor principali de credite</w:t>
      </w:r>
      <w:r w:rsidR="00701950" w:rsidRPr="0077708F">
        <w:rPr>
          <w:rFonts w:ascii="Times New Roman" w:hAnsi="Times New Roman" w:cs="Times New Roman"/>
          <w:color w:val="000000" w:themeColor="text1"/>
          <w:sz w:val="24"/>
          <w:szCs w:val="24"/>
        </w:rPr>
        <w:t xml:space="preserve">, pentru anul 2016 comparativ cu anul 2015 </w:t>
      </w:r>
      <w:r w:rsidRPr="0077708F">
        <w:rPr>
          <w:rFonts w:ascii="Times New Roman" w:hAnsi="Times New Roman" w:cs="Times New Roman"/>
          <w:color w:val="000000" w:themeColor="text1"/>
          <w:sz w:val="24"/>
          <w:szCs w:val="24"/>
        </w:rPr>
        <w:t>, precum și de la nivelul ordonatorilor secundari și terțiari, desprindem concluzi</w:t>
      </w:r>
      <w:r w:rsidR="0077708F">
        <w:rPr>
          <w:rFonts w:ascii="Times New Roman" w:hAnsi="Times New Roman" w:cs="Times New Roman"/>
          <w:color w:val="000000" w:themeColor="text1"/>
          <w:sz w:val="24"/>
          <w:szCs w:val="24"/>
        </w:rPr>
        <w:t xml:space="preserve">a că </w:t>
      </w:r>
      <w:r w:rsidRPr="0077708F">
        <w:rPr>
          <w:rFonts w:ascii="Times New Roman" w:hAnsi="Times New Roman" w:cs="Times New Roman"/>
          <w:color w:val="000000" w:themeColor="text1"/>
          <w:sz w:val="24"/>
          <w:szCs w:val="24"/>
        </w:rPr>
        <w:t>standardele de control intern</w:t>
      </w:r>
      <w:r w:rsidR="00EF05CF" w:rsidRPr="0077708F">
        <w:rPr>
          <w:rFonts w:ascii="Times New Roman" w:hAnsi="Times New Roman" w:cs="Times New Roman"/>
          <w:color w:val="000000" w:themeColor="text1"/>
          <w:sz w:val="24"/>
          <w:szCs w:val="24"/>
        </w:rPr>
        <w:t xml:space="preserve"> </w:t>
      </w:r>
      <w:r w:rsidRPr="0077708F">
        <w:rPr>
          <w:rFonts w:ascii="Times New Roman" w:hAnsi="Times New Roman" w:cs="Times New Roman"/>
          <w:color w:val="000000" w:themeColor="text1"/>
          <w:sz w:val="24"/>
          <w:szCs w:val="24"/>
        </w:rPr>
        <w:t>managerial au</w:t>
      </w:r>
      <w:r w:rsidR="00AF4B8F" w:rsidRPr="0077708F">
        <w:rPr>
          <w:rFonts w:ascii="Times New Roman" w:hAnsi="Times New Roman" w:cs="Times New Roman"/>
          <w:color w:val="000000" w:themeColor="text1"/>
          <w:sz w:val="24"/>
          <w:szCs w:val="24"/>
        </w:rPr>
        <w:t xml:space="preserve"> grade medii de implementare</w:t>
      </w:r>
      <w:r w:rsidRPr="0077708F">
        <w:rPr>
          <w:rFonts w:ascii="Times New Roman" w:hAnsi="Times New Roman" w:cs="Times New Roman"/>
          <w:color w:val="000000" w:themeColor="text1"/>
          <w:sz w:val="24"/>
          <w:szCs w:val="24"/>
        </w:rPr>
        <w:t xml:space="preserve"> </w:t>
      </w:r>
      <w:r w:rsidR="000C221B" w:rsidRPr="0077708F">
        <w:rPr>
          <w:rFonts w:ascii="Times New Roman" w:hAnsi="Times New Roman" w:cs="Times New Roman"/>
          <w:color w:val="000000" w:themeColor="text1"/>
          <w:sz w:val="24"/>
          <w:szCs w:val="24"/>
        </w:rPr>
        <w:t xml:space="preserve">diferite </w:t>
      </w:r>
      <w:r w:rsidRPr="0077708F">
        <w:rPr>
          <w:rFonts w:ascii="Times New Roman" w:hAnsi="Times New Roman" w:cs="Times New Roman"/>
          <w:color w:val="000000" w:themeColor="text1"/>
          <w:sz w:val="24"/>
          <w:szCs w:val="24"/>
        </w:rPr>
        <w:t>în funcție de categoria ordonator</w:t>
      </w:r>
      <w:r w:rsidR="000C221B" w:rsidRPr="0077708F">
        <w:rPr>
          <w:rFonts w:ascii="Times New Roman" w:hAnsi="Times New Roman" w:cs="Times New Roman"/>
          <w:color w:val="000000" w:themeColor="text1"/>
          <w:sz w:val="24"/>
          <w:szCs w:val="24"/>
        </w:rPr>
        <w:t>ilor d</w:t>
      </w:r>
      <w:r w:rsidRPr="0077708F">
        <w:rPr>
          <w:rFonts w:ascii="Times New Roman" w:hAnsi="Times New Roman" w:cs="Times New Roman"/>
          <w:color w:val="000000" w:themeColor="text1"/>
          <w:sz w:val="24"/>
          <w:szCs w:val="24"/>
        </w:rPr>
        <w:t xml:space="preserve">e credite, </w:t>
      </w:r>
      <w:r w:rsidR="0077708F">
        <w:rPr>
          <w:rFonts w:ascii="Times New Roman" w:hAnsi="Times New Roman" w:cs="Times New Roman"/>
          <w:color w:val="000000" w:themeColor="text1"/>
          <w:sz w:val="24"/>
          <w:szCs w:val="24"/>
        </w:rPr>
        <w:t>astfel</w:t>
      </w:r>
      <w:r w:rsidR="000C221B" w:rsidRPr="0077708F">
        <w:rPr>
          <w:rFonts w:ascii="Times New Roman" w:hAnsi="Times New Roman" w:cs="Times New Roman"/>
          <w:color w:val="000000" w:themeColor="text1"/>
          <w:sz w:val="24"/>
          <w:szCs w:val="24"/>
        </w:rPr>
        <w:t xml:space="preserve"> </w:t>
      </w:r>
      <w:r w:rsidRPr="0077708F">
        <w:rPr>
          <w:rFonts w:ascii="Times New Roman" w:hAnsi="Times New Roman" w:cs="Times New Roman"/>
          <w:color w:val="000000" w:themeColor="text1"/>
          <w:sz w:val="24"/>
          <w:szCs w:val="24"/>
        </w:rPr>
        <w:t xml:space="preserve">: </w:t>
      </w:r>
    </w:p>
    <w:p w:rsidR="00701950" w:rsidRPr="0077708F" w:rsidRDefault="00701950" w:rsidP="0077708F">
      <w:pPr>
        <w:pStyle w:val="ListParagraph"/>
        <w:spacing w:line="276" w:lineRule="auto"/>
        <w:jc w:val="both"/>
        <w:rPr>
          <w:rFonts w:ascii="Times New Roman" w:hAnsi="Times New Roman" w:cs="Times New Roman"/>
          <w:b/>
          <w:color w:val="000000" w:themeColor="text1"/>
          <w:sz w:val="24"/>
          <w:szCs w:val="24"/>
        </w:rPr>
      </w:pPr>
      <w:r w:rsidRPr="0077708F">
        <w:rPr>
          <w:rFonts w:ascii="Times New Roman" w:hAnsi="Times New Roman" w:cs="Times New Roman"/>
          <w:b/>
          <w:color w:val="000000" w:themeColor="text1"/>
          <w:sz w:val="24"/>
          <w:szCs w:val="24"/>
        </w:rPr>
        <w:t>Anul 2015</w:t>
      </w:r>
    </w:p>
    <w:p w:rsidR="00D93066" w:rsidRPr="0077708F" w:rsidRDefault="00B3525C" w:rsidP="00C7604C">
      <w:pPr>
        <w:pStyle w:val="ListParagraph"/>
        <w:numPr>
          <w:ilvl w:val="0"/>
          <w:numId w:val="54"/>
        </w:numPr>
        <w:tabs>
          <w:tab w:val="left" w:pos="993"/>
        </w:tabs>
        <w:spacing w:line="276" w:lineRule="auto"/>
        <w:ind w:hanging="720"/>
        <w:jc w:val="both"/>
        <w:rPr>
          <w:rFonts w:ascii="Times New Roman" w:hAnsi="Times New Roman" w:cs="Times New Roman"/>
          <w:color w:val="000000" w:themeColor="text1"/>
          <w:sz w:val="24"/>
          <w:szCs w:val="24"/>
        </w:rPr>
      </w:pPr>
      <w:r w:rsidRPr="0077708F">
        <w:rPr>
          <w:rFonts w:ascii="Times New Roman" w:hAnsi="Times New Roman" w:cs="Times New Roman"/>
          <w:color w:val="000000" w:themeColor="text1"/>
          <w:sz w:val="24"/>
          <w:szCs w:val="24"/>
        </w:rPr>
        <w:t>80,6</w:t>
      </w:r>
      <w:r w:rsidR="00E236DC" w:rsidRPr="0077708F">
        <w:rPr>
          <w:rFonts w:ascii="Times New Roman" w:hAnsi="Times New Roman" w:cs="Times New Roman"/>
          <w:color w:val="000000" w:themeColor="text1"/>
          <w:sz w:val="24"/>
          <w:szCs w:val="24"/>
        </w:rPr>
        <w:t>5</w:t>
      </w:r>
      <w:r w:rsidR="00D93066" w:rsidRPr="0077708F">
        <w:rPr>
          <w:rFonts w:ascii="Times New Roman" w:hAnsi="Times New Roman" w:cs="Times New Roman"/>
          <w:color w:val="000000" w:themeColor="text1"/>
          <w:sz w:val="24"/>
          <w:szCs w:val="24"/>
        </w:rPr>
        <w:t xml:space="preserve">% la nivelul ordonatorilor principali de credite; </w:t>
      </w:r>
    </w:p>
    <w:p w:rsidR="00D93066" w:rsidRPr="0077708F" w:rsidRDefault="00EF05CF" w:rsidP="00C7604C">
      <w:pPr>
        <w:pStyle w:val="ListParagraph"/>
        <w:numPr>
          <w:ilvl w:val="0"/>
          <w:numId w:val="54"/>
        </w:numPr>
        <w:tabs>
          <w:tab w:val="left" w:pos="993"/>
        </w:tabs>
        <w:spacing w:line="276" w:lineRule="auto"/>
        <w:ind w:hanging="720"/>
        <w:jc w:val="both"/>
        <w:rPr>
          <w:rFonts w:ascii="Times New Roman" w:hAnsi="Times New Roman" w:cs="Times New Roman"/>
          <w:color w:val="000000" w:themeColor="text1"/>
          <w:sz w:val="24"/>
          <w:szCs w:val="24"/>
        </w:rPr>
      </w:pPr>
      <w:r w:rsidRPr="0077708F">
        <w:rPr>
          <w:rFonts w:ascii="Times New Roman" w:hAnsi="Times New Roman" w:cs="Times New Roman"/>
          <w:bCs/>
          <w:color w:val="000000" w:themeColor="text1"/>
          <w:sz w:val="24"/>
          <w:szCs w:val="24"/>
        </w:rPr>
        <w:t>8</w:t>
      </w:r>
      <w:r w:rsidR="00E236DC" w:rsidRPr="0077708F">
        <w:rPr>
          <w:rFonts w:ascii="Times New Roman" w:hAnsi="Times New Roman" w:cs="Times New Roman"/>
          <w:bCs/>
          <w:color w:val="000000" w:themeColor="text1"/>
          <w:sz w:val="24"/>
          <w:szCs w:val="24"/>
        </w:rPr>
        <w:t>8,94</w:t>
      </w:r>
      <w:r w:rsidR="00D93066" w:rsidRPr="0077708F">
        <w:rPr>
          <w:rFonts w:ascii="Times New Roman" w:hAnsi="Times New Roman" w:cs="Times New Roman"/>
          <w:bCs/>
          <w:color w:val="000000" w:themeColor="text1"/>
          <w:sz w:val="24"/>
          <w:szCs w:val="24"/>
        </w:rPr>
        <w:t xml:space="preserve"> </w:t>
      </w:r>
      <w:r w:rsidR="00D93066" w:rsidRPr="0077708F">
        <w:rPr>
          <w:rFonts w:ascii="Times New Roman" w:hAnsi="Times New Roman" w:cs="Times New Roman"/>
          <w:color w:val="000000" w:themeColor="text1"/>
          <w:sz w:val="24"/>
          <w:szCs w:val="24"/>
        </w:rPr>
        <w:t>% la nivelul entităților publice subordonate ordonatorilor principali de credite.</w:t>
      </w:r>
    </w:p>
    <w:p w:rsidR="00701950" w:rsidRPr="0077708F" w:rsidRDefault="00701950" w:rsidP="0077708F">
      <w:pPr>
        <w:pStyle w:val="ListParagraph"/>
        <w:tabs>
          <w:tab w:val="left" w:pos="993"/>
        </w:tabs>
        <w:spacing w:line="276" w:lineRule="auto"/>
        <w:jc w:val="both"/>
        <w:rPr>
          <w:rFonts w:ascii="Times New Roman" w:hAnsi="Times New Roman" w:cs="Times New Roman"/>
          <w:b/>
          <w:color w:val="000000" w:themeColor="text1"/>
          <w:sz w:val="24"/>
          <w:szCs w:val="24"/>
        </w:rPr>
      </w:pPr>
      <w:r w:rsidRPr="0077708F">
        <w:rPr>
          <w:rFonts w:ascii="Times New Roman" w:hAnsi="Times New Roman" w:cs="Times New Roman"/>
          <w:b/>
          <w:color w:val="000000" w:themeColor="text1"/>
          <w:sz w:val="24"/>
          <w:szCs w:val="24"/>
        </w:rPr>
        <w:t>Anul 2016</w:t>
      </w:r>
    </w:p>
    <w:p w:rsidR="00701950" w:rsidRPr="0077708F" w:rsidRDefault="006A0B0E" w:rsidP="00C7604C">
      <w:pPr>
        <w:pStyle w:val="ListParagraph"/>
        <w:numPr>
          <w:ilvl w:val="0"/>
          <w:numId w:val="55"/>
        </w:numPr>
        <w:tabs>
          <w:tab w:val="left" w:pos="993"/>
        </w:tabs>
        <w:spacing w:line="276" w:lineRule="auto"/>
        <w:ind w:hanging="11"/>
        <w:jc w:val="both"/>
        <w:rPr>
          <w:rFonts w:ascii="Times New Roman" w:hAnsi="Times New Roman" w:cs="Times New Roman"/>
          <w:color w:val="000000" w:themeColor="text1"/>
          <w:sz w:val="24"/>
          <w:szCs w:val="24"/>
        </w:rPr>
      </w:pPr>
      <w:r w:rsidRPr="0077708F">
        <w:rPr>
          <w:rFonts w:ascii="Times New Roman" w:hAnsi="Times New Roman" w:cs="Times New Roman"/>
          <w:color w:val="000000" w:themeColor="text1"/>
          <w:sz w:val="24"/>
          <w:szCs w:val="24"/>
        </w:rPr>
        <w:t>78,25</w:t>
      </w:r>
      <w:r w:rsidR="00701950" w:rsidRPr="0077708F">
        <w:rPr>
          <w:rFonts w:ascii="Times New Roman" w:hAnsi="Times New Roman" w:cs="Times New Roman"/>
          <w:color w:val="000000" w:themeColor="text1"/>
          <w:sz w:val="24"/>
          <w:szCs w:val="24"/>
        </w:rPr>
        <w:t xml:space="preserve"> % la nivelul ordonatorilor principali de credite; </w:t>
      </w:r>
    </w:p>
    <w:p w:rsidR="00701950" w:rsidRPr="0077708F" w:rsidRDefault="00701950" w:rsidP="00C7604C">
      <w:pPr>
        <w:pStyle w:val="ListParagraph"/>
        <w:numPr>
          <w:ilvl w:val="0"/>
          <w:numId w:val="55"/>
        </w:numPr>
        <w:tabs>
          <w:tab w:val="left" w:pos="993"/>
        </w:tabs>
        <w:spacing w:line="276" w:lineRule="auto"/>
        <w:ind w:hanging="11"/>
        <w:jc w:val="both"/>
        <w:rPr>
          <w:rFonts w:ascii="Times New Roman" w:hAnsi="Times New Roman" w:cs="Times New Roman"/>
          <w:color w:val="000000" w:themeColor="text1"/>
          <w:sz w:val="24"/>
          <w:szCs w:val="24"/>
        </w:rPr>
      </w:pPr>
      <w:r w:rsidRPr="0077708F">
        <w:rPr>
          <w:rFonts w:ascii="Times New Roman" w:hAnsi="Times New Roman" w:cs="Times New Roman"/>
          <w:bCs/>
          <w:color w:val="000000" w:themeColor="text1"/>
          <w:sz w:val="24"/>
          <w:szCs w:val="24"/>
        </w:rPr>
        <w:t xml:space="preserve">90,14 </w:t>
      </w:r>
      <w:r w:rsidRPr="0077708F">
        <w:rPr>
          <w:rFonts w:ascii="Times New Roman" w:hAnsi="Times New Roman" w:cs="Times New Roman"/>
          <w:color w:val="000000" w:themeColor="text1"/>
          <w:sz w:val="24"/>
          <w:szCs w:val="24"/>
        </w:rPr>
        <w:t>% la nivelul entităților publice subordonate ordonatorilor principali de credite.</w:t>
      </w:r>
    </w:p>
    <w:p w:rsidR="00701950" w:rsidRPr="00701950" w:rsidRDefault="00044766" w:rsidP="00701950">
      <w:pPr>
        <w:pStyle w:val="ListParagraph"/>
        <w:tabs>
          <w:tab w:val="left" w:pos="993"/>
        </w:tabs>
        <w:spacing w:line="276" w:lineRule="auto"/>
        <w:jc w:val="both"/>
        <w:rPr>
          <w:rFonts w:ascii="Times New Roman" w:hAnsi="Times New Roman" w:cs="Times New Roman"/>
          <w:color w:val="FF0000"/>
          <w:sz w:val="24"/>
          <w:szCs w:val="24"/>
        </w:rPr>
      </w:pPr>
      <w:r>
        <w:rPr>
          <w:rFonts w:ascii="Times New Roman" w:hAnsi="Times New Roman" w:cs="Times New Roman"/>
          <w:noProof/>
          <w:sz w:val="24"/>
          <w:szCs w:val="24"/>
          <w:lang w:eastAsia="ro-RO"/>
        </w:rPr>
        <w:drawing>
          <wp:anchor distT="0" distB="0" distL="114300" distR="114300" simplePos="0" relativeHeight="251695104" behindDoc="0" locked="0" layoutInCell="1" allowOverlap="1" wp14:anchorId="60778196" wp14:editId="63B33740">
            <wp:simplePos x="0" y="0"/>
            <wp:positionH relativeFrom="column">
              <wp:posOffset>3167322</wp:posOffset>
            </wp:positionH>
            <wp:positionV relativeFrom="paragraph">
              <wp:posOffset>305556</wp:posOffset>
            </wp:positionV>
            <wp:extent cx="2940685" cy="2759710"/>
            <wp:effectExtent l="0" t="0" r="12065" b="2540"/>
            <wp:wrapNone/>
            <wp:docPr id="117" name="Chart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14:sizeRelV relativeFrom="margin">
              <wp14:pctHeight>0</wp14:pctHeight>
            </wp14:sizeRelV>
          </wp:anchor>
        </w:drawing>
      </w:r>
      <w:r>
        <w:rPr>
          <w:rFonts w:ascii="Times New Roman" w:hAnsi="Times New Roman" w:cs="Times New Roman"/>
          <w:noProof/>
          <w:sz w:val="24"/>
          <w:szCs w:val="24"/>
          <w:lang w:eastAsia="ro-RO"/>
        </w:rPr>
        <w:drawing>
          <wp:anchor distT="0" distB="0" distL="114300" distR="114300" simplePos="0" relativeHeight="251693056" behindDoc="0" locked="0" layoutInCell="1" allowOverlap="1" wp14:anchorId="492CAA5E" wp14:editId="5190B4AF">
            <wp:simplePos x="0" y="0"/>
            <wp:positionH relativeFrom="column">
              <wp:posOffset>-2224</wp:posOffset>
            </wp:positionH>
            <wp:positionV relativeFrom="paragraph">
              <wp:posOffset>305556</wp:posOffset>
            </wp:positionV>
            <wp:extent cx="2940685" cy="2760029"/>
            <wp:effectExtent l="0" t="0" r="12065" b="2540"/>
            <wp:wrapNone/>
            <wp:docPr id="116" name="Chart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14:sizeRelV relativeFrom="margin">
              <wp14:pctHeight>0</wp14:pctHeight>
            </wp14:sizeRelV>
          </wp:anchor>
        </w:drawing>
      </w:r>
    </w:p>
    <w:p w:rsidR="00151752" w:rsidRDefault="00151752">
      <w:pPr>
        <w:rPr>
          <w:rFonts w:ascii="Times New Roman" w:hAnsi="Times New Roman" w:cs="Times New Roman"/>
          <w:sz w:val="24"/>
          <w:szCs w:val="24"/>
        </w:rPr>
      </w:pPr>
      <w:r>
        <w:rPr>
          <w:rFonts w:ascii="Times New Roman" w:hAnsi="Times New Roman" w:cs="Times New Roman"/>
          <w:sz w:val="24"/>
          <w:szCs w:val="24"/>
        </w:rPr>
        <w:br w:type="page"/>
      </w:r>
    </w:p>
    <w:p w:rsidR="00AB4EED" w:rsidRPr="0077708F" w:rsidRDefault="00AB4EED" w:rsidP="00AB4EED">
      <w:pPr>
        <w:spacing w:line="276" w:lineRule="auto"/>
        <w:jc w:val="both"/>
        <w:rPr>
          <w:rFonts w:ascii="Times New Roman" w:hAnsi="Times New Roman"/>
          <w:b/>
          <w:sz w:val="24"/>
          <w:szCs w:val="24"/>
        </w:rPr>
      </w:pPr>
      <w:r w:rsidRPr="0077708F">
        <w:rPr>
          <w:rFonts w:ascii="Times New Roman" w:hAnsi="Times New Roman"/>
          <w:b/>
          <w:sz w:val="24"/>
          <w:szCs w:val="24"/>
        </w:rPr>
        <w:t xml:space="preserve">Analiza standardelor de control intern managerial pe cele </w:t>
      </w:r>
      <w:r w:rsidR="0077708F" w:rsidRPr="0077708F">
        <w:rPr>
          <w:rFonts w:ascii="Times New Roman" w:hAnsi="Times New Roman"/>
          <w:b/>
          <w:sz w:val="24"/>
          <w:szCs w:val="24"/>
        </w:rPr>
        <w:t>cinci elemente-cheie</w:t>
      </w:r>
      <w:r w:rsidR="006E6820">
        <w:rPr>
          <w:rFonts w:ascii="Times New Roman" w:hAnsi="Times New Roman"/>
          <w:b/>
          <w:sz w:val="24"/>
          <w:szCs w:val="24"/>
        </w:rPr>
        <w:t xml:space="preserve"> se prezintă astfel:</w:t>
      </w:r>
    </w:p>
    <w:p w:rsidR="0077708F" w:rsidRDefault="0077708F" w:rsidP="00AB4EED">
      <w:pPr>
        <w:spacing w:line="276" w:lineRule="auto"/>
        <w:jc w:val="both"/>
        <w:rPr>
          <w:rFonts w:ascii="Times New Roman" w:hAnsi="Times New Roman"/>
          <w:sz w:val="24"/>
          <w:szCs w:val="24"/>
        </w:rPr>
      </w:pPr>
    </w:p>
    <w:tbl>
      <w:tblPr>
        <w:tblW w:w="9677" w:type="dxa"/>
        <w:tblLayout w:type="fixed"/>
        <w:tblCellMar>
          <w:left w:w="0" w:type="dxa"/>
          <w:right w:w="0" w:type="dxa"/>
        </w:tblCellMar>
        <w:tblLook w:val="04A0" w:firstRow="1" w:lastRow="0" w:firstColumn="1" w:lastColumn="0" w:noHBand="0" w:noVBand="1"/>
      </w:tblPr>
      <w:tblGrid>
        <w:gridCol w:w="1975"/>
        <w:gridCol w:w="1127"/>
        <w:gridCol w:w="1069"/>
        <w:gridCol w:w="1418"/>
        <w:gridCol w:w="1064"/>
        <w:gridCol w:w="850"/>
        <w:gridCol w:w="1276"/>
        <w:gridCol w:w="898"/>
      </w:tblGrid>
      <w:tr w:rsidR="00AB4EED" w:rsidTr="00AB4EED">
        <w:trPr>
          <w:trHeight w:val="645"/>
        </w:trPr>
        <w:tc>
          <w:tcPr>
            <w:tcW w:w="1975" w:type="dxa"/>
            <w:vMerge w:val="restart"/>
            <w:tcBorders>
              <w:top w:val="single" w:sz="8" w:space="0" w:color="auto"/>
              <w:left w:val="single" w:sz="8" w:space="0" w:color="auto"/>
              <w:bottom w:val="single" w:sz="8" w:space="0" w:color="auto"/>
              <w:right w:val="single" w:sz="8" w:space="0" w:color="auto"/>
            </w:tcBorders>
            <w:shd w:val="clear" w:color="auto" w:fill="BDD6EE" w:themeFill="accent1" w:themeFillTint="66"/>
            <w:noWrap/>
            <w:tcMar>
              <w:top w:w="0" w:type="dxa"/>
              <w:left w:w="108" w:type="dxa"/>
              <w:bottom w:w="0" w:type="dxa"/>
              <w:right w:w="108" w:type="dxa"/>
            </w:tcMar>
            <w:vAlign w:val="center"/>
            <w:hideMark/>
          </w:tcPr>
          <w:p w:rsidR="00AB4EED" w:rsidRPr="00AB4EED" w:rsidRDefault="00AB4EED" w:rsidP="00C77B24">
            <w:pPr>
              <w:spacing w:after="0" w:line="360" w:lineRule="auto"/>
              <w:jc w:val="center"/>
              <w:rPr>
                <w:rFonts w:ascii="Times New Roman" w:hAnsi="Times New Roman" w:cs="Times New Roman"/>
                <w:b/>
                <w:color w:val="000000"/>
                <w:lang w:eastAsia="ro-RO"/>
              </w:rPr>
            </w:pPr>
            <w:r w:rsidRPr="00AB4EED">
              <w:rPr>
                <w:rFonts w:ascii="Times New Roman" w:hAnsi="Times New Roman" w:cs="Times New Roman"/>
                <w:b/>
                <w:color w:val="000000"/>
                <w:lang w:eastAsia="ro-RO"/>
              </w:rPr>
              <w:t>Element-cheie</w:t>
            </w:r>
          </w:p>
        </w:tc>
        <w:tc>
          <w:tcPr>
            <w:tcW w:w="1127" w:type="dxa"/>
            <w:vMerge w:val="restart"/>
            <w:tcBorders>
              <w:top w:val="single" w:sz="8" w:space="0" w:color="auto"/>
              <w:left w:val="nil"/>
              <w:bottom w:val="single" w:sz="8" w:space="0" w:color="auto"/>
              <w:right w:val="single" w:sz="8" w:space="0" w:color="auto"/>
            </w:tcBorders>
            <w:shd w:val="clear" w:color="auto" w:fill="BDD6EE" w:themeFill="accent1" w:themeFillTint="66"/>
            <w:noWrap/>
            <w:tcMar>
              <w:top w:w="0" w:type="dxa"/>
              <w:left w:w="108" w:type="dxa"/>
              <w:bottom w:w="0" w:type="dxa"/>
              <w:right w:w="108" w:type="dxa"/>
            </w:tcMar>
            <w:vAlign w:val="center"/>
            <w:hideMark/>
          </w:tcPr>
          <w:p w:rsidR="00AB4EED" w:rsidRPr="00AB4EED" w:rsidRDefault="00AB4EED" w:rsidP="00C77B24">
            <w:pPr>
              <w:spacing w:after="0" w:line="360" w:lineRule="auto"/>
              <w:jc w:val="center"/>
              <w:rPr>
                <w:rFonts w:ascii="Times New Roman" w:hAnsi="Times New Roman" w:cs="Times New Roman"/>
                <w:b/>
                <w:color w:val="000000"/>
                <w:lang w:eastAsia="ro-RO"/>
              </w:rPr>
            </w:pPr>
            <w:r w:rsidRPr="00AB4EED">
              <w:rPr>
                <w:rFonts w:ascii="Times New Roman" w:hAnsi="Times New Roman" w:cs="Times New Roman"/>
                <w:b/>
                <w:color w:val="000000"/>
                <w:lang w:eastAsia="ro-RO"/>
              </w:rPr>
              <w:t>Standard</w:t>
            </w:r>
          </w:p>
        </w:tc>
        <w:tc>
          <w:tcPr>
            <w:tcW w:w="3551" w:type="dxa"/>
            <w:gridSpan w:val="3"/>
            <w:tcBorders>
              <w:top w:val="single" w:sz="8" w:space="0" w:color="auto"/>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AB4EED" w:rsidRPr="00AB4EED" w:rsidRDefault="00AB4EED" w:rsidP="00C77B24">
            <w:pPr>
              <w:spacing w:after="0" w:line="360" w:lineRule="auto"/>
              <w:jc w:val="center"/>
              <w:rPr>
                <w:rFonts w:ascii="Times New Roman" w:hAnsi="Times New Roman" w:cs="Times New Roman"/>
                <w:b/>
                <w:color w:val="000000"/>
                <w:lang w:eastAsia="ro-RO"/>
              </w:rPr>
            </w:pPr>
            <w:r w:rsidRPr="00AB4EED">
              <w:rPr>
                <w:rFonts w:ascii="Times New Roman" w:hAnsi="Times New Roman" w:cs="Times New Roman"/>
                <w:b/>
                <w:color w:val="000000"/>
                <w:lang w:eastAsia="ro-RO"/>
              </w:rPr>
              <w:t>2015</w:t>
            </w:r>
          </w:p>
        </w:tc>
        <w:tc>
          <w:tcPr>
            <w:tcW w:w="3024" w:type="dxa"/>
            <w:gridSpan w:val="3"/>
            <w:tcBorders>
              <w:top w:val="single" w:sz="8" w:space="0" w:color="auto"/>
              <w:left w:val="nil"/>
              <w:bottom w:val="single" w:sz="8" w:space="0" w:color="auto"/>
              <w:right w:val="single" w:sz="8" w:space="0" w:color="auto"/>
            </w:tcBorders>
            <w:shd w:val="clear" w:color="auto" w:fill="BDD6EE" w:themeFill="accent1" w:themeFillTint="66"/>
            <w:vAlign w:val="center"/>
            <w:hideMark/>
          </w:tcPr>
          <w:p w:rsidR="00AB4EED" w:rsidRPr="00AB4EED" w:rsidRDefault="00AB4EED" w:rsidP="00C77B24">
            <w:pPr>
              <w:spacing w:after="0" w:line="360" w:lineRule="auto"/>
              <w:jc w:val="center"/>
              <w:rPr>
                <w:rFonts w:ascii="Times New Roman" w:hAnsi="Times New Roman" w:cs="Times New Roman"/>
                <w:b/>
                <w:color w:val="000000"/>
                <w:lang w:eastAsia="ro-RO"/>
              </w:rPr>
            </w:pPr>
            <w:r w:rsidRPr="00AB4EED">
              <w:rPr>
                <w:rFonts w:ascii="Times New Roman" w:hAnsi="Times New Roman" w:cs="Times New Roman"/>
                <w:b/>
                <w:color w:val="000000"/>
                <w:lang w:eastAsia="ro-RO"/>
              </w:rPr>
              <w:t>2016</w:t>
            </w:r>
          </w:p>
        </w:tc>
      </w:tr>
      <w:tr w:rsidR="00AB4EED" w:rsidTr="00C77B24">
        <w:trPr>
          <w:trHeight w:val="1051"/>
        </w:trPr>
        <w:tc>
          <w:tcPr>
            <w:tcW w:w="1975" w:type="dxa"/>
            <w:vMerge/>
            <w:tcBorders>
              <w:top w:val="single" w:sz="8" w:space="0" w:color="auto"/>
              <w:left w:val="single" w:sz="8" w:space="0" w:color="auto"/>
              <w:bottom w:val="single" w:sz="8" w:space="0" w:color="auto"/>
              <w:right w:val="single" w:sz="8" w:space="0" w:color="auto"/>
            </w:tcBorders>
            <w:shd w:val="clear" w:color="auto" w:fill="BDD6EE" w:themeFill="accent1" w:themeFillTint="66"/>
            <w:vAlign w:val="center"/>
            <w:hideMark/>
          </w:tcPr>
          <w:p w:rsidR="00AB4EED" w:rsidRPr="00AB4EED" w:rsidRDefault="00AB4EED" w:rsidP="00C77B24">
            <w:pPr>
              <w:spacing w:after="0" w:line="360" w:lineRule="auto"/>
              <w:rPr>
                <w:rFonts w:ascii="Times New Roman" w:hAnsi="Times New Roman" w:cs="Times New Roman"/>
                <w:b/>
                <w:color w:val="000000"/>
                <w:lang w:eastAsia="ro-RO"/>
              </w:rPr>
            </w:pPr>
          </w:p>
        </w:tc>
        <w:tc>
          <w:tcPr>
            <w:tcW w:w="1127" w:type="dxa"/>
            <w:vMerge/>
            <w:tcBorders>
              <w:top w:val="single" w:sz="8" w:space="0" w:color="auto"/>
              <w:left w:val="nil"/>
              <w:bottom w:val="single" w:sz="8" w:space="0" w:color="auto"/>
              <w:right w:val="single" w:sz="8" w:space="0" w:color="auto"/>
            </w:tcBorders>
            <w:shd w:val="clear" w:color="auto" w:fill="BDD6EE" w:themeFill="accent1" w:themeFillTint="66"/>
            <w:vAlign w:val="center"/>
            <w:hideMark/>
          </w:tcPr>
          <w:p w:rsidR="00AB4EED" w:rsidRPr="00AB4EED" w:rsidRDefault="00AB4EED" w:rsidP="00C77B24">
            <w:pPr>
              <w:spacing w:after="0" w:line="360" w:lineRule="auto"/>
              <w:rPr>
                <w:rFonts w:ascii="Times New Roman" w:hAnsi="Times New Roman" w:cs="Times New Roman"/>
                <w:b/>
                <w:color w:val="000000"/>
                <w:lang w:eastAsia="ro-RO"/>
              </w:rPr>
            </w:pPr>
          </w:p>
        </w:tc>
        <w:tc>
          <w:tcPr>
            <w:tcW w:w="1069"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AB4EED" w:rsidRPr="00AB4EED" w:rsidRDefault="00AB4EED" w:rsidP="00C77B24">
            <w:pPr>
              <w:spacing w:after="0" w:line="240" w:lineRule="auto"/>
              <w:jc w:val="center"/>
              <w:rPr>
                <w:rFonts w:ascii="Times New Roman" w:hAnsi="Times New Roman" w:cs="Times New Roman"/>
                <w:b/>
                <w:color w:val="000000"/>
                <w:lang w:eastAsia="ro-RO"/>
              </w:rPr>
            </w:pPr>
            <w:r w:rsidRPr="00AB4EED">
              <w:rPr>
                <w:rFonts w:ascii="Times New Roman" w:hAnsi="Times New Roman" w:cs="Times New Roman"/>
                <w:b/>
                <w:color w:val="000000"/>
                <w:lang w:eastAsia="ro-RO"/>
              </w:rPr>
              <w:t>Aparat propriu</w:t>
            </w:r>
          </w:p>
        </w:tc>
        <w:tc>
          <w:tcPr>
            <w:tcW w:w="1418"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AB4EED" w:rsidRPr="00AB4EED" w:rsidRDefault="00AB4EED" w:rsidP="00C77B24">
            <w:pPr>
              <w:spacing w:after="0" w:line="240" w:lineRule="auto"/>
              <w:jc w:val="center"/>
              <w:rPr>
                <w:rFonts w:ascii="Times New Roman" w:hAnsi="Times New Roman" w:cs="Times New Roman"/>
                <w:b/>
                <w:color w:val="000000"/>
                <w:lang w:eastAsia="ro-RO"/>
              </w:rPr>
            </w:pPr>
            <w:r w:rsidRPr="00AB4EED">
              <w:rPr>
                <w:rFonts w:ascii="Times New Roman" w:hAnsi="Times New Roman" w:cs="Times New Roman"/>
                <w:b/>
                <w:color w:val="000000"/>
                <w:lang w:eastAsia="ro-RO"/>
              </w:rPr>
              <w:t>Entități publice subordonate</w:t>
            </w:r>
          </w:p>
        </w:tc>
        <w:tc>
          <w:tcPr>
            <w:tcW w:w="1064"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AB4EED" w:rsidRPr="00AB4EED" w:rsidRDefault="00C77B24" w:rsidP="00C77B24">
            <w:pPr>
              <w:spacing w:after="0" w:line="240" w:lineRule="auto"/>
              <w:jc w:val="center"/>
              <w:rPr>
                <w:rFonts w:ascii="Times New Roman" w:hAnsi="Times New Roman" w:cs="Times New Roman"/>
                <w:b/>
                <w:color w:val="000000"/>
                <w:lang w:eastAsia="ro-RO"/>
              </w:rPr>
            </w:pPr>
            <w:r>
              <w:rPr>
                <w:rFonts w:ascii="Times New Roman" w:hAnsi="Times New Roman" w:cs="Times New Roman"/>
                <w:b/>
                <w:color w:val="000000"/>
                <w:lang w:eastAsia="ro-RO"/>
              </w:rPr>
              <w:t xml:space="preserve">Procent </w:t>
            </w:r>
            <w:r w:rsidR="00AB4EED" w:rsidRPr="00AB4EED">
              <w:rPr>
                <w:rFonts w:ascii="Times New Roman" w:hAnsi="Times New Roman" w:cs="Times New Roman"/>
                <w:b/>
                <w:color w:val="000000"/>
                <w:lang w:eastAsia="ro-RO"/>
              </w:rPr>
              <w:t>creștere</w:t>
            </w:r>
          </w:p>
        </w:tc>
        <w:tc>
          <w:tcPr>
            <w:tcW w:w="850" w:type="dxa"/>
            <w:tcBorders>
              <w:top w:val="nil"/>
              <w:left w:val="nil"/>
              <w:bottom w:val="single" w:sz="8" w:space="0" w:color="auto"/>
              <w:right w:val="single" w:sz="8" w:space="0" w:color="auto"/>
            </w:tcBorders>
            <w:shd w:val="clear" w:color="auto" w:fill="BDD6EE" w:themeFill="accent1" w:themeFillTint="66"/>
            <w:vAlign w:val="center"/>
            <w:hideMark/>
          </w:tcPr>
          <w:p w:rsidR="00AB4EED" w:rsidRPr="00AB4EED" w:rsidRDefault="00AB4EED" w:rsidP="00C77B24">
            <w:pPr>
              <w:spacing w:after="0" w:line="240" w:lineRule="auto"/>
              <w:jc w:val="center"/>
              <w:rPr>
                <w:rFonts w:ascii="Times New Roman" w:hAnsi="Times New Roman" w:cs="Times New Roman"/>
                <w:b/>
                <w:color w:val="000000"/>
                <w:lang w:eastAsia="ro-RO"/>
              </w:rPr>
            </w:pPr>
            <w:r w:rsidRPr="00AB4EED">
              <w:rPr>
                <w:rFonts w:ascii="Times New Roman" w:hAnsi="Times New Roman" w:cs="Times New Roman"/>
                <w:b/>
                <w:color w:val="000000"/>
                <w:lang w:eastAsia="ro-RO"/>
              </w:rPr>
              <w:t>Aparat propriu</w:t>
            </w:r>
          </w:p>
        </w:tc>
        <w:tc>
          <w:tcPr>
            <w:tcW w:w="1276" w:type="dxa"/>
            <w:tcBorders>
              <w:top w:val="nil"/>
              <w:left w:val="nil"/>
              <w:bottom w:val="single" w:sz="8" w:space="0" w:color="auto"/>
              <w:right w:val="single" w:sz="8" w:space="0" w:color="auto"/>
            </w:tcBorders>
            <w:shd w:val="clear" w:color="auto" w:fill="BDD6EE" w:themeFill="accent1" w:themeFillTint="66"/>
            <w:vAlign w:val="center"/>
            <w:hideMark/>
          </w:tcPr>
          <w:p w:rsidR="00AB4EED" w:rsidRPr="00AB4EED" w:rsidRDefault="00AB4EED" w:rsidP="00C77B24">
            <w:pPr>
              <w:spacing w:after="0" w:line="240" w:lineRule="auto"/>
              <w:jc w:val="center"/>
              <w:rPr>
                <w:rFonts w:ascii="Times New Roman" w:hAnsi="Times New Roman" w:cs="Times New Roman"/>
                <w:b/>
                <w:color w:val="000000"/>
                <w:lang w:eastAsia="ro-RO"/>
              </w:rPr>
            </w:pPr>
            <w:r w:rsidRPr="00AB4EED">
              <w:rPr>
                <w:rFonts w:ascii="Times New Roman" w:hAnsi="Times New Roman" w:cs="Times New Roman"/>
                <w:b/>
                <w:color w:val="000000"/>
                <w:lang w:eastAsia="ro-RO"/>
              </w:rPr>
              <w:t>Entități publice subordonate</w:t>
            </w:r>
          </w:p>
        </w:tc>
        <w:tc>
          <w:tcPr>
            <w:tcW w:w="898" w:type="dxa"/>
            <w:tcBorders>
              <w:top w:val="nil"/>
              <w:left w:val="nil"/>
              <w:bottom w:val="single" w:sz="8" w:space="0" w:color="auto"/>
              <w:right w:val="single" w:sz="8" w:space="0" w:color="auto"/>
            </w:tcBorders>
            <w:shd w:val="clear" w:color="auto" w:fill="BDD6EE" w:themeFill="accent1" w:themeFillTint="66"/>
            <w:vAlign w:val="center"/>
            <w:hideMark/>
          </w:tcPr>
          <w:p w:rsidR="00AB4EED" w:rsidRPr="00AB4EED" w:rsidRDefault="00AB4EED" w:rsidP="00C77B24">
            <w:pPr>
              <w:spacing w:after="0" w:line="240" w:lineRule="auto"/>
              <w:jc w:val="center"/>
              <w:rPr>
                <w:rFonts w:ascii="Times New Roman" w:hAnsi="Times New Roman" w:cs="Times New Roman"/>
                <w:b/>
                <w:color w:val="000000"/>
                <w:lang w:eastAsia="ro-RO"/>
              </w:rPr>
            </w:pPr>
            <w:r>
              <w:rPr>
                <w:rFonts w:ascii="Times New Roman" w:hAnsi="Times New Roman" w:cs="Times New Roman"/>
                <w:b/>
                <w:color w:val="000000"/>
                <w:lang w:eastAsia="ro-RO"/>
              </w:rPr>
              <w:t xml:space="preserve">Procent </w:t>
            </w:r>
            <w:r w:rsidRPr="00AB4EED">
              <w:rPr>
                <w:rFonts w:ascii="Times New Roman" w:hAnsi="Times New Roman" w:cs="Times New Roman"/>
                <w:b/>
                <w:color w:val="000000"/>
                <w:lang w:eastAsia="ro-RO"/>
              </w:rPr>
              <w:t>creștere</w:t>
            </w:r>
          </w:p>
        </w:tc>
      </w:tr>
      <w:tr w:rsidR="00AB4EED" w:rsidTr="00AB4EED">
        <w:trPr>
          <w:trHeight w:val="300"/>
        </w:trPr>
        <w:tc>
          <w:tcPr>
            <w:tcW w:w="1975" w:type="dxa"/>
            <w:vMerge w:val="restart"/>
            <w:tcBorders>
              <w:top w:val="nil"/>
              <w:left w:val="single" w:sz="8" w:space="0" w:color="auto"/>
              <w:bottom w:val="single" w:sz="8" w:space="0" w:color="000000"/>
              <w:right w:val="nil"/>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 xml:space="preserve">Mediul de control </w:t>
            </w:r>
          </w:p>
        </w:tc>
        <w:tc>
          <w:tcPr>
            <w:tcW w:w="1127" w:type="dxa"/>
            <w:tcBorders>
              <w:top w:val="nil"/>
              <w:left w:val="single" w:sz="8" w:space="0" w:color="auto"/>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S1</w:t>
            </w:r>
          </w:p>
        </w:tc>
        <w:tc>
          <w:tcPr>
            <w:tcW w:w="1069" w:type="dxa"/>
            <w:tcBorders>
              <w:top w:val="nil"/>
              <w:left w:val="nil"/>
              <w:bottom w:val="nil"/>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90,38</w:t>
            </w:r>
          </w:p>
        </w:tc>
        <w:tc>
          <w:tcPr>
            <w:tcW w:w="1418" w:type="dxa"/>
            <w:tcBorders>
              <w:top w:val="nil"/>
              <w:left w:val="nil"/>
              <w:bottom w:val="nil"/>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95,41</w:t>
            </w:r>
          </w:p>
        </w:tc>
        <w:tc>
          <w:tcPr>
            <w:tcW w:w="1064"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5,03%</w:t>
            </w:r>
          </w:p>
        </w:tc>
        <w:tc>
          <w:tcPr>
            <w:tcW w:w="850" w:type="dxa"/>
            <w:tcBorders>
              <w:top w:val="nil"/>
              <w:left w:val="nil"/>
              <w:bottom w:val="nil"/>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94,00</w:t>
            </w:r>
          </w:p>
        </w:tc>
        <w:tc>
          <w:tcPr>
            <w:tcW w:w="1276" w:type="dxa"/>
            <w:tcBorders>
              <w:top w:val="nil"/>
              <w:left w:val="nil"/>
              <w:bottom w:val="nil"/>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96,27</w:t>
            </w:r>
          </w:p>
        </w:tc>
        <w:tc>
          <w:tcPr>
            <w:tcW w:w="898"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2,27%</w:t>
            </w:r>
          </w:p>
        </w:tc>
      </w:tr>
      <w:tr w:rsidR="00AB4EED" w:rsidTr="00AB4EED">
        <w:trPr>
          <w:trHeight w:val="300"/>
        </w:trPr>
        <w:tc>
          <w:tcPr>
            <w:tcW w:w="1975" w:type="dxa"/>
            <w:vMerge/>
            <w:tcBorders>
              <w:top w:val="nil"/>
              <w:left w:val="single" w:sz="8" w:space="0" w:color="auto"/>
              <w:bottom w:val="single" w:sz="8" w:space="0" w:color="000000"/>
              <w:right w:val="nil"/>
            </w:tcBorders>
            <w:shd w:val="clear" w:color="auto" w:fill="FFF2CC" w:themeFill="accent4" w:themeFillTint="33"/>
            <w:vAlign w:val="center"/>
            <w:hideMark/>
          </w:tcPr>
          <w:p w:rsidR="00AB4EED" w:rsidRPr="00AB4EED" w:rsidRDefault="00AB4EED" w:rsidP="00AB4EED">
            <w:pPr>
              <w:spacing w:line="360" w:lineRule="auto"/>
              <w:rPr>
                <w:rFonts w:ascii="Times New Roman" w:hAnsi="Times New Roman" w:cs="Times New Roman"/>
                <w:b/>
                <w:i/>
                <w:color w:val="000000"/>
                <w:lang w:eastAsia="ro-RO"/>
              </w:rPr>
            </w:pPr>
          </w:p>
        </w:tc>
        <w:tc>
          <w:tcPr>
            <w:tcW w:w="1127" w:type="dxa"/>
            <w:tcBorders>
              <w:top w:val="nil"/>
              <w:left w:val="single" w:sz="8" w:space="0" w:color="auto"/>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S2</w:t>
            </w:r>
          </w:p>
        </w:tc>
        <w:tc>
          <w:tcPr>
            <w:tcW w:w="1069" w:type="dxa"/>
            <w:tcBorders>
              <w:top w:val="single" w:sz="8" w:space="0" w:color="auto"/>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57,69</w:t>
            </w:r>
          </w:p>
        </w:tc>
        <w:tc>
          <w:tcPr>
            <w:tcW w:w="1418" w:type="dxa"/>
            <w:tcBorders>
              <w:top w:val="single" w:sz="8" w:space="0" w:color="auto"/>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90,34</w:t>
            </w:r>
          </w:p>
        </w:tc>
        <w:tc>
          <w:tcPr>
            <w:tcW w:w="1064"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32,65%</w:t>
            </w:r>
          </w:p>
        </w:tc>
        <w:tc>
          <w:tcPr>
            <w:tcW w:w="850" w:type="dxa"/>
            <w:tcBorders>
              <w:top w:val="single" w:sz="8" w:space="0" w:color="auto"/>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52,00</w:t>
            </w:r>
          </w:p>
        </w:tc>
        <w:tc>
          <w:tcPr>
            <w:tcW w:w="1276" w:type="dxa"/>
            <w:tcBorders>
              <w:top w:val="single" w:sz="8" w:space="0" w:color="auto"/>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91,33</w:t>
            </w:r>
          </w:p>
        </w:tc>
        <w:tc>
          <w:tcPr>
            <w:tcW w:w="898"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39,33%</w:t>
            </w:r>
          </w:p>
        </w:tc>
      </w:tr>
      <w:tr w:rsidR="00AB4EED" w:rsidTr="00AB4EED">
        <w:trPr>
          <w:trHeight w:val="300"/>
        </w:trPr>
        <w:tc>
          <w:tcPr>
            <w:tcW w:w="1975" w:type="dxa"/>
            <w:vMerge/>
            <w:tcBorders>
              <w:top w:val="nil"/>
              <w:left w:val="single" w:sz="8" w:space="0" w:color="auto"/>
              <w:bottom w:val="single" w:sz="8" w:space="0" w:color="000000"/>
              <w:right w:val="nil"/>
            </w:tcBorders>
            <w:shd w:val="clear" w:color="auto" w:fill="FFF2CC" w:themeFill="accent4" w:themeFillTint="33"/>
            <w:vAlign w:val="center"/>
            <w:hideMark/>
          </w:tcPr>
          <w:p w:rsidR="00AB4EED" w:rsidRPr="00AB4EED" w:rsidRDefault="00AB4EED" w:rsidP="00AB4EED">
            <w:pPr>
              <w:spacing w:line="360" w:lineRule="auto"/>
              <w:rPr>
                <w:rFonts w:ascii="Times New Roman" w:hAnsi="Times New Roman" w:cs="Times New Roman"/>
                <w:b/>
                <w:i/>
                <w:color w:val="000000"/>
                <w:lang w:eastAsia="ro-RO"/>
              </w:rPr>
            </w:pPr>
          </w:p>
        </w:tc>
        <w:tc>
          <w:tcPr>
            <w:tcW w:w="1127" w:type="dxa"/>
            <w:tcBorders>
              <w:top w:val="nil"/>
              <w:left w:val="single" w:sz="8" w:space="0" w:color="auto"/>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S3</w:t>
            </w:r>
          </w:p>
        </w:tc>
        <w:tc>
          <w:tcPr>
            <w:tcW w:w="1069"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88,46</w:t>
            </w:r>
          </w:p>
        </w:tc>
        <w:tc>
          <w:tcPr>
            <w:tcW w:w="1418"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92,78</w:t>
            </w:r>
          </w:p>
        </w:tc>
        <w:tc>
          <w:tcPr>
            <w:tcW w:w="1064"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4,32%</w:t>
            </w:r>
          </w:p>
        </w:tc>
        <w:tc>
          <w:tcPr>
            <w:tcW w:w="850"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82,00</w:t>
            </w:r>
          </w:p>
        </w:tc>
        <w:tc>
          <w:tcPr>
            <w:tcW w:w="1276"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93,65</w:t>
            </w:r>
          </w:p>
        </w:tc>
        <w:tc>
          <w:tcPr>
            <w:tcW w:w="898"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11,65%</w:t>
            </w:r>
          </w:p>
        </w:tc>
      </w:tr>
      <w:tr w:rsidR="00AB4EED" w:rsidTr="00AB4EED">
        <w:trPr>
          <w:trHeight w:val="315"/>
        </w:trPr>
        <w:tc>
          <w:tcPr>
            <w:tcW w:w="1975" w:type="dxa"/>
            <w:vMerge/>
            <w:tcBorders>
              <w:top w:val="nil"/>
              <w:left w:val="single" w:sz="8" w:space="0" w:color="auto"/>
              <w:bottom w:val="single" w:sz="8" w:space="0" w:color="000000"/>
              <w:right w:val="nil"/>
            </w:tcBorders>
            <w:shd w:val="clear" w:color="auto" w:fill="FFF2CC" w:themeFill="accent4" w:themeFillTint="33"/>
            <w:vAlign w:val="center"/>
            <w:hideMark/>
          </w:tcPr>
          <w:p w:rsidR="00AB4EED" w:rsidRPr="00AB4EED" w:rsidRDefault="00AB4EED" w:rsidP="00AB4EED">
            <w:pPr>
              <w:spacing w:line="360" w:lineRule="auto"/>
              <w:rPr>
                <w:rFonts w:ascii="Times New Roman" w:hAnsi="Times New Roman" w:cs="Times New Roman"/>
                <w:b/>
                <w:i/>
                <w:color w:val="000000"/>
                <w:lang w:eastAsia="ro-RO"/>
              </w:rPr>
            </w:pPr>
          </w:p>
        </w:tc>
        <w:tc>
          <w:tcPr>
            <w:tcW w:w="1127" w:type="dxa"/>
            <w:tcBorders>
              <w:top w:val="nil"/>
              <w:left w:val="single" w:sz="8" w:space="0" w:color="auto"/>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S4</w:t>
            </w:r>
          </w:p>
        </w:tc>
        <w:tc>
          <w:tcPr>
            <w:tcW w:w="1069"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92,31</w:t>
            </w:r>
          </w:p>
        </w:tc>
        <w:tc>
          <w:tcPr>
            <w:tcW w:w="1418"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94,55</w:t>
            </w:r>
          </w:p>
        </w:tc>
        <w:tc>
          <w:tcPr>
            <w:tcW w:w="1064"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2,24%</w:t>
            </w:r>
          </w:p>
        </w:tc>
        <w:tc>
          <w:tcPr>
            <w:tcW w:w="850"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90,00</w:t>
            </w:r>
          </w:p>
        </w:tc>
        <w:tc>
          <w:tcPr>
            <w:tcW w:w="1276"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95,72</w:t>
            </w:r>
          </w:p>
        </w:tc>
        <w:tc>
          <w:tcPr>
            <w:tcW w:w="898"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5,72%</w:t>
            </w:r>
          </w:p>
        </w:tc>
      </w:tr>
      <w:tr w:rsidR="00AB4EED" w:rsidTr="00AB4EED">
        <w:trPr>
          <w:trHeight w:val="300"/>
        </w:trPr>
        <w:tc>
          <w:tcPr>
            <w:tcW w:w="1975" w:type="dxa"/>
            <w:vMerge w:val="restart"/>
            <w:tcBorders>
              <w:top w:val="nil"/>
              <w:left w:val="single" w:sz="8" w:space="0" w:color="auto"/>
              <w:bottom w:val="single" w:sz="8" w:space="0" w:color="000000"/>
              <w:right w:val="nil"/>
            </w:tcBorders>
            <w:shd w:val="clear" w:color="auto" w:fill="FFF2CC" w:themeFill="accent4" w:themeFillTint="33"/>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Performanțe și managementul riscului</w:t>
            </w:r>
          </w:p>
        </w:tc>
        <w:tc>
          <w:tcPr>
            <w:tcW w:w="1127"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S5</w:t>
            </w:r>
          </w:p>
        </w:tc>
        <w:tc>
          <w:tcPr>
            <w:tcW w:w="1069" w:type="dxa"/>
            <w:tcBorders>
              <w:top w:val="nil"/>
              <w:left w:val="nil"/>
              <w:bottom w:val="nil"/>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86,54</w:t>
            </w:r>
          </w:p>
        </w:tc>
        <w:tc>
          <w:tcPr>
            <w:tcW w:w="1418" w:type="dxa"/>
            <w:tcBorders>
              <w:top w:val="nil"/>
              <w:left w:val="nil"/>
              <w:bottom w:val="nil"/>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92,59</w:t>
            </w:r>
          </w:p>
        </w:tc>
        <w:tc>
          <w:tcPr>
            <w:tcW w:w="1064"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6,05%</w:t>
            </w:r>
          </w:p>
        </w:tc>
        <w:tc>
          <w:tcPr>
            <w:tcW w:w="850" w:type="dxa"/>
            <w:tcBorders>
              <w:top w:val="nil"/>
              <w:left w:val="nil"/>
              <w:bottom w:val="nil"/>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80,00</w:t>
            </w:r>
          </w:p>
        </w:tc>
        <w:tc>
          <w:tcPr>
            <w:tcW w:w="1276" w:type="dxa"/>
            <w:tcBorders>
              <w:top w:val="nil"/>
              <w:left w:val="nil"/>
              <w:bottom w:val="nil"/>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92,69</w:t>
            </w:r>
          </w:p>
        </w:tc>
        <w:tc>
          <w:tcPr>
            <w:tcW w:w="898"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12,69%</w:t>
            </w:r>
          </w:p>
        </w:tc>
      </w:tr>
      <w:tr w:rsidR="00AB4EED" w:rsidTr="00AB4EED">
        <w:trPr>
          <w:trHeight w:val="300"/>
        </w:trPr>
        <w:tc>
          <w:tcPr>
            <w:tcW w:w="1975" w:type="dxa"/>
            <w:vMerge/>
            <w:tcBorders>
              <w:top w:val="nil"/>
              <w:left w:val="single" w:sz="8" w:space="0" w:color="auto"/>
              <w:bottom w:val="single" w:sz="8" w:space="0" w:color="000000"/>
              <w:right w:val="nil"/>
            </w:tcBorders>
            <w:shd w:val="clear" w:color="auto" w:fill="FFF2CC" w:themeFill="accent4" w:themeFillTint="33"/>
            <w:vAlign w:val="center"/>
            <w:hideMark/>
          </w:tcPr>
          <w:p w:rsidR="00AB4EED" w:rsidRPr="00AB4EED" w:rsidRDefault="00AB4EED" w:rsidP="00AB4EED">
            <w:pPr>
              <w:spacing w:line="360" w:lineRule="auto"/>
              <w:rPr>
                <w:rFonts w:ascii="Times New Roman" w:hAnsi="Times New Roman" w:cs="Times New Roman"/>
                <w:b/>
                <w:i/>
                <w:color w:val="000000"/>
                <w:lang w:eastAsia="ro-RO"/>
              </w:rPr>
            </w:pPr>
          </w:p>
        </w:tc>
        <w:tc>
          <w:tcPr>
            <w:tcW w:w="1127"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S6</w:t>
            </w:r>
          </w:p>
        </w:tc>
        <w:tc>
          <w:tcPr>
            <w:tcW w:w="1069" w:type="dxa"/>
            <w:tcBorders>
              <w:top w:val="single" w:sz="8" w:space="0" w:color="auto"/>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84,62</w:t>
            </w:r>
          </w:p>
        </w:tc>
        <w:tc>
          <w:tcPr>
            <w:tcW w:w="1418" w:type="dxa"/>
            <w:tcBorders>
              <w:top w:val="single" w:sz="8" w:space="0" w:color="auto"/>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94,10</w:t>
            </w:r>
          </w:p>
        </w:tc>
        <w:tc>
          <w:tcPr>
            <w:tcW w:w="1064"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9,48%</w:t>
            </w:r>
          </w:p>
        </w:tc>
        <w:tc>
          <w:tcPr>
            <w:tcW w:w="850" w:type="dxa"/>
            <w:tcBorders>
              <w:top w:val="single" w:sz="8" w:space="0" w:color="auto"/>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82,00</w:t>
            </w:r>
          </w:p>
        </w:tc>
        <w:tc>
          <w:tcPr>
            <w:tcW w:w="1276" w:type="dxa"/>
            <w:tcBorders>
              <w:top w:val="single" w:sz="8" w:space="0" w:color="auto"/>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95,51</w:t>
            </w:r>
          </w:p>
        </w:tc>
        <w:tc>
          <w:tcPr>
            <w:tcW w:w="898"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13,51%</w:t>
            </w:r>
          </w:p>
        </w:tc>
      </w:tr>
      <w:tr w:rsidR="00AB4EED" w:rsidTr="00AB4EED">
        <w:trPr>
          <w:trHeight w:val="300"/>
        </w:trPr>
        <w:tc>
          <w:tcPr>
            <w:tcW w:w="1975" w:type="dxa"/>
            <w:vMerge/>
            <w:tcBorders>
              <w:top w:val="nil"/>
              <w:left w:val="single" w:sz="8" w:space="0" w:color="auto"/>
              <w:bottom w:val="single" w:sz="8" w:space="0" w:color="000000"/>
              <w:right w:val="nil"/>
            </w:tcBorders>
            <w:shd w:val="clear" w:color="auto" w:fill="FFF2CC" w:themeFill="accent4" w:themeFillTint="33"/>
            <w:vAlign w:val="center"/>
            <w:hideMark/>
          </w:tcPr>
          <w:p w:rsidR="00AB4EED" w:rsidRPr="00AB4EED" w:rsidRDefault="00AB4EED" w:rsidP="00AB4EED">
            <w:pPr>
              <w:spacing w:line="360" w:lineRule="auto"/>
              <w:rPr>
                <w:rFonts w:ascii="Times New Roman" w:hAnsi="Times New Roman" w:cs="Times New Roman"/>
                <w:b/>
                <w:i/>
                <w:color w:val="000000"/>
                <w:lang w:eastAsia="ro-RO"/>
              </w:rPr>
            </w:pPr>
          </w:p>
        </w:tc>
        <w:tc>
          <w:tcPr>
            <w:tcW w:w="1127"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S7</w:t>
            </w:r>
          </w:p>
        </w:tc>
        <w:tc>
          <w:tcPr>
            <w:tcW w:w="1069"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75,00</w:t>
            </w:r>
          </w:p>
        </w:tc>
        <w:tc>
          <w:tcPr>
            <w:tcW w:w="1418"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88,48</w:t>
            </w:r>
          </w:p>
        </w:tc>
        <w:tc>
          <w:tcPr>
            <w:tcW w:w="1064"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13,48%</w:t>
            </w:r>
          </w:p>
        </w:tc>
        <w:tc>
          <w:tcPr>
            <w:tcW w:w="850"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78,00</w:t>
            </w:r>
          </w:p>
        </w:tc>
        <w:tc>
          <w:tcPr>
            <w:tcW w:w="1276"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89,21</w:t>
            </w:r>
          </w:p>
        </w:tc>
        <w:tc>
          <w:tcPr>
            <w:tcW w:w="898"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11,21%</w:t>
            </w:r>
          </w:p>
        </w:tc>
      </w:tr>
      <w:tr w:rsidR="00AB4EED" w:rsidTr="00AB4EED">
        <w:trPr>
          <w:trHeight w:val="315"/>
        </w:trPr>
        <w:tc>
          <w:tcPr>
            <w:tcW w:w="1975" w:type="dxa"/>
            <w:vMerge/>
            <w:tcBorders>
              <w:top w:val="nil"/>
              <w:left w:val="single" w:sz="8" w:space="0" w:color="auto"/>
              <w:bottom w:val="single" w:sz="8" w:space="0" w:color="000000"/>
              <w:right w:val="nil"/>
            </w:tcBorders>
            <w:shd w:val="clear" w:color="auto" w:fill="FFF2CC" w:themeFill="accent4" w:themeFillTint="33"/>
            <w:vAlign w:val="center"/>
            <w:hideMark/>
          </w:tcPr>
          <w:p w:rsidR="00AB4EED" w:rsidRPr="00AB4EED" w:rsidRDefault="00AB4EED" w:rsidP="00AB4EED">
            <w:pPr>
              <w:spacing w:line="360" w:lineRule="auto"/>
              <w:rPr>
                <w:rFonts w:ascii="Times New Roman" w:hAnsi="Times New Roman" w:cs="Times New Roman"/>
                <w:b/>
                <w:i/>
                <w:color w:val="000000"/>
                <w:lang w:eastAsia="ro-RO"/>
              </w:rPr>
            </w:pPr>
          </w:p>
        </w:tc>
        <w:tc>
          <w:tcPr>
            <w:tcW w:w="1127"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S8</w:t>
            </w:r>
          </w:p>
        </w:tc>
        <w:tc>
          <w:tcPr>
            <w:tcW w:w="1069"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69,23</w:t>
            </w:r>
          </w:p>
        </w:tc>
        <w:tc>
          <w:tcPr>
            <w:tcW w:w="1418"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78,35</w:t>
            </w:r>
          </w:p>
        </w:tc>
        <w:tc>
          <w:tcPr>
            <w:tcW w:w="1064"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9,12%</w:t>
            </w:r>
          </w:p>
        </w:tc>
        <w:tc>
          <w:tcPr>
            <w:tcW w:w="850"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70,00</w:t>
            </w:r>
          </w:p>
        </w:tc>
        <w:tc>
          <w:tcPr>
            <w:tcW w:w="1276"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81,05</w:t>
            </w:r>
          </w:p>
        </w:tc>
        <w:tc>
          <w:tcPr>
            <w:tcW w:w="898"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11,05%</w:t>
            </w:r>
          </w:p>
        </w:tc>
      </w:tr>
      <w:tr w:rsidR="00AB4EED" w:rsidTr="00AB4EED">
        <w:trPr>
          <w:trHeight w:val="300"/>
        </w:trPr>
        <w:tc>
          <w:tcPr>
            <w:tcW w:w="1975" w:type="dxa"/>
            <w:vMerge w:val="restart"/>
            <w:tcBorders>
              <w:top w:val="nil"/>
              <w:left w:val="single" w:sz="8" w:space="0" w:color="auto"/>
              <w:bottom w:val="single" w:sz="8" w:space="0" w:color="000000"/>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Activități de control</w:t>
            </w:r>
          </w:p>
        </w:tc>
        <w:tc>
          <w:tcPr>
            <w:tcW w:w="1127"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S9</w:t>
            </w:r>
          </w:p>
        </w:tc>
        <w:tc>
          <w:tcPr>
            <w:tcW w:w="1069"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63,46</w:t>
            </w:r>
          </w:p>
        </w:tc>
        <w:tc>
          <w:tcPr>
            <w:tcW w:w="1418"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81,55</w:t>
            </w:r>
          </w:p>
        </w:tc>
        <w:tc>
          <w:tcPr>
            <w:tcW w:w="1064"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18,09%</w:t>
            </w:r>
          </w:p>
        </w:tc>
        <w:tc>
          <w:tcPr>
            <w:tcW w:w="850" w:type="dxa"/>
            <w:tcBorders>
              <w:top w:val="nil"/>
              <w:left w:val="nil"/>
              <w:bottom w:val="nil"/>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52,00</w:t>
            </w:r>
          </w:p>
        </w:tc>
        <w:tc>
          <w:tcPr>
            <w:tcW w:w="1276" w:type="dxa"/>
            <w:tcBorders>
              <w:top w:val="nil"/>
              <w:left w:val="nil"/>
              <w:bottom w:val="nil"/>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82,91</w:t>
            </w:r>
          </w:p>
        </w:tc>
        <w:tc>
          <w:tcPr>
            <w:tcW w:w="898"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30,91%</w:t>
            </w:r>
          </w:p>
        </w:tc>
      </w:tr>
      <w:tr w:rsidR="00AB4EED" w:rsidTr="00AB4EED">
        <w:trPr>
          <w:trHeight w:val="300"/>
        </w:trPr>
        <w:tc>
          <w:tcPr>
            <w:tcW w:w="1975" w:type="dxa"/>
            <w:vMerge/>
            <w:tcBorders>
              <w:top w:val="nil"/>
              <w:left w:val="single" w:sz="8" w:space="0" w:color="auto"/>
              <w:bottom w:val="single" w:sz="8" w:space="0" w:color="000000"/>
              <w:right w:val="single" w:sz="8" w:space="0" w:color="auto"/>
            </w:tcBorders>
            <w:shd w:val="clear" w:color="auto" w:fill="FFF2CC" w:themeFill="accent4" w:themeFillTint="33"/>
            <w:vAlign w:val="center"/>
            <w:hideMark/>
          </w:tcPr>
          <w:p w:rsidR="00AB4EED" w:rsidRPr="00AB4EED" w:rsidRDefault="00AB4EED" w:rsidP="00AB4EED">
            <w:pPr>
              <w:spacing w:line="360" w:lineRule="auto"/>
              <w:rPr>
                <w:rFonts w:ascii="Times New Roman" w:hAnsi="Times New Roman" w:cs="Times New Roman"/>
                <w:b/>
                <w:i/>
                <w:color w:val="000000"/>
                <w:lang w:eastAsia="ro-RO"/>
              </w:rPr>
            </w:pPr>
          </w:p>
        </w:tc>
        <w:tc>
          <w:tcPr>
            <w:tcW w:w="1127"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S10</w:t>
            </w:r>
          </w:p>
        </w:tc>
        <w:tc>
          <w:tcPr>
            <w:tcW w:w="1069"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76,92</w:t>
            </w:r>
          </w:p>
        </w:tc>
        <w:tc>
          <w:tcPr>
            <w:tcW w:w="1418"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87,42</w:t>
            </w:r>
          </w:p>
        </w:tc>
        <w:tc>
          <w:tcPr>
            <w:tcW w:w="1064"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10,49%</w:t>
            </w:r>
          </w:p>
        </w:tc>
        <w:tc>
          <w:tcPr>
            <w:tcW w:w="850" w:type="dxa"/>
            <w:tcBorders>
              <w:top w:val="single" w:sz="8" w:space="0" w:color="auto"/>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76,00</w:t>
            </w:r>
          </w:p>
        </w:tc>
        <w:tc>
          <w:tcPr>
            <w:tcW w:w="1276" w:type="dxa"/>
            <w:tcBorders>
              <w:top w:val="single" w:sz="8" w:space="0" w:color="auto"/>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89,77</w:t>
            </w:r>
          </w:p>
        </w:tc>
        <w:tc>
          <w:tcPr>
            <w:tcW w:w="898"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13,77%</w:t>
            </w:r>
          </w:p>
        </w:tc>
      </w:tr>
      <w:tr w:rsidR="00AB4EED" w:rsidTr="00AB4EED">
        <w:trPr>
          <w:trHeight w:val="315"/>
        </w:trPr>
        <w:tc>
          <w:tcPr>
            <w:tcW w:w="1975" w:type="dxa"/>
            <w:vMerge/>
            <w:tcBorders>
              <w:top w:val="nil"/>
              <w:left w:val="single" w:sz="8" w:space="0" w:color="auto"/>
              <w:bottom w:val="single" w:sz="8" w:space="0" w:color="000000"/>
              <w:right w:val="single" w:sz="8" w:space="0" w:color="auto"/>
            </w:tcBorders>
            <w:shd w:val="clear" w:color="auto" w:fill="FFF2CC" w:themeFill="accent4" w:themeFillTint="33"/>
            <w:vAlign w:val="center"/>
            <w:hideMark/>
          </w:tcPr>
          <w:p w:rsidR="00AB4EED" w:rsidRPr="00AB4EED" w:rsidRDefault="00AB4EED" w:rsidP="00AB4EED">
            <w:pPr>
              <w:spacing w:line="360" w:lineRule="auto"/>
              <w:rPr>
                <w:rFonts w:ascii="Times New Roman" w:hAnsi="Times New Roman" w:cs="Times New Roman"/>
                <w:b/>
                <w:i/>
                <w:color w:val="000000"/>
                <w:lang w:eastAsia="ro-RO"/>
              </w:rPr>
            </w:pPr>
          </w:p>
        </w:tc>
        <w:tc>
          <w:tcPr>
            <w:tcW w:w="1127"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S11</w:t>
            </w:r>
          </w:p>
        </w:tc>
        <w:tc>
          <w:tcPr>
            <w:tcW w:w="1069"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67,31</w:t>
            </w:r>
          </w:p>
        </w:tc>
        <w:tc>
          <w:tcPr>
            <w:tcW w:w="1418"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88,67</w:t>
            </w:r>
          </w:p>
        </w:tc>
        <w:tc>
          <w:tcPr>
            <w:tcW w:w="1064"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21,36%</w:t>
            </w:r>
          </w:p>
        </w:tc>
        <w:tc>
          <w:tcPr>
            <w:tcW w:w="850"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60,00</w:t>
            </w:r>
          </w:p>
        </w:tc>
        <w:tc>
          <w:tcPr>
            <w:tcW w:w="1276"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89,36</w:t>
            </w:r>
          </w:p>
        </w:tc>
        <w:tc>
          <w:tcPr>
            <w:tcW w:w="898"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29,36%</w:t>
            </w:r>
          </w:p>
        </w:tc>
      </w:tr>
      <w:tr w:rsidR="00AB4EED" w:rsidTr="00AB4EED">
        <w:trPr>
          <w:trHeight w:val="300"/>
        </w:trPr>
        <w:tc>
          <w:tcPr>
            <w:tcW w:w="1975" w:type="dxa"/>
            <w:vMerge w:val="restart"/>
            <w:tcBorders>
              <w:top w:val="nil"/>
              <w:left w:val="single" w:sz="8" w:space="0" w:color="auto"/>
              <w:bottom w:val="single" w:sz="8" w:space="0" w:color="000000"/>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Informarea și publicitatea</w:t>
            </w:r>
          </w:p>
        </w:tc>
        <w:tc>
          <w:tcPr>
            <w:tcW w:w="1127"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S12</w:t>
            </w:r>
          </w:p>
        </w:tc>
        <w:tc>
          <w:tcPr>
            <w:tcW w:w="1069" w:type="dxa"/>
            <w:tcBorders>
              <w:top w:val="nil"/>
              <w:left w:val="nil"/>
              <w:bottom w:val="nil"/>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94,23</w:t>
            </w:r>
          </w:p>
        </w:tc>
        <w:tc>
          <w:tcPr>
            <w:tcW w:w="1418"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94,89</w:t>
            </w:r>
          </w:p>
        </w:tc>
        <w:tc>
          <w:tcPr>
            <w:tcW w:w="1064"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0,65%</w:t>
            </w:r>
          </w:p>
        </w:tc>
        <w:tc>
          <w:tcPr>
            <w:tcW w:w="850" w:type="dxa"/>
            <w:tcBorders>
              <w:top w:val="nil"/>
              <w:left w:val="nil"/>
              <w:bottom w:val="nil"/>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92,00</w:t>
            </w:r>
          </w:p>
        </w:tc>
        <w:tc>
          <w:tcPr>
            <w:tcW w:w="1276" w:type="dxa"/>
            <w:tcBorders>
              <w:top w:val="nil"/>
              <w:left w:val="nil"/>
              <w:bottom w:val="nil"/>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95,92</w:t>
            </w:r>
          </w:p>
        </w:tc>
        <w:tc>
          <w:tcPr>
            <w:tcW w:w="898"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3,92%</w:t>
            </w:r>
          </w:p>
        </w:tc>
      </w:tr>
      <w:tr w:rsidR="00AB4EED" w:rsidTr="00AB4EED">
        <w:trPr>
          <w:trHeight w:val="300"/>
        </w:trPr>
        <w:tc>
          <w:tcPr>
            <w:tcW w:w="1975" w:type="dxa"/>
            <w:vMerge/>
            <w:tcBorders>
              <w:top w:val="nil"/>
              <w:left w:val="single" w:sz="8" w:space="0" w:color="auto"/>
              <w:bottom w:val="single" w:sz="8" w:space="0" w:color="000000"/>
              <w:right w:val="single" w:sz="8" w:space="0" w:color="auto"/>
            </w:tcBorders>
            <w:shd w:val="clear" w:color="auto" w:fill="FFF2CC" w:themeFill="accent4" w:themeFillTint="33"/>
            <w:vAlign w:val="center"/>
            <w:hideMark/>
          </w:tcPr>
          <w:p w:rsidR="00AB4EED" w:rsidRPr="00AB4EED" w:rsidRDefault="00AB4EED" w:rsidP="00AB4EED">
            <w:pPr>
              <w:spacing w:line="360" w:lineRule="auto"/>
              <w:rPr>
                <w:rFonts w:ascii="Times New Roman" w:hAnsi="Times New Roman" w:cs="Times New Roman"/>
                <w:b/>
                <w:i/>
                <w:color w:val="000000"/>
                <w:lang w:eastAsia="ro-RO"/>
              </w:rPr>
            </w:pPr>
          </w:p>
        </w:tc>
        <w:tc>
          <w:tcPr>
            <w:tcW w:w="1127"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S13</w:t>
            </w:r>
          </w:p>
        </w:tc>
        <w:tc>
          <w:tcPr>
            <w:tcW w:w="1069" w:type="dxa"/>
            <w:tcBorders>
              <w:top w:val="single" w:sz="8" w:space="0" w:color="auto"/>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73,08</w:t>
            </w:r>
          </w:p>
        </w:tc>
        <w:tc>
          <w:tcPr>
            <w:tcW w:w="1418"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90,34</w:t>
            </w:r>
          </w:p>
        </w:tc>
        <w:tc>
          <w:tcPr>
            <w:tcW w:w="1064"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17,27%</w:t>
            </w:r>
          </w:p>
        </w:tc>
        <w:tc>
          <w:tcPr>
            <w:tcW w:w="850" w:type="dxa"/>
            <w:tcBorders>
              <w:top w:val="single" w:sz="8" w:space="0" w:color="auto"/>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66,00</w:t>
            </w:r>
          </w:p>
        </w:tc>
        <w:tc>
          <w:tcPr>
            <w:tcW w:w="1276" w:type="dxa"/>
            <w:tcBorders>
              <w:top w:val="single" w:sz="8" w:space="0" w:color="auto"/>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91,58</w:t>
            </w:r>
          </w:p>
        </w:tc>
        <w:tc>
          <w:tcPr>
            <w:tcW w:w="898"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25,58%</w:t>
            </w:r>
          </w:p>
        </w:tc>
      </w:tr>
      <w:tr w:rsidR="00AB4EED" w:rsidTr="00AB4EED">
        <w:trPr>
          <w:trHeight w:val="315"/>
        </w:trPr>
        <w:tc>
          <w:tcPr>
            <w:tcW w:w="1975" w:type="dxa"/>
            <w:vMerge/>
            <w:tcBorders>
              <w:top w:val="nil"/>
              <w:left w:val="single" w:sz="8" w:space="0" w:color="auto"/>
              <w:bottom w:val="single" w:sz="8" w:space="0" w:color="000000"/>
              <w:right w:val="single" w:sz="8" w:space="0" w:color="auto"/>
            </w:tcBorders>
            <w:shd w:val="clear" w:color="auto" w:fill="FFF2CC" w:themeFill="accent4" w:themeFillTint="33"/>
            <w:vAlign w:val="center"/>
            <w:hideMark/>
          </w:tcPr>
          <w:p w:rsidR="00AB4EED" w:rsidRPr="00AB4EED" w:rsidRDefault="00AB4EED" w:rsidP="00AB4EED">
            <w:pPr>
              <w:spacing w:line="360" w:lineRule="auto"/>
              <w:rPr>
                <w:rFonts w:ascii="Times New Roman" w:hAnsi="Times New Roman" w:cs="Times New Roman"/>
                <w:b/>
                <w:i/>
                <w:color w:val="000000"/>
                <w:lang w:eastAsia="ro-RO"/>
              </w:rPr>
            </w:pPr>
          </w:p>
        </w:tc>
        <w:tc>
          <w:tcPr>
            <w:tcW w:w="1127"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S14</w:t>
            </w:r>
          </w:p>
        </w:tc>
        <w:tc>
          <w:tcPr>
            <w:tcW w:w="1069"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90,38</w:t>
            </w:r>
          </w:p>
        </w:tc>
        <w:tc>
          <w:tcPr>
            <w:tcW w:w="1418"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94,94</w:t>
            </w:r>
          </w:p>
        </w:tc>
        <w:tc>
          <w:tcPr>
            <w:tcW w:w="1064"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4,55%</w:t>
            </w:r>
          </w:p>
        </w:tc>
        <w:tc>
          <w:tcPr>
            <w:tcW w:w="850"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94,00</w:t>
            </w:r>
          </w:p>
        </w:tc>
        <w:tc>
          <w:tcPr>
            <w:tcW w:w="1276"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95,97</w:t>
            </w:r>
          </w:p>
        </w:tc>
        <w:tc>
          <w:tcPr>
            <w:tcW w:w="898"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1,97%</w:t>
            </w:r>
          </w:p>
        </w:tc>
      </w:tr>
      <w:tr w:rsidR="00AB4EED" w:rsidTr="00AB4EED">
        <w:trPr>
          <w:trHeight w:val="300"/>
        </w:trPr>
        <w:tc>
          <w:tcPr>
            <w:tcW w:w="1975" w:type="dxa"/>
            <w:vMerge w:val="restart"/>
            <w:tcBorders>
              <w:top w:val="nil"/>
              <w:left w:val="single" w:sz="8" w:space="0" w:color="auto"/>
              <w:bottom w:val="single" w:sz="8" w:space="0" w:color="000000"/>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Evaluare și audit</w:t>
            </w:r>
          </w:p>
        </w:tc>
        <w:tc>
          <w:tcPr>
            <w:tcW w:w="1127"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S15</w:t>
            </w:r>
          </w:p>
        </w:tc>
        <w:tc>
          <w:tcPr>
            <w:tcW w:w="1069" w:type="dxa"/>
            <w:tcBorders>
              <w:top w:val="nil"/>
              <w:left w:val="nil"/>
              <w:bottom w:val="nil"/>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90,38</w:t>
            </w:r>
          </w:p>
        </w:tc>
        <w:tc>
          <w:tcPr>
            <w:tcW w:w="1418"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91,30</w:t>
            </w:r>
          </w:p>
        </w:tc>
        <w:tc>
          <w:tcPr>
            <w:tcW w:w="1064"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0,92%</w:t>
            </w:r>
          </w:p>
        </w:tc>
        <w:tc>
          <w:tcPr>
            <w:tcW w:w="850" w:type="dxa"/>
            <w:tcBorders>
              <w:top w:val="nil"/>
              <w:left w:val="nil"/>
              <w:bottom w:val="nil"/>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92,00</w:t>
            </w:r>
          </w:p>
        </w:tc>
        <w:tc>
          <w:tcPr>
            <w:tcW w:w="1276" w:type="dxa"/>
            <w:tcBorders>
              <w:top w:val="nil"/>
              <w:left w:val="nil"/>
              <w:bottom w:val="nil"/>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92,99</w:t>
            </w:r>
          </w:p>
        </w:tc>
        <w:tc>
          <w:tcPr>
            <w:tcW w:w="898"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0,99%</w:t>
            </w:r>
          </w:p>
        </w:tc>
      </w:tr>
      <w:tr w:rsidR="00AB4EED" w:rsidTr="00AB4EED">
        <w:trPr>
          <w:trHeight w:val="315"/>
        </w:trPr>
        <w:tc>
          <w:tcPr>
            <w:tcW w:w="1975" w:type="dxa"/>
            <w:vMerge/>
            <w:tcBorders>
              <w:top w:val="nil"/>
              <w:left w:val="single" w:sz="8" w:space="0" w:color="auto"/>
              <w:bottom w:val="single" w:sz="8" w:space="0" w:color="000000"/>
              <w:right w:val="single" w:sz="8" w:space="0" w:color="auto"/>
            </w:tcBorders>
            <w:shd w:val="clear" w:color="auto" w:fill="FFF2CC" w:themeFill="accent4" w:themeFillTint="33"/>
            <w:vAlign w:val="center"/>
            <w:hideMark/>
          </w:tcPr>
          <w:p w:rsidR="00AB4EED" w:rsidRPr="00AB4EED" w:rsidRDefault="00AB4EED" w:rsidP="00AB4EED">
            <w:pPr>
              <w:spacing w:line="360" w:lineRule="auto"/>
              <w:rPr>
                <w:rFonts w:ascii="Times New Roman" w:hAnsi="Times New Roman" w:cs="Times New Roman"/>
                <w:color w:val="000000"/>
                <w:lang w:eastAsia="ro-RO"/>
              </w:rPr>
            </w:pPr>
          </w:p>
        </w:tc>
        <w:tc>
          <w:tcPr>
            <w:tcW w:w="1127"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AB4EED">
            <w:pPr>
              <w:spacing w:line="360" w:lineRule="auto"/>
              <w:jc w:val="center"/>
              <w:rPr>
                <w:rFonts w:ascii="Times New Roman" w:hAnsi="Times New Roman" w:cs="Times New Roman"/>
                <w:b/>
                <w:i/>
                <w:color w:val="000000"/>
                <w:lang w:eastAsia="ro-RO"/>
              </w:rPr>
            </w:pPr>
            <w:r w:rsidRPr="00AB4EED">
              <w:rPr>
                <w:rFonts w:ascii="Times New Roman" w:hAnsi="Times New Roman" w:cs="Times New Roman"/>
                <w:b/>
                <w:i/>
                <w:color w:val="000000"/>
                <w:lang w:eastAsia="ro-RO"/>
              </w:rPr>
              <w:t>S16</w:t>
            </w:r>
          </w:p>
        </w:tc>
        <w:tc>
          <w:tcPr>
            <w:tcW w:w="1069" w:type="dxa"/>
            <w:tcBorders>
              <w:top w:val="single" w:sz="8" w:space="0" w:color="auto"/>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90,38</w:t>
            </w:r>
          </w:p>
        </w:tc>
        <w:tc>
          <w:tcPr>
            <w:tcW w:w="1418"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67,35</w:t>
            </w:r>
          </w:p>
        </w:tc>
        <w:tc>
          <w:tcPr>
            <w:tcW w:w="1064" w:type="dxa"/>
            <w:tcBorders>
              <w:top w:val="nil"/>
              <w:left w:val="nil"/>
              <w:bottom w:val="single" w:sz="8" w:space="0" w:color="auto"/>
              <w:right w:val="single" w:sz="8" w:space="0" w:color="auto"/>
            </w:tcBorders>
            <w:shd w:val="clear" w:color="auto" w:fill="FFF2CC" w:themeFill="accent4" w:themeFillTint="33"/>
            <w:noWrap/>
            <w:tcMar>
              <w:top w:w="0" w:type="dxa"/>
              <w:left w:w="108" w:type="dxa"/>
              <w:bottom w:w="0" w:type="dxa"/>
              <w:right w:w="108" w:type="dxa"/>
            </w:tcMar>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-23,04%</w:t>
            </w:r>
          </w:p>
        </w:tc>
        <w:tc>
          <w:tcPr>
            <w:tcW w:w="850" w:type="dxa"/>
            <w:tcBorders>
              <w:top w:val="single" w:sz="8" w:space="0" w:color="auto"/>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92,00</w:t>
            </w:r>
          </w:p>
        </w:tc>
        <w:tc>
          <w:tcPr>
            <w:tcW w:w="1276" w:type="dxa"/>
            <w:tcBorders>
              <w:top w:val="single" w:sz="8" w:space="0" w:color="auto"/>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68,27</w:t>
            </w:r>
          </w:p>
        </w:tc>
        <w:tc>
          <w:tcPr>
            <w:tcW w:w="898" w:type="dxa"/>
            <w:tcBorders>
              <w:top w:val="nil"/>
              <w:left w:val="nil"/>
              <w:bottom w:val="single" w:sz="8" w:space="0" w:color="auto"/>
              <w:right w:val="single" w:sz="8" w:space="0" w:color="auto"/>
            </w:tcBorders>
            <w:shd w:val="clear" w:color="auto" w:fill="FFF2CC" w:themeFill="accent4" w:themeFillTint="33"/>
            <w:vAlign w:val="center"/>
            <w:hideMark/>
          </w:tcPr>
          <w:p w:rsidR="00AB4EED" w:rsidRPr="00AB4EED" w:rsidRDefault="00AB4EED" w:rsidP="00C77B24">
            <w:pPr>
              <w:spacing w:line="360" w:lineRule="auto"/>
              <w:jc w:val="right"/>
              <w:rPr>
                <w:rFonts w:ascii="Times New Roman" w:hAnsi="Times New Roman" w:cs="Times New Roman"/>
                <w:color w:val="000000"/>
                <w:lang w:eastAsia="ro-RO"/>
              </w:rPr>
            </w:pPr>
            <w:r w:rsidRPr="00AB4EED">
              <w:rPr>
                <w:rFonts w:ascii="Times New Roman" w:hAnsi="Times New Roman" w:cs="Times New Roman"/>
                <w:color w:val="000000"/>
                <w:lang w:eastAsia="ro-RO"/>
              </w:rPr>
              <w:t>-23,73%</w:t>
            </w:r>
          </w:p>
        </w:tc>
      </w:tr>
    </w:tbl>
    <w:p w:rsidR="00AB4EED" w:rsidRDefault="00AB4EED" w:rsidP="00AB4EED">
      <w:pPr>
        <w:spacing w:line="276" w:lineRule="auto"/>
        <w:jc w:val="both"/>
        <w:rPr>
          <w:rFonts w:ascii="Times New Roman" w:hAnsi="Times New Roman"/>
          <w:sz w:val="24"/>
          <w:szCs w:val="24"/>
        </w:rPr>
      </w:pPr>
    </w:p>
    <w:p w:rsidR="00AB4EED" w:rsidRDefault="00AB4EED" w:rsidP="00AB4EED">
      <w:pPr>
        <w:rPr>
          <w:rFonts w:ascii="Calibri" w:hAnsi="Calibri"/>
        </w:rPr>
      </w:pPr>
    </w:p>
    <w:p w:rsidR="001979C2" w:rsidRDefault="001979C2" w:rsidP="00AB4EED">
      <w:pPr>
        <w:tabs>
          <w:tab w:val="left" w:pos="993"/>
        </w:tabs>
        <w:spacing w:line="276" w:lineRule="auto"/>
        <w:jc w:val="both"/>
        <w:rPr>
          <w:rFonts w:ascii="Times New Roman" w:hAnsi="Times New Roman" w:cs="Times New Roman"/>
          <w:b/>
          <w:sz w:val="24"/>
          <w:szCs w:val="24"/>
        </w:rPr>
      </w:pPr>
    </w:p>
    <w:p w:rsidR="002F4A55" w:rsidRPr="00AB4EED" w:rsidRDefault="002F4A55" w:rsidP="00AB4EED">
      <w:pPr>
        <w:tabs>
          <w:tab w:val="left" w:pos="993"/>
        </w:tabs>
        <w:spacing w:line="276" w:lineRule="auto"/>
        <w:jc w:val="both"/>
        <w:rPr>
          <w:rFonts w:ascii="Times New Roman" w:hAnsi="Times New Roman" w:cs="Times New Roman"/>
          <w:b/>
          <w:sz w:val="24"/>
          <w:szCs w:val="24"/>
        </w:rPr>
      </w:pPr>
      <w:r w:rsidRPr="00AB4EED">
        <w:rPr>
          <w:rFonts w:ascii="Times New Roman" w:hAnsi="Times New Roman" w:cs="Times New Roman"/>
          <w:b/>
          <w:sz w:val="24"/>
          <w:szCs w:val="24"/>
        </w:rPr>
        <w:t>Mediul de control</w:t>
      </w:r>
    </w:p>
    <w:p w:rsidR="001979C2" w:rsidRDefault="001979C2" w:rsidP="001979C2">
      <w:pPr>
        <w:pStyle w:val="ListParagraph"/>
        <w:tabs>
          <w:tab w:val="left" w:pos="993"/>
        </w:tabs>
        <w:spacing w:line="276" w:lineRule="auto"/>
        <w:jc w:val="both"/>
        <w:rPr>
          <w:rFonts w:ascii="Times New Roman" w:hAnsi="Times New Roman" w:cs="Times New Roman"/>
          <w:b/>
          <w:color w:val="000000" w:themeColor="text1"/>
          <w:sz w:val="24"/>
          <w:szCs w:val="24"/>
        </w:rPr>
      </w:pPr>
    </w:p>
    <w:p w:rsidR="005E1F4D" w:rsidRPr="001979C2" w:rsidRDefault="00965316" w:rsidP="001979C2">
      <w:pPr>
        <w:pStyle w:val="ListParagraph"/>
        <w:tabs>
          <w:tab w:val="left" w:pos="993"/>
        </w:tabs>
        <w:spacing w:after="120" w:line="276" w:lineRule="auto"/>
        <w:contextualSpacing w:val="0"/>
        <w:jc w:val="both"/>
        <w:rPr>
          <w:rFonts w:ascii="Times New Roman" w:hAnsi="Times New Roman" w:cs="Times New Roman"/>
          <w:b/>
          <w:color w:val="000000" w:themeColor="text1"/>
          <w:sz w:val="24"/>
          <w:szCs w:val="24"/>
        </w:rPr>
      </w:pPr>
      <w:r w:rsidRPr="001979C2">
        <w:rPr>
          <w:rFonts w:ascii="Times New Roman" w:hAnsi="Times New Roman" w:cs="Times New Roman"/>
          <w:b/>
          <w:color w:val="000000" w:themeColor="text1"/>
          <w:sz w:val="24"/>
          <w:szCs w:val="24"/>
        </w:rPr>
        <w:t>Anul 2015</w:t>
      </w:r>
    </w:p>
    <w:p w:rsidR="00EF05CF" w:rsidRPr="001979C2" w:rsidRDefault="00EF05CF" w:rsidP="00C7604C">
      <w:pPr>
        <w:pStyle w:val="ListParagraph"/>
        <w:numPr>
          <w:ilvl w:val="0"/>
          <w:numId w:val="6"/>
        </w:numPr>
        <w:spacing w:after="120" w:line="276" w:lineRule="auto"/>
        <w:contextualSpacing w:val="0"/>
        <w:jc w:val="both"/>
        <w:rPr>
          <w:rFonts w:ascii="Times New Roman" w:hAnsi="Times New Roman" w:cs="Times New Roman"/>
          <w:color w:val="000000" w:themeColor="text1"/>
          <w:sz w:val="24"/>
          <w:szCs w:val="24"/>
        </w:rPr>
      </w:pPr>
      <w:r w:rsidRPr="001979C2">
        <w:rPr>
          <w:rFonts w:ascii="Times New Roman" w:hAnsi="Times New Roman" w:cs="Times New Roman"/>
          <w:color w:val="000000" w:themeColor="text1"/>
          <w:sz w:val="24"/>
          <w:szCs w:val="24"/>
        </w:rPr>
        <w:t xml:space="preserve">gradul de implementare al </w:t>
      </w:r>
      <w:r w:rsidRPr="001979C2">
        <w:rPr>
          <w:rFonts w:ascii="Times New Roman" w:hAnsi="Times New Roman" w:cs="Times New Roman"/>
          <w:i/>
          <w:color w:val="000000" w:themeColor="text1"/>
          <w:sz w:val="24"/>
          <w:szCs w:val="24"/>
        </w:rPr>
        <w:t>Standardului 1</w:t>
      </w:r>
      <w:r w:rsidRPr="001979C2">
        <w:rPr>
          <w:rFonts w:ascii="Times New Roman" w:hAnsi="Times New Roman" w:cs="Times New Roman"/>
          <w:color w:val="000000" w:themeColor="text1"/>
          <w:sz w:val="24"/>
          <w:szCs w:val="24"/>
        </w:rPr>
        <w:t xml:space="preserve"> de la nivelul </w:t>
      </w:r>
      <w:r w:rsidR="0002384B" w:rsidRPr="001979C2">
        <w:rPr>
          <w:rFonts w:ascii="Times New Roman" w:hAnsi="Times New Roman" w:cs="Times New Roman"/>
          <w:color w:val="000000" w:themeColor="text1"/>
          <w:sz w:val="24"/>
          <w:szCs w:val="24"/>
        </w:rPr>
        <w:t>entităților publice subordonate sau aflate în coordonarea ordonatorilor principali de credite</w:t>
      </w:r>
      <w:r w:rsidRPr="001979C2">
        <w:rPr>
          <w:rFonts w:ascii="Times New Roman" w:hAnsi="Times New Roman" w:cs="Times New Roman"/>
          <w:color w:val="000000" w:themeColor="text1"/>
          <w:sz w:val="24"/>
          <w:szCs w:val="24"/>
        </w:rPr>
        <w:t xml:space="preserve"> este </w:t>
      </w:r>
      <w:r w:rsidR="0002384B" w:rsidRPr="001979C2">
        <w:rPr>
          <w:rFonts w:ascii="Times New Roman" w:hAnsi="Times New Roman" w:cs="Times New Roman"/>
          <w:color w:val="000000" w:themeColor="text1"/>
          <w:sz w:val="24"/>
          <w:szCs w:val="24"/>
        </w:rPr>
        <w:t>superior</w:t>
      </w:r>
      <w:r w:rsidRPr="001979C2">
        <w:rPr>
          <w:rFonts w:ascii="Times New Roman" w:hAnsi="Times New Roman" w:cs="Times New Roman"/>
          <w:color w:val="000000" w:themeColor="text1"/>
          <w:sz w:val="24"/>
          <w:szCs w:val="24"/>
        </w:rPr>
        <w:t xml:space="preserve"> celui aferent</w:t>
      </w:r>
      <w:r w:rsidR="0002384B" w:rsidRPr="001979C2">
        <w:rPr>
          <w:rFonts w:ascii="Times New Roman" w:hAnsi="Times New Roman" w:cs="Times New Roman"/>
          <w:color w:val="000000" w:themeColor="text1"/>
          <w:sz w:val="24"/>
          <w:szCs w:val="24"/>
        </w:rPr>
        <w:t xml:space="preserve"> ordonatorilor principali de credite</w:t>
      </w:r>
      <w:r w:rsidRPr="001979C2">
        <w:rPr>
          <w:rFonts w:ascii="Times New Roman" w:hAnsi="Times New Roman" w:cs="Times New Roman"/>
          <w:color w:val="000000" w:themeColor="text1"/>
          <w:sz w:val="24"/>
          <w:szCs w:val="24"/>
        </w:rPr>
        <w:t xml:space="preserve">, procentul de </w:t>
      </w:r>
      <w:r w:rsidR="0002384B" w:rsidRPr="001979C2">
        <w:rPr>
          <w:rFonts w:ascii="Times New Roman" w:hAnsi="Times New Roman" w:cs="Times New Roman"/>
          <w:color w:val="000000" w:themeColor="text1"/>
          <w:sz w:val="24"/>
          <w:szCs w:val="24"/>
        </w:rPr>
        <w:t>creștere</w:t>
      </w:r>
      <w:r w:rsidRPr="001979C2">
        <w:rPr>
          <w:rFonts w:ascii="Times New Roman" w:hAnsi="Times New Roman" w:cs="Times New Roman"/>
          <w:color w:val="000000" w:themeColor="text1"/>
          <w:sz w:val="24"/>
          <w:szCs w:val="24"/>
        </w:rPr>
        <w:t xml:space="preserve"> fiind </w:t>
      </w:r>
      <w:r w:rsidR="00626EE6" w:rsidRPr="001979C2">
        <w:rPr>
          <w:rFonts w:ascii="Times New Roman" w:hAnsi="Times New Roman" w:cs="Times New Roman"/>
          <w:color w:val="000000" w:themeColor="text1"/>
          <w:sz w:val="24"/>
          <w:szCs w:val="24"/>
        </w:rPr>
        <w:t>de</w:t>
      </w:r>
      <w:r w:rsidRPr="001979C2">
        <w:rPr>
          <w:rFonts w:ascii="Times New Roman" w:hAnsi="Times New Roman" w:cs="Times New Roman"/>
          <w:color w:val="000000" w:themeColor="text1"/>
          <w:sz w:val="24"/>
          <w:szCs w:val="24"/>
        </w:rPr>
        <w:t xml:space="preserve"> </w:t>
      </w:r>
      <w:r w:rsidR="00785C57" w:rsidRPr="001979C2">
        <w:rPr>
          <w:rFonts w:ascii="Times New Roman" w:hAnsi="Times New Roman" w:cs="Times New Roman"/>
          <w:color w:val="000000" w:themeColor="text1"/>
          <w:sz w:val="24"/>
          <w:szCs w:val="24"/>
        </w:rPr>
        <w:t>5,03</w:t>
      </w:r>
      <w:r w:rsidRPr="001979C2">
        <w:rPr>
          <w:rFonts w:ascii="Times New Roman" w:hAnsi="Times New Roman" w:cs="Times New Roman"/>
          <w:color w:val="000000" w:themeColor="text1"/>
          <w:sz w:val="24"/>
          <w:szCs w:val="24"/>
        </w:rPr>
        <w:t xml:space="preserve">%; </w:t>
      </w:r>
    </w:p>
    <w:p w:rsidR="0002384B" w:rsidRPr="001979C2" w:rsidRDefault="0002384B" w:rsidP="00C7604C">
      <w:pPr>
        <w:pStyle w:val="ListParagraph"/>
        <w:numPr>
          <w:ilvl w:val="0"/>
          <w:numId w:val="6"/>
        </w:numPr>
        <w:spacing w:after="120" w:line="276" w:lineRule="auto"/>
        <w:contextualSpacing w:val="0"/>
        <w:jc w:val="both"/>
        <w:rPr>
          <w:rFonts w:ascii="Times New Roman" w:hAnsi="Times New Roman" w:cs="Times New Roman"/>
          <w:color w:val="000000" w:themeColor="text1"/>
          <w:sz w:val="24"/>
          <w:szCs w:val="24"/>
        </w:rPr>
      </w:pPr>
      <w:r w:rsidRPr="001979C2">
        <w:rPr>
          <w:rFonts w:ascii="Times New Roman" w:hAnsi="Times New Roman" w:cs="Times New Roman"/>
          <w:color w:val="000000" w:themeColor="text1"/>
          <w:sz w:val="24"/>
          <w:szCs w:val="24"/>
        </w:rPr>
        <w:t xml:space="preserve">gradul de implementare al </w:t>
      </w:r>
      <w:r w:rsidRPr="001979C2">
        <w:rPr>
          <w:rFonts w:ascii="Times New Roman" w:hAnsi="Times New Roman" w:cs="Times New Roman"/>
          <w:i/>
          <w:color w:val="000000" w:themeColor="text1"/>
          <w:sz w:val="24"/>
          <w:szCs w:val="24"/>
        </w:rPr>
        <w:t>Standardului 2</w:t>
      </w:r>
      <w:r w:rsidRPr="001979C2">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w:t>
      </w:r>
      <w:r w:rsidR="00626EE6" w:rsidRPr="001979C2">
        <w:rPr>
          <w:rFonts w:ascii="Times New Roman" w:hAnsi="Times New Roman" w:cs="Times New Roman"/>
          <w:color w:val="000000" w:themeColor="text1"/>
          <w:sz w:val="24"/>
          <w:szCs w:val="24"/>
        </w:rPr>
        <w:t>de</w:t>
      </w:r>
      <w:r w:rsidRPr="001979C2">
        <w:rPr>
          <w:rFonts w:ascii="Times New Roman" w:hAnsi="Times New Roman" w:cs="Times New Roman"/>
          <w:color w:val="000000" w:themeColor="text1"/>
          <w:sz w:val="24"/>
          <w:szCs w:val="24"/>
        </w:rPr>
        <w:t xml:space="preserve"> </w:t>
      </w:r>
      <w:r w:rsidR="00277C86" w:rsidRPr="001979C2">
        <w:rPr>
          <w:rFonts w:ascii="Times New Roman" w:hAnsi="Times New Roman" w:cs="Times New Roman"/>
          <w:color w:val="000000" w:themeColor="text1"/>
          <w:sz w:val="24"/>
          <w:szCs w:val="24"/>
        </w:rPr>
        <w:t>32</w:t>
      </w:r>
      <w:r w:rsidR="00785C57" w:rsidRPr="001979C2">
        <w:rPr>
          <w:rFonts w:ascii="Times New Roman" w:hAnsi="Times New Roman" w:cs="Times New Roman"/>
          <w:color w:val="000000" w:themeColor="text1"/>
          <w:sz w:val="24"/>
          <w:szCs w:val="24"/>
        </w:rPr>
        <w:t>,</w:t>
      </w:r>
      <w:r w:rsidR="00277C86" w:rsidRPr="001979C2">
        <w:rPr>
          <w:rFonts w:ascii="Times New Roman" w:hAnsi="Times New Roman" w:cs="Times New Roman"/>
          <w:color w:val="000000" w:themeColor="text1"/>
          <w:sz w:val="24"/>
          <w:szCs w:val="24"/>
        </w:rPr>
        <w:t>65</w:t>
      </w:r>
      <w:r w:rsidR="00F9559F" w:rsidRPr="001979C2">
        <w:rPr>
          <w:rFonts w:ascii="Times New Roman" w:hAnsi="Times New Roman" w:cs="Times New Roman"/>
          <w:color w:val="000000" w:themeColor="text1"/>
          <w:sz w:val="24"/>
          <w:szCs w:val="24"/>
        </w:rPr>
        <w:t>%</w:t>
      </w:r>
      <w:r w:rsidRPr="001979C2">
        <w:rPr>
          <w:rFonts w:ascii="Times New Roman" w:hAnsi="Times New Roman" w:cs="Times New Roman"/>
          <w:color w:val="000000" w:themeColor="text1"/>
          <w:sz w:val="24"/>
          <w:szCs w:val="24"/>
        </w:rPr>
        <w:t xml:space="preserve">; </w:t>
      </w:r>
    </w:p>
    <w:p w:rsidR="00626EE6" w:rsidRPr="001979C2" w:rsidRDefault="00626EE6" w:rsidP="00C7604C">
      <w:pPr>
        <w:pStyle w:val="ListParagraph"/>
        <w:numPr>
          <w:ilvl w:val="0"/>
          <w:numId w:val="6"/>
        </w:numPr>
        <w:spacing w:after="120" w:line="276" w:lineRule="auto"/>
        <w:contextualSpacing w:val="0"/>
        <w:jc w:val="both"/>
        <w:rPr>
          <w:rFonts w:ascii="Times New Roman" w:hAnsi="Times New Roman" w:cs="Times New Roman"/>
          <w:color w:val="000000" w:themeColor="text1"/>
          <w:sz w:val="24"/>
          <w:szCs w:val="24"/>
        </w:rPr>
      </w:pPr>
      <w:r w:rsidRPr="001979C2">
        <w:rPr>
          <w:rFonts w:ascii="Times New Roman" w:hAnsi="Times New Roman" w:cs="Times New Roman"/>
          <w:color w:val="000000" w:themeColor="text1"/>
          <w:sz w:val="24"/>
          <w:szCs w:val="24"/>
        </w:rPr>
        <w:t xml:space="preserve">gradul de implementare al </w:t>
      </w:r>
      <w:r w:rsidRPr="001979C2">
        <w:rPr>
          <w:rFonts w:ascii="Times New Roman" w:hAnsi="Times New Roman" w:cs="Times New Roman"/>
          <w:i/>
          <w:color w:val="000000" w:themeColor="text1"/>
          <w:sz w:val="24"/>
          <w:szCs w:val="24"/>
        </w:rPr>
        <w:t>Standardului 3</w:t>
      </w:r>
      <w:r w:rsidRPr="001979C2">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w:t>
      </w:r>
      <w:r w:rsidR="00277C86" w:rsidRPr="001979C2">
        <w:rPr>
          <w:rFonts w:ascii="Times New Roman" w:hAnsi="Times New Roman" w:cs="Times New Roman"/>
          <w:color w:val="000000" w:themeColor="text1"/>
          <w:sz w:val="24"/>
          <w:szCs w:val="24"/>
        </w:rPr>
        <w:t>4,32</w:t>
      </w:r>
      <w:r w:rsidRPr="001979C2">
        <w:rPr>
          <w:rFonts w:ascii="Times New Roman" w:hAnsi="Times New Roman" w:cs="Times New Roman"/>
          <w:color w:val="000000" w:themeColor="text1"/>
          <w:sz w:val="24"/>
          <w:szCs w:val="24"/>
        </w:rPr>
        <w:t xml:space="preserve">%; </w:t>
      </w:r>
    </w:p>
    <w:p w:rsidR="00626EE6" w:rsidRPr="001979C2" w:rsidRDefault="00626EE6" w:rsidP="00C7604C">
      <w:pPr>
        <w:pStyle w:val="ListParagraph"/>
        <w:numPr>
          <w:ilvl w:val="0"/>
          <w:numId w:val="6"/>
        </w:numPr>
        <w:spacing w:after="120" w:line="276" w:lineRule="auto"/>
        <w:contextualSpacing w:val="0"/>
        <w:jc w:val="both"/>
        <w:rPr>
          <w:rFonts w:ascii="Times New Roman" w:hAnsi="Times New Roman" w:cs="Times New Roman"/>
          <w:color w:val="000000" w:themeColor="text1"/>
          <w:sz w:val="24"/>
          <w:szCs w:val="24"/>
        </w:rPr>
      </w:pPr>
      <w:r w:rsidRPr="001979C2">
        <w:rPr>
          <w:rFonts w:ascii="Times New Roman" w:hAnsi="Times New Roman" w:cs="Times New Roman"/>
          <w:color w:val="000000" w:themeColor="text1"/>
          <w:sz w:val="24"/>
          <w:szCs w:val="24"/>
        </w:rPr>
        <w:t xml:space="preserve">gradul de implementare al </w:t>
      </w:r>
      <w:r w:rsidRPr="001979C2">
        <w:rPr>
          <w:rFonts w:ascii="Times New Roman" w:hAnsi="Times New Roman" w:cs="Times New Roman"/>
          <w:i/>
          <w:color w:val="000000" w:themeColor="text1"/>
          <w:sz w:val="24"/>
          <w:szCs w:val="24"/>
        </w:rPr>
        <w:t>Standardului 4</w:t>
      </w:r>
      <w:r w:rsidRPr="001979C2">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w:t>
      </w:r>
      <w:r w:rsidR="00277C86" w:rsidRPr="001979C2">
        <w:rPr>
          <w:rFonts w:ascii="Times New Roman" w:hAnsi="Times New Roman" w:cs="Times New Roman"/>
          <w:color w:val="000000" w:themeColor="text1"/>
          <w:sz w:val="24"/>
          <w:szCs w:val="24"/>
        </w:rPr>
        <w:t xml:space="preserve"> 2,24</w:t>
      </w:r>
      <w:r w:rsidR="008F30DC">
        <w:rPr>
          <w:rFonts w:ascii="Times New Roman" w:hAnsi="Times New Roman" w:cs="Times New Roman"/>
          <w:color w:val="000000" w:themeColor="text1"/>
          <w:sz w:val="24"/>
          <w:szCs w:val="24"/>
        </w:rPr>
        <w:t>%.</w:t>
      </w:r>
      <w:r w:rsidRPr="001979C2">
        <w:rPr>
          <w:rFonts w:ascii="Times New Roman" w:hAnsi="Times New Roman" w:cs="Times New Roman"/>
          <w:color w:val="000000" w:themeColor="text1"/>
          <w:sz w:val="24"/>
          <w:szCs w:val="24"/>
        </w:rPr>
        <w:t xml:space="preserve"> </w:t>
      </w:r>
    </w:p>
    <w:p w:rsidR="00965316" w:rsidRPr="001979C2" w:rsidRDefault="00965316" w:rsidP="001979C2">
      <w:pPr>
        <w:pStyle w:val="ListParagraph"/>
        <w:tabs>
          <w:tab w:val="left" w:pos="993"/>
        </w:tabs>
        <w:spacing w:after="120" w:line="276" w:lineRule="auto"/>
        <w:contextualSpacing w:val="0"/>
        <w:jc w:val="both"/>
        <w:rPr>
          <w:rFonts w:ascii="Times New Roman" w:hAnsi="Times New Roman" w:cs="Times New Roman"/>
          <w:b/>
          <w:color w:val="000000" w:themeColor="text1"/>
          <w:sz w:val="24"/>
          <w:szCs w:val="24"/>
        </w:rPr>
      </w:pPr>
      <w:r w:rsidRPr="001979C2">
        <w:rPr>
          <w:rFonts w:ascii="Times New Roman" w:hAnsi="Times New Roman" w:cs="Times New Roman"/>
          <w:b/>
          <w:color w:val="000000" w:themeColor="text1"/>
          <w:sz w:val="24"/>
          <w:szCs w:val="24"/>
        </w:rPr>
        <w:t>Anul 2016</w:t>
      </w:r>
    </w:p>
    <w:p w:rsidR="00965316" w:rsidRPr="001979C2" w:rsidRDefault="00965316" w:rsidP="00C7604C">
      <w:pPr>
        <w:pStyle w:val="ListParagraph"/>
        <w:numPr>
          <w:ilvl w:val="0"/>
          <w:numId w:val="6"/>
        </w:numPr>
        <w:spacing w:after="120" w:line="276" w:lineRule="auto"/>
        <w:contextualSpacing w:val="0"/>
        <w:jc w:val="both"/>
        <w:rPr>
          <w:rFonts w:ascii="Times New Roman" w:hAnsi="Times New Roman" w:cs="Times New Roman"/>
          <w:color w:val="000000" w:themeColor="text1"/>
          <w:sz w:val="24"/>
          <w:szCs w:val="24"/>
        </w:rPr>
      </w:pPr>
      <w:r w:rsidRPr="001979C2">
        <w:rPr>
          <w:rFonts w:ascii="Times New Roman" w:hAnsi="Times New Roman" w:cs="Times New Roman"/>
          <w:color w:val="000000" w:themeColor="text1"/>
          <w:sz w:val="24"/>
          <w:szCs w:val="24"/>
        </w:rPr>
        <w:t xml:space="preserve">gradul de implementare al </w:t>
      </w:r>
      <w:r w:rsidRPr="001979C2">
        <w:rPr>
          <w:rFonts w:ascii="Times New Roman" w:hAnsi="Times New Roman" w:cs="Times New Roman"/>
          <w:i/>
          <w:color w:val="000000" w:themeColor="text1"/>
          <w:sz w:val="24"/>
          <w:szCs w:val="24"/>
        </w:rPr>
        <w:t>Standardului 1</w:t>
      </w:r>
      <w:r w:rsidRPr="001979C2">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2,27%; </w:t>
      </w:r>
    </w:p>
    <w:p w:rsidR="00965316" w:rsidRPr="001979C2" w:rsidRDefault="00965316" w:rsidP="00C7604C">
      <w:pPr>
        <w:pStyle w:val="ListParagraph"/>
        <w:numPr>
          <w:ilvl w:val="0"/>
          <w:numId w:val="6"/>
        </w:numPr>
        <w:spacing w:after="120" w:line="276" w:lineRule="auto"/>
        <w:contextualSpacing w:val="0"/>
        <w:jc w:val="both"/>
        <w:rPr>
          <w:rFonts w:ascii="Times New Roman" w:hAnsi="Times New Roman" w:cs="Times New Roman"/>
          <w:color w:val="000000" w:themeColor="text1"/>
          <w:sz w:val="24"/>
          <w:szCs w:val="24"/>
        </w:rPr>
      </w:pPr>
      <w:r w:rsidRPr="001979C2">
        <w:rPr>
          <w:rFonts w:ascii="Times New Roman" w:hAnsi="Times New Roman" w:cs="Times New Roman"/>
          <w:color w:val="000000" w:themeColor="text1"/>
          <w:sz w:val="24"/>
          <w:szCs w:val="24"/>
        </w:rPr>
        <w:t xml:space="preserve">gradul de implementare al </w:t>
      </w:r>
      <w:r w:rsidRPr="001979C2">
        <w:rPr>
          <w:rFonts w:ascii="Times New Roman" w:hAnsi="Times New Roman" w:cs="Times New Roman"/>
          <w:i/>
          <w:color w:val="000000" w:themeColor="text1"/>
          <w:sz w:val="24"/>
          <w:szCs w:val="24"/>
        </w:rPr>
        <w:t>Standardului 2</w:t>
      </w:r>
      <w:r w:rsidRPr="001979C2">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39,33%; </w:t>
      </w:r>
    </w:p>
    <w:p w:rsidR="00965316" w:rsidRPr="001979C2" w:rsidRDefault="00965316" w:rsidP="00C7604C">
      <w:pPr>
        <w:pStyle w:val="ListParagraph"/>
        <w:numPr>
          <w:ilvl w:val="0"/>
          <w:numId w:val="6"/>
        </w:numPr>
        <w:spacing w:after="120" w:line="276" w:lineRule="auto"/>
        <w:contextualSpacing w:val="0"/>
        <w:jc w:val="both"/>
        <w:rPr>
          <w:rFonts w:ascii="Times New Roman" w:hAnsi="Times New Roman" w:cs="Times New Roman"/>
          <w:color w:val="000000" w:themeColor="text1"/>
          <w:sz w:val="24"/>
          <w:szCs w:val="24"/>
        </w:rPr>
      </w:pPr>
      <w:r w:rsidRPr="001979C2">
        <w:rPr>
          <w:rFonts w:ascii="Times New Roman" w:hAnsi="Times New Roman" w:cs="Times New Roman"/>
          <w:color w:val="000000" w:themeColor="text1"/>
          <w:sz w:val="24"/>
          <w:szCs w:val="24"/>
        </w:rPr>
        <w:t xml:space="preserve">gradul de implementare al </w:t>
      </w:r>
      <w:r w:rsidRPr="001979C2">
        <w:rPr>
          <w:rFonts w:ascii="Times New Roman" w:hAnsi="Times New Roman" w:cs="Times New Roman"/>
          <w:i/>
          <w:color w:val="000000" w:themeColor="text1"/>
          <w:sz w:val="24"/>
          <w:szCs w:val="24"/>
        </w:rPr>
        <w:t>Standardului 3</w:t>
      </w:r>
      <w:r w:rsidRPr="001979C2">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11,65%; </w:t>
      </w:r>
    </w:p>
    <w:p w:rsidR="00965316" w:rsidRPr="001979C2" w:rsidRDefault="00965316" w:rsidP="00C7604C">
      <w:pPr>
        <w:pStyle w:val="ListParagraph"/>
        <w:numPr>
          <w:ilvl w:val="0"/>
          <w:numId w:val="6"/>
        </w:numPr>
        <w:spacing w:after="120" w:line="276" w:lineRule="auto"/>
        <w:contextualSpacing w:val="0"/>
        <w:jc w:val="both"/>
        <w:rPr>
          <w:rFonts w:ascii="Times New Roman" w:hAnsi="Times New Roman" w:cs="Times New Roman"/>
          <w:color w:val="000000" w:themeColor="text1"/>
          <w:sz w:val="24"/>
          <w:szCs w:val="24"/>
        </w:rPr>
      </w:pPr>
      <w:r w:rsidRPr="001979C2">
        <w:rPr>
          <w:rFonts w:ascii="Times New Roman" w:hAnsi="Times New Roman" w:cs="Times New Roman"/>
          <w:color w:val="000000" w:themeColor="text1"/>
          <w:sz w:val="24"/>
          <w:szCs w:val="24"/>
        </w:rPr>
        <w:t xml:space="preserve">gradul de implementare al </w:t>
      </w:r>
      <w:r w:rsidRPr="001979C2">
        <w:rPr>
          <w:rFonts w:ascii="Times New Roman" w:hAnsi="Times New Roman" w:cs="Times New Roman"/>
          <w:i/>
          <w:color w:val="000000" w:themeColor="text1"/>
          <w:sz w:val="24"/>
          <w:szCs w:val="24"/>
        </w:rPr>
        <w:t>Standardului 4</w:t>
      </w:r>
      <w:r w:rsidRPr="001979C2">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w:t>
      </w:r>
      <w:r w:rsidR="009E4D2B">
        <w:rPr>
          <w:rFonts w:ascii="Times New Roman" w:hAnsi="Times New Roman" w:cs="Times New Roman"/>
          <w:color w:val="000000" w:themeColor="text1"/>
          <w:sz w:val="24"/>
          <w:szCs w:val="24"/>
        </w:rPr>
        <w:t>ntul de creștere fiind de 5,72%.</w:t>
      </w:r>
      <w:r w:rsidRPr="001979C2">
        <w:rPr>
          <w:rFonts w:ascii="Times New Roman" w:hAnsi="Times New Roman" w:cs="Times New Roman"/>
          <w:color w:val="000000" w:themeColor="text1"/>
          <w:sz w:val="24"/>
          <w:szCs w:val="24"/>
        </w:rPr>
        <w:t xml:space="preserve"> </w:t>
      </w:r>
    </w:p>
    <w:p w:rsidR="00B564AD" w:rsidRDefault="00B564AD" w:rsidP="00FB2F81">
      <w:pPr>
        <w:spacing w:line="276" w:lineRule="auto"/>
        <w:jc w:val="both"/>
        <w:rPr>
          <w:rFonts w:ascii="Times New Roman" w:hAnsi="Times New Roman" w:cs="Times New Roman"/>
          <w:color w:val="FF0000"/>
          <w:sz w:val="24"/>
          <w:szCs w:val="24"/>
        </w:rPr>
      </w:pPr>
    </w:p>
    <w:p w:rsidR="001979C2" w:rsidRDefault="001979C2">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FB2F81" w:rsidRDefault="00FB2F81" w:rsidP="00FB2F81">
      <w:pPr>
        <w:spacing w:after="0" w:line="276" w:lineRule="auto"/>
        <w:jc w:val="both"/>
        <w:rPr>
          <w:rFonts w:ascii="Times New Roman" w:hAnsi="Times New Roman" w:cs="Times New Roman"/>
          <w:b/>
          <w:color w:val="000000" w:themeColor="text1"/>
          <w:sz w:val="24"/>
          <w:szCs w:val="24"/>
        </w:rPr>
      </w:pPr>
      <w:r w:rsidRPr="00FB2F81">
        <w:rPr>
          <w:rFonts w:ascii="Times New Roman" w:hAnsi="Times New Roman" w:cs="Times New Roman"/>
          <w:b/>
          <w:color w:val="000000" w:themeColor="text1"/>
          <w:sz w:val="24"/>
          <w:szCs w:val="24"/>
        </w:rPr>
        <w:t>Standardului 1 – Etica integritate</w:t>
      </w:r>
    </w:p>
    <w:p w:rsidR="00965316" w:rsidRPr="00965316" w:rsidRDefault="00FB2F81" w:rsidP="00FB2F81">
      <w:pPr>
        <w:jc w:val="right"/>
        <w:rPr>
          <w:rFonts w:ascii="Times New Roman" w:hAnsi="Times New Roman" w:cs="Times New Roman"/>
          <w:color w:val="FF0000"/>
          <w:sz w:val="24"/>
          <w:szCs w:val="24"/>
        </w:rPr>
      </w:pPr>
      <w:r>
        <w:rPr>
          <w:rFonts w:ascii="Times New Roman" w:hAnsi="Times New Roman" w:cs="Times New Roman"/>
          <w:noProof/>
          <w:color w:val="FF0000"/>
          <w:sz w:val="24"/>
          <w:szCs w:val="24"/>
          <w:lang w:eastAsia="ro-RO"/>
        </w:rPr>
        <w:drawing>
          <wp:inline distT="0" distB="0" distL="0" distR="0" wp14:anchorId="47D7EDFC" wp14:editId="41D1AE12">
            <wp:extent cx="4856946" cy="1732915"/>
            <wp:effectExtent l="0" t="0" r="1270" b="635"/>
            <wp:docPr id="115" name="Chart 1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FB2F81" w:rsidRDefault="00FB2F81" w:rsidP="00FB2F81">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Standardului 2</w:t>
      </w:r>
      <w:r w:rsidRPr="00FB2F81">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Atribuții, funcții, sarcini</w:t>
      </w:r>
    </w:p>
    <w:p w:rsidR="00FB2F81" w:rsidRDefault="00FB2F81" w:rsidP="00FB2F81">
      <w:pPr>
        <w:spacing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0CA36D6F" wp14:editId="74A9E402">
            <wp:extent cx="4850130" cy="1773141"/>
            <wp:effectExtent l="0" t="0" r="7620" b="17780"/>
            <wp:docPr id="118" name="Chart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FB2F81" w:rsidRDefault="00FB2F81" w:rsidP="00FB2F81">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Standardului 3</w:t>
      </w:r>
      <w:r w:rsidRPr="00FB2F81">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Competență, performanță</w:t>
      </w:r>
    </w:p>
    <w:p w:rsidR="00FB2F81" w:rsidRDefault="00FB2F81" w:rsidP="00FB2F81">
      <w:pPr>
        <w:spacing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279BEDF5" wp14:editId="24048BB9">
            <wp:extent cx="4849854" cy="1764665"/>
            <wp:effectExtent l="0" t="0" r="8255" b="6985"/>
            <wp:docPr id="119" name="Chart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FB2F81" w:rsidRDefault="00FB2F81" w:rsidP="00FB2F81">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Standardului 4</w:t>
      </w:r>
      <w:r w:rsidRPr="00FB2F81">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Structura organizatorică</w:t>
      </w:r>
    </w:p>
    <w:p w:rsidR="00FB2F81" w:rsidRDefault="00FB2F81" w:rsidP="00FB2F81">
      <w:pPr>
        <w:spacing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7F54B725" wp14:editId="7002F555">
            <wp:extent cx="4850130" cy="1645920"/>
            <wp:effectExtent l="0" t="0" r="7620" b="11430"/>
            <wp:docPr id="120" name="Chart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834893" w:rsidRPr="00AB4EED" w:rsidRDefault="00834893" w:rsidP="00AB4EED">
      <w:pPr>
        <w:spacing w:line="276" w:lineRule="auto"/>
        <w:jc w:val="both"/>
        <w:rPr>
          <w:rFonts w:ascii="Times New Roman" w:hAnsi="Times New Roman" w:cs="Times New Roman"/>
          <w:b/>
          <w:sz w:val="24"/>
          <w:szCs w:val="24"/>
        </w:rPr>
      </w:pPr>
      <w:r w:rsidRPr="00AB4EED">
        <w:rPr>
          <w:rFonts w:ascii="Times New Roman" w:hAnsi="Times New Roman" w:cs="Times New Roman"/>
          <w:b/>
          <w:sz w:val="24"/>
          <w:szCs w:val="24"/>
        </w:rPr>
        <w:t>Performanțe și managementul riscului</w:t>
      </w:r>
    </w:p>
    <w:p w:rsidR="00965316" w:rsidRPr="003313F7" w:rsidRDefault="00965316" w:rsidP="003313F7">
      <w:pPr>
        <w:pStyle w:val="ListParagraph"/>
        <w:spacing w:after="120" w:line="276" w:lineRule="auto"/>
        <w:contextualSpacing w:val="0"/>
        <w:jc w:val="both"/>
        <w:rPr>
          <w:rFonts w:ascii="Times New Roman" w:hAnsi="Times New Roman" w:cs="Times New Roman"/>
          <w:b/>
          <w:color w:val="000000" w:themeColor="text1"/>
          <w:sz w:val="24"/>
          <w:szCs w:val="24"/>
        </w:rPr>
      </w:pPr>
      <w:r w:rsidRPr="003313F7">
        <w:rPr>
          <w:rFonts w:ascii="Times New Roman" w:hAnsi="Times New Roman" w:cs="Times New Roman"/>
          <w:b/>
          <w:color w:val="000000" w:themeColor="text1"/>
          <w:sz w:val="24"/>
          <w:szCs w:val="24"/>
        </w:rPr>
        <w:t>Anul 2015</w:t>
      </w:r>
    </w:p>
    <w:p w:rsidR="00626EE6" w:rsidRPr="003313F7" w:rsidRDefault="00626EE6" w:rsidP="00C7604C">
      <w:pPr>
        <w:pStyle w:val="ListParagraph"/>
        <w:numPr>
          <w:ilvl w:val="0"/>
          <w:numId w:val="8"/>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5</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w:t>
      </w:r>
      <w:r w:rsidR="00785C57" w:rsidRPr="003313F7">
        <w:rPr>
          <w:rFonts w:ascii="Times New Roman" w:hAnsi="Times New Roman" w:cs="Times New Roman"/>
          <w:color w:val="000000" w:themeColor="text1"/>
          <w:sz w:val="24"/>
          <w:szCs w:val="24"/>
        </w:rPr>
        <w:t>6,05</w:t>
      </w:r>
      <w:r w:rsidRPr="003313F7">
        <w:rPr>
          <w:rFonts w:ascii="Times New Roman" w:hAnsi="Times New Roman" w:cs="Times New Roman"/>
          <w:color w:val="000000" w:themeColor="text1"/>
          <w:sz w:val="24"/>
          <w:szCs w:val="24"/>
        </w:rPr>
        <w:t xml:space="preserve">%; </w:t>
      </w:r>
    </w:p>
    <w:p w:rsidR="00626EE6" w:rsidRPr="003313F7" w:rsidRDefault="00626EE6" w:rsidP="00C7604C">
      <w:pPr>
        <w:pStyle w:val="ListParagraph"/>
        <w:numPr>
          <w:ilvl w:val="0"/>
          <w:numId w:val="8"/>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6</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w:t>
      </w:r>
      <w:r w:rsidR="00785C57" w:rsidRPr="003313F7">
        <w:rPr>
          <w:rFonts w:ascii="Times New Roman" w:hAnsi="Times New Roman" w:cs="Times New Roman"/>
          <w:color w:val="000000" w:themeColor="text1"/>
          <w:sz w:val="24"/>
          <w:szCs w:val="24"/>
        </w:rPr>
        <w:t>9,48</w:t>
      </w:r>
      <w:r w:rsidRPr="003313F7">
        <w:rPr>
          <w:rFonts w:ascii="Times New Roman" w:hAnsi="Times New Roman" w:cs="Times New Roman"/>
          <w:color w:val="000000" w:themeColor="text1"/>
          <w:sz w:val="24"/>
          <w:szCs w:val="24"/>
        </w:rPr>
        <w:t xml:space="preserve">%; </w:t>
      </w:r>
    </w:p>
    <w:p w:rsidR="00626EE6" w:rsidRPr="003313F7" w:rsidRDefault="00626EE6" w:rsidP="00C7604C">
      <w:pPr>
        <w:pStyle w:val="ListParagraph"/>
        <w:numPr>
          <w:ilvl w:val="0"/>
          <w:numId w:val="8"/>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7</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w:t>
      </w:r>
      <w:r w:rsidR="00785C57" w:rsidRPr="003313F7">
        <w:rPr>
          <w:rFonts w:ascii="Times New Roman" w:hAnsi="Times New Roman" w:cs="Times New Roman"/>
          <w:color w:val="000000" w:themeColor="text1"/>
          <w:sz w:val="24"/>
          <w:szCs w:val="24"/>
        </w:rPr>
        <w:t>13,48</w:t>
      </w:r>
      <w:r w:rsidRPr="003313F7">
        <w:rPr>
          <w:rFonts w:ascii="Times New Roman" w:hAnsi="Times New Roman" w:cs="Times New Roman"/>
          <w:color w:val="000000" w:themeColor="text1"/>
          <w:sz w:val="24"/>
          <w:szCs w:val="24"/>
        </w:rPr>
        <w:t xml:space="preserve">%; </w:t>
      </w:r>
    </w:p>
    <w:p w:rsidR="00626EE6" w:rsidRPr="003313F7" w:rsidRDefault="00626EE6" w:rsidP="00C7604C">
      <w:pPr>
        <w:pStyle w:val="ListParagraph"/>
        <w:numPr>
          <w:ilvl w:val="0"/>
          <w:numId w:val="8"/>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8</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w:t>
      </w:r>
      <w:r w:rsidR="006B087E" w:rsidRPr="003313F7">
        <w:rPr>
          <w:rFonts w:ascii="Times New Roman" w:hAnsi="Times New Roman" w:cs="Times New Roman"/>
          <w:color w:val="000000" w:themeColor="text1"/>
          <w:sz w:val="24"/>
          <w:szCs w:val="24"/>
        </w:rPr>
        <w:t>9,12</w:t>
      </w:r>
      <w:r w:rsidR="00BC7F15">
        <w:rPr>
          <w:rFonts w:ascii="Times New Roman" w:hAnsi="Times New Roman" w:cs="Times New Roman"/>
          <w:color w:val="000000" w:themeColor="text1"/>
          <w:sz w:val="24"/>
          <w:szCs w:val="24"/>
        </w:rPr>
        <w:t>%.</w:t>
      </w:r>
      <w:r w:rsidRPr="003313F7">
        <w:rPr>
          <w:rFonts w:ascii="Times New Roman" w:hAnsi="Times New Roman" w:cs="Times New Roman"/>
          <w:color w:val="000000" w:themeColor="text1"/>
          <w:sz w:val="24"/>
          <w:szCs w:val="24"/>
        </w:rPr>
        <w:t xml:space="preserve"> </w:t>
      </w:r>
    </w:p>
    <w:p w:rsidR="00965316" w:rsidRPr="003313F7" w:rsidRDefault="00965316" w:rsidP="003313F7">
      <w:pPr>
        <w:pStyle w:val="ListParagraph"/>
        <w:spacing w:after="120" w:line="276" w:lineRule="auto"/>
        <w:contextualSpacing w:val="0"/>
        <w:jc w:val="both"/>
        <w:rPr>
          <w:rFonts w:ascii="Times New Roman" w:hAnsi="Times New Roman" w:cs="Times New Roman"/>
          <w:b/>
          <w:color w:val="000000" w:themeColor="text1"/>
          <w:sz w:val="24"/>
          <w:szCs w:val="24"/>
        </w:rPr>
      </w:pPr>
      <w:r w:rsidRPr="003313F7">
        <w:rPr>
          <w:rFonts w:ascii="Times New Roman" w:hAnsi="Times New Roman" w:cs="Times New Roman"/>
          <w:b/>
          <w:color w:val="000000" w:themeColor="text1"/>
          <w:sz w:val="24"/>
          <w:szCs w:val="24"/>
        </w:rPr>
        <w:t>Anul 201</w:t>
      </w:r>
      <w:r w:rsidR="000E3558" w:rsidRPr="003313F7">
        <w:rPr>
          <w:rFonts w:ascii="Times New Roman" w:hAnsi="Times New Roman" w:cs="Times New Roman"/>
          <w:b/>
          <w:color w:val="000000" w:themeColor="text1"/>
          <w:sz w:val="24"/>
          <w:szCs w:val="24"/>
        </w:rPr>
        <w:t>6</w:t>
      </w:r>
    </w:p>
    <w:p w:rsidR="00965316" w:rsidRPr="003313F7" w:rsidRDefault="00965316" w:rsidP="00C7604C">
      <w:pPr>
        <w:pStyle w:val="ListParagraph"/>
        <w:numPr>
          <w:ilvl w:val="0"/>
          <w:numId w:val="8"/>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5</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w:t>
      </w:r>
      <w:r w:rsidR="00C41BCC" w:rsidRPr="003313F7">
        <w:rPr>
          <w:rFonts w:ascii="Times New Roman" w:hAnsi="Times New Roman" w:cs="Times New Roman"/>
          <w:color w:val="000000" w:themeColor="text1"/>
          <w:sz w:val="24"/>
          <w:szCs w:val="24"/>
        </w:rPr>
        <w:t>12,69</w:t>
      </w:r>
      <w:r w:rsidRPr="003313F7">
        <w:rPr>
          <w:rFonts w:ascii="Times New Roman" w:hAnsi="Times New Roman" w:cs="Times New Roman"/>
          <w:color w:val="000000" w:themeColor="text1"/>
          <w:sz w:val="24"/>
          <w:szCs w:val="24"/>
        </w:rPr>
        <w:t xml:space="preserve">%; </w:t>
      </w:r>
    </w:p>
    <w:p w:rsidR="00965316" w:rsidRPr="003313F7" w:rsidRDefault="00965316" w:rsidP="00C7604C">
      <w:pPr>
        <w:pStyle w:val="ListParagraph"/>
        <w:numPr>
          <w:ilvl w:val="0"/>
          <w:numId w:val="8"/>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6</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w:t>
      </w:r>
      <w:r w:rsidR="00C41BCC" w:rsidRPr="003313F7">
        <w:rPr>
          <w:rFonts w:ascii="Times New Roman" w:hAnsi="Times New Roman" w:cs="Times New Roman"/>
          <w:color w:val="000000" w:themeColor="text1"/>
          <w:sz w:val="24"/>
          <w:szCs w:val="24"/>
        </w:rPr>
        <w:t>13,51</w:t>
      </w:r>
      <w:r w:rsidRPr="003313F7">
        <w:rPr>
          <w:rFonts w:ascii="Times New Roman" w:hAnsi="Times New Roman" w:cs="Times New Roman"/>
          <w:color w:val="000000" w:themeColor="text1"/>
          <w:sz w:val="24"/>
          <w:szCs w:val="24"/>
        </w:rPr>
        <w:t xml:space="preserve">%; </w:t>
      </w:r>
    </w:p>
    <w:p w:rsidR="00965316" w:rsidRPr="003313F7" w:rsidRDefault="00965316" w:rsidP="00C7604C">
      <w:pPr>
        <w:pStyle w:val="ListParagraph"/>
        <w:numPr>
          <w:ilvl w:val="0"/>
          <w:numId w:val="8"/>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7</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w:t>
      </w:r>
      <w:r w:rsidR="00C41BCC" w:rsidRPr="003313F7">
        <w:rPr>
          <w:rFonts w:ascii="Times New Roman" w:hAnsi="Times New Roman" w:cs="Times New Roman"/>
          <w:color w:val="000000" w:themeColor="text1"/>
          <w:sz w:val="24"/>
          <w:szCs w:val="24"/>
        </w:rPr>
        <w:t>11,21</w:t>
      </w:r>
      <w:r w:rsidRPr="003313F7">
        <w:rPr>
          <w:rFonts w:ascii="Times New Roman" w:hAnsi="Times New Roman" w:cs="Times New Roman"/>
          <w:color w:val="000000" w:themeColor="text1"/>
          <w:sz w:val="24"/>
          <w:szCs w:val="24"/>
        </w:rPr>
        <w:t xml:space="preserve">%; </w:t>
      </w:r>
    </w:p>
    <w:p w:rsidR="00965316" w:rsidRPr="003313F7" w:rsidRDefault="00965316" w:rsidP="00C7604C">
      <w:pPr>
        <w:pStyle w:val="ListParagraph"/>
        <w:numPr>
          <w:ilvl w:val="0"/>
          <w:numId w:val="8"/>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8</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w:t>
      </w:r>
      <w:r w:rsidR="00C41BCC" w:rsidRPr="003313F7">
        <w:rPr>
          <w:rFonts w:ascii="Times New Roman" w:hAnsi="Times New Roman" w:cs="Times New Roman"/>
          <w:color w:val="000000" w:themeColor="text1"/>
          <w:sz w:val="24"/>
          <w:szCs w:val="24"/>
        </w:rPr>
        <w:t>11,05</w:t>
      </w:r>
      <w:r w:rsidR="00BC7F15">
        <w:rPr>
          <w:rFonts w:ascii="Times New Roman" w:hAnsi="Times New Roman" w:cs="Times New Roman"/>
          <w:color w:val="000000" w:themeColor="text1"/>
          <w:sz w:val="24"/>
          <w:szCs w:val="24"/>
        </w:rPr>
        <w:t>%.</w:t>
      </w:r>
      <w:r w:rsidRPr="003313F7">
        <w:rPr>
          <w:rFonts w:ascii="Times New Roman" w:hAnsi="Times New Roman" w:cs="Times New Roman"/>
          <w:color w:val="000000" w:themeColor="text1"/>
          <w:sz w:val="24"/>
          <w:szCs w:val="24"/>
        </w:rPr>
        <w:t xml:space="preserve"> </w:t>
      </w:r>
    </w:p>
    <w:p w:rsidR="00C77B24" w:rsidRDefault="00C77B24">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5C20E2" w:rsidRPr="005C20E2" w:rsidRDefault="005C20E2" w:rsidP="005C20E2">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Standardului 5</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Obiective</w:t>
      </w:r>
    </w:p>
    <w:p w:rsidR="005C20E2" w:rsidRDefault="005C20E2" w:rsidP="005C20E2">
      <w:pPr>
        <w:jc w:val="right"/>
        <w:rPr>
          <w:rFonts w:ascii="Times New Roman" w:hAnsi="Times New Roman" w:cs="Times New Roman"/>
          <w:b/>
          <w:sz w:val="24"/>
          <w:szCs w:val="24"/>
        </w:rPr>
      </w:pPr>
      <w:r>
        <w:rPr>
          <w:rFonts w:ascii="Times New Roman" w:hAnsi="Times New Roman" w:cs="Times New Roman"/>
          <w:noProof/>
          <w:color w:val="FF0000"/>
          <w:sz w:val="24"/>
          <w:szCs w:val="24"/>
          <w:lang w:eastAsia="ro-RO"/>
        </w:rPr>
        <w:drawing>
          <wp:inline distT="0" distB="0" distL="0" distR="0" wp14:anchorId="5A396897" wp14:editId="676E4397">
            <wp:extent cx="4850130" cy="1645920"/>
            <wp:effectExtent l="0" t="0" r="7620" b="1143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5C20E2" w:rsidRDefault="005C20E2" w:rsidP="005C20E2">
      <w:pPr>
        <w:rPr>
          <w:rFonts w:ascii="Times New Roman" w:hAnsi="Times New Roman" w:cs="Times New Roman"/>
          <w:b/>
          <w:sz w:val="24"/>
          <w:szCs w:val="24"/>
        </w:rPr>
      </w:pPr>
      <w:r>
        <w:rPr>
          <w:rFonts w:ascii="Times New Roman" w:hAnsi="Times New Roman" w:cs="Times New Roman"/>
          <w:b/>
          <w:color w:val="000000" w:themeColor="text1"/>
          <w:sz w:val="24"/>
          <w:szCs w:val="24"/>
        </w:rPr>
        <w:t>Standardului 6</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Planificarea</w:t>
      </w:r>
    </w:p>
    <w:p w:rsidR="005C20E2" w:rsidRPr="005C20E2" w:rsidRDefault="00E60928" w:rsidP="00E60928">
      <w:pPr>
        <w:jc w:val="right"/>
        <w:rPr>
          <w:rFonts w:ascii="Times New Roman" w:hAnsi="Times New Roman" w:cs="Times New Roman"/>
          <w:b/>
          <w:sz w:val="24"/>
          <w:szCs w:val="24"/>
        </w:rPr>
      </w:pPr>
      <w:r>
        <w:rPr>
          <w:rFonts w:ascii="Times New Roman" w:hAnsi="Times New Roman" w:cs="Times New Roman"/>
          <w:noProof/>
          <w:color w:val="FF0000"/>
          <w:sz w:val="24"/>
          <w:szCs w:val="24"/>
          <w:lang w:eastAsia="ro-RO"/>
        </w:rPr>
        <w:drawing>
          <wp:inline distT="0" distB="0" distL="0" distR="0" wp14:anchorId="45B71783" wp14:editId="1C0DC772">
            <wp:extent cx="4850130" cy="1645920"/>
            <wp:effectExtent l="0" t="0" r="7620" b="1143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5C20E2" w:rsidRPr="005C20E2" w:rsidRDefault="005C20E2" w:rsidP="005C20E2">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Standardului 7</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Monitorizarea performanțelor</w:t>
      </w:r>
    </w:p>
    <w:p w:rsidR="005C20E2" w:rsidRDefault="00E60928" w:rsidP="00E60928">
      <w:pPr>
        <w:spacing w:after="0"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3C2D822D" wp14:editId="38E7DF99">
            <wp:extent cx="4850130" cy="1645920"/>
            <wp:effectExtent l="0" t="0" r="7620" b="1143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5C20E2" w:rsidRPr="005C20E2" w:rsidRDefault="005C20E2" w:rsidP="005C20E2">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Standardului 8</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Managementul riscului</w:t>
      </w:r>
    </w:p>
    <w:p w:rsidR="005C20E2" w:rsidRDefault="00E60928" w:rsidP="00E60928">
      <w:pPr>
        <w:spacing w:line="276" w:lineRule="auto"/>
        <w:jc w:val="right"/>
        <w:rPr>
          <w:rFonts w:ascii="Times New Roman" w:hAnsi="Times New Roman" w:cs="Times New Roman"/>
          <w:b/>
          <w:sz w:val="24"/>
          <w:szCs w:val="24"/>
        </w:rPr>
      </w:pPr>
      <w:r>
        <w:rPr>
          <w:rFonts w:ascii="Times New Roman" w:hAnsi="Times New Roman" w:cs="Times New Roman"/>
          <w:noProof/>
          <w:color w:val="FF0000"/>
          <w:sz w:val="24"/>
          <w:szCs w:val="24"/>
          <w:lang w:eastAsia="ro-RO"/>
        </w:rPr>
        <w:drawing>
          <wp:inline distT="0" distB="0" distL="0" distR="0" wp14:anchorId="3C2D822D" wp14:editId="38E7DF99">
            <wp:extent cx="4850130" cy="1645920"/>
            <wp:effectExtent l="0" t="0" r="7620" b="1143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C77B24" w:rsidRDefault="00C77B24">
      <w:pPr>
        <w:rPr>
          <w:rFonts w:ascii="Times New Roman" w:hAnsi="Times New Roman" w:cs="Times New Roman"/>
          <w:b/>
          <w:sz w:val="24"/>
          <w:szCs w:val="24"/>
        </w:rPr>
      </w:pPr>
      <w:r>
        <w:rPr>
          <w:rFonts w:ascii="Times New Roman" w:hAnsi="Times New Roman" w:cs="Times New Roman"/>
          <w:b/>
          <w:sz w:val="24"/>
          <w:szCs w:val="24"/>
        </w:rPr>
        <w:br w:type="page"/>
      </w:r>
    </w:p>
    <w:p w:rsidR="008A5627" w:rsidRPr="003313F7" w:rsidRDefault="008A5627" w:rsidP="003313F7">
      <w:pPr>
        <w:spacing w:after="120" w:line="276" w:lineRule="auto"/>
        <w:jc w:val="both"/>
        <w:rPr>
          <w:rFonts w:ascii="Times New Roman" w:hAnsi="Times New Roman" w:cs="Times New Roman"/>
          <w:b/>
          <w:color w:val="000000" w:themeColor="text1"/>
          <w:sz w:val="24"/>
          <w:szCs w:val="24"/>
        </w:rPr>
      </w:pPr>
      <w:r w:rsidRPr="003313F7">
        <w:rPr>
          <w:rFonts w:ascii="Times New Roman" w:hAnsi="Times New Roman" w:cs="Times New Roman"/>
          <w:b/>
          <w:color w:val="000000" w:themeColor="text1"/>
          <w:sz w:val="24"/>
          <w:szCs w:val="24"/>
        </w:rPr>
        <w:t>Activități de control</w:t>
      </w:r>
    </w:p>
    <w:p w:rsidR="003313F7" w:rsidRDefault="003313F7" w:rsidP="003313F7">
      <w:pPr>
        <w:pStyle w:val="ListParagraph"/>
        <w:spacing w:after="120" w:line="276" w:lineRule="auto"/>
        <w:contextualSpacing w:val="0"/>
        <w:jc w:val="both"/>
        <w:rPr>
          <w:rFonts w:ascii="Times New Roman" w:hAnsi="Times New Roman" w:cs="Times New Roman"/>
          <w:b/>
          <w:color w:val="000000" w:themeColor="text1"/>
          <w:sz w:val="24"/>
          <w:szCs w:val="24"/>
        </w:rPr>
      </w:pPr>
    </w:p>
    <w:p w:rsidR="00D27D2A" w:rsidRPr="003313F7" w:rsidRDefault="00D27D2A" w:rsidP="003313F7">
      <w:pPr>
        <w:pStyle w:val="ListParagraph"/>
        <w:spacing w:after="120" w:line="276" w:lineRule="auto"/>
        <w:contextualSpacing w:val="0"/>
        <w:jc w:val="both"/>
        <w:rPr>
          <w:rFonts w:ascii="Times New Roman" w:hAnsi="Times New Roman" w:cs="Times New Roman"/>
          <w:b/>
          <w:color w:val="000000" w:themeColor="text1"/>
          <w:sz w:val="24"/>
          <w:szCs w:val="24"/>
        </w:rPr>
      </w:pPr>
      <w:r w:rsidRPr="003313F7">
        <w:rPr>
          <w:rFonts w:ascii="Times New Roman" w:hAnsi="Times New Roman" w:cs="Times New Roman"/>
          <w:b/>
          <w:color w:val="000000" w:themeColor="text1"/>
          <w:sz w:val="24"/>
          <w:szCs w:val="24"/>
        </w:rPr>
        <w:t>Anul 2015</w:t>
      </w:r>
    </w:p>
    <w:p w:rsidR="00626EE6" w:rsidRPr="003313F7" w:rsidRDefault="00626EE6" w:rsidP="00C7604C">
      <w:pPr>
        <w:pStyle w:val="ListParagraph"/>
        <w:numPr>
          <w:ilvl w:val="0"/>
          <w:numId w:val="9"/>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9</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w:t>
      </w:r>
      <w:r w:rsidR="00785C57" w:rsidRPr="003313F7">
        <w:rPr>
          <w:rFonts w:ascii="Times New Roman" w:hAnsi="Times New Roman" w:cs="Times New Roman"/>
          <w:color w:val="000000" w:themeColor="text1"/>
          <w:sz w:val="24"/>
          <w:szCs w:val="24"/>
        </w:rPr>
        <w:t>18,09</w:t>
      </w:r>
      <w:r w:rsidRPr="003313F7">
        <w:rPr>
          <w:rFonts w:ascii="Times New Roman" w:hAnsi="Times New Roman" w:cs="Times New Roman"/>
          <w:color w:val="000000" w:themeColor="text1"/>
          <w:sz w:val="24"/>
          <w:szCs w:val="24"/>
        </w:rPr>
        <w:t xml:space="preserve">%; </w:t>
      </w:r>
    </w:p>
    <w:p w:rsidR="00626EE6" w:rsidRPr="003313F7" w:rsidRDefault="00626EE6" w:rsidP="00C7604C">
      <w:pPr>
        <w:pStyle w:val="ListParagraph"/>
        <w:numPr>
          <w:ilvl w:val="0"/>
          <w:numId w:val="9"/>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10</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w:t>
      </w:r>
      <w:r w:rsidR="00241121" w:rsidRPr="003313F7">
        <w:rPr>
          <w:rFonts w:ascii="Times New Roman" w:hAnsi="Times New Roman" w:cs="Times New Roman"/>
          <w:color w:val="000000" w:themeColor="text1"/>
          <w:sz w:val="24"/>
          <w:szCs w:val="24"/>
        </w:rPr>
        <w:t>10,</w:t>
      </w:r>
      <w:r w:rsidR="00AD200F" w:rsidRPr="003313F7">
        <w:rPr>
          <w:rFonts w:ascii="Times New Roman" w:hAnsi="Times New Roman" w:cs="Times New Roman"/>
          <w:color w:val="000000" w:themeColor="text1"/>
          <w:sz w:val="24"/>
          <w:szCs w:val="24"/>
        </w:rPr>
        <w:t>49</w:t>
      </w:r>
      <w:r w:rsidRPr="003313F7">
        <w:rPr>
          <w:rFonts w:ascii="Times New Roman" w:hAnsi="Times New Roman" w:cs="Times New Roman"/>
          <w:color w:val="000000" w:themeColor="text1"/>
          <w:sz w:val="24"/>
          <w:szCs w:val="24"/>
        </w:rPr>
        <w:t xml:space="preserve">%; </w:t>
      </w:r>
    </w:p>
    <w:p w:rsidR="00626EE6" w:rsidRPr="003313F7" w:rsidRDefault="00626EE6" w:rsidP="00C7604C">
      <w:pPr>
        <w:pStyle w:val="ListParagraph"/>
        <w:numPr>
          <w:ilvl w:val="0"/>
          <w:numId w:val="9"/>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11</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w:t>
      </w:r>
      <w:r w:rsidR="00241121" w:rsidRPr="003313F7">
        <w:rPr>
          <w:rFonts w:ascii="Times New Roman" w:hAnsi="Times New Roman" w:cs="Times New Roman"/>
          <w:color w:val="000000" w:themeColor="text1"/>
          <w:sz w:val="24"/>
          <w:szCs w:val="24"/>
        </w:rPr>
        <w:t>21,36</w:t>
      </w:r>
      <w:r w:rsidR="00A23FFD">
        <w:rPr>
          <w:rFonts w:ascii="Times New Roman" w:hAnsi="Times New Roman" w:cs="Times New Roman"/>
          <w:color w:val="000000" w:themeColor="text1"/>
          <w:sz w:val="24"/>
          <w:szCs w:val="24"/>
        </w:rPr>
        <w:t>%.</w:t>
      </w:r>
      <w:r w:rsidRPr="003313F7">
        <w:rPr>
          <w:rFonts w:ascii="Times New Roman" w:hAnsi="Times New Roman" w:cs="Times New Roman"/>
          <w:color w:val="000000" w:themeColor="text1"/>
          <w:sz w:val="24"/>
          <w:szCs w:val="24"/>
        </w:rPr>
        <w:t xml:space="preserve"> </w:t>
      </w:r>
    </w:p>
    <w:p w:rsidR="00D27D2A" w:rsidRPr="003313F7" w:rsidRDefault="00D27D2A" w:rsidP="003313F7">
      <w:pPr>
        <w:pStyle w:val="ListParagraph"/>
        <w:spacing w:after="120" w:line="276" w:lineRule="auto"/>
        <w:ind w:left="1080"/>
        <w:contextualSpacing w:val="0"/>
        <w:jc w:val="both"/>
        <w:rPr>
          <w:rFonts w:ascii="Times New Roman" w:hAnsi="Times New Roman" w:cs="Times New Roman"/>
          <w:color w:val="000000" w:themeColor="text1"/>
          <w:sz w:val="24"/>
          <w:szCs w:val="24"/>
        </w:rPr>
      </w:pPr>
    </w:p>
    <w:p w:rsidR="00D27D2A" w:rsidRPr="003313F7" w:rsidRDefault="00D27D2A" w:rsidP="003313F7">
      <w:pPr>
        <w:pStyle w:val="ListParagraph"/>
        <w:spacing w:after="120" w:line="276" w:lineRule="auto"/>
        <w:contextualSpacing w:val="0"/>
        <w:jc w:val="both"/>
        <w:rPr>
          <w:rFonts w:ascii="Times New Roman" w:hAnsi="Times New Roman" w:cs="Times New Roman"/>
          <w:b/>
          <w:color w:val="000000" w:themeColor="text1"/>
          <w:sz w:val="24"/>
          <w:szCs w:val="24"/>
        </w:rPr>
      </w:pPr>
      <w:r w:rsidRPr="003313F7">
        <w:rPr>
          <w:rFonts w:ascii="Times New Roman" w:hAnsi="Times New Roman" w:cs="Times New Roman"/>
          <w:b/>
          <w:color w:val="000000" w:themeColor="text1"/>
          <w:sz w:val="24"/>
          <w:szCs w:val="24"/>
        </w:rPr>
        <w:t>Anul 2016</w:t>
      </w:r>
    </w:p>
    <w:p w:rsidR="00D27D2A" w:rsidRPr="003313F7" w:rsidRDefault="00D27D2A" w:rsidP="00C7604C">
      <w:pPr>
        <w:pStyle w:val="ListParagraph"/>
        <w:numPr>
          <w:ilvl w:val="0"/>
          <w:numId w:val="9"/>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9</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30,91%; </w:t>
      </w:r>
    </w:p>
    <w:p w:rsidR="00D27D2A" w:rsidRPr="003313F7" w:rsidRDefault="00D27D2A" w:rsidP="00C7604C">
      <w:pPr>
        <w:pStyle w:val="ListParagraph"/>
        <w:numPr>
          <w:ilvl w:val="0"/>
          <w:numId w:val="9"/>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10</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13,77%; </w:t>
      </w:r>
    </w:p>
    <w:p w:rsidR="00D27D2A" w:rsidRPr="003313F7" w:rsidRDefault="00D27D2A" w:rsidP="00C7604C">
      <w:pPr>
        <w:pStyle w:val="ListParagraph"/>
        <w:numPr>
          <w:ilvl w:val="0"/>
          <w:numId w:val="9"/>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11</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w:t>
      </w:r>
      <w:r w:rsidR="00A23FFD">
        <w:rPr>
          <w:rFonts w:ascii="Times New Roman" w:hAnsi="Times New Roman" w:cs="Times New Roman"/>
          <w:color w:val="000000" w:themeColor="text1"/>
          <w:sz w:val="24"/>
          <w:szCs w:val="24"/>
        </w:rPr>
        <w:t>tul de creștere fiind de 29,36%.</w:t>
      </w:r>
      <w:r w:rsidRPr="003313F7">
        <w:rPr>
          <w:rFonts w:ascii="Times New Roman" w:hAnsi="Times New Roman" w:cs="Times New Roman"/>
          <w:color w:val="000000" w:themeColor="text1"/>
          <w:sz w:val="24"/>
          <w:szCs w:val="24"/>
        </w:rPr>
        <w:t xml:space="preserve"> </w:t>
      </w:r>
    </w:p>
    <w:p w:rsidR="00D27D2A" w:rsidRPr="003313F7" w:rsidRDefault="00D27D2A" w:rsidP="003313F7">
      <w:pPr>
        <w:pStyle w:val="ListParagraph"/>
        <w:spacing w:after="120" w:line="276" w:lineRule="auto"/>
        <w:ind w:left="1080"/>
        <w:contextualSpacing w:val="0"/>
        <w:jc w:val="both"/>
        <w:rPr>
          <w:rFonts w:ascii="Times New Roman" w:hAnsi="Times New Roman" w:cs="Times New Roman"/>
          <w:color w:val="000000" w:themeColor="text1"/>
          <w:sz w:val="24"/>
          <w:szCs w:val="24"/>
        </w:rPr>
      </w:pPr>
    </w:p>
    <w:p w:rsidR="00C77B24" w:rsidRDefault="00C77B24">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E60928" w:rsidRDefault="00E60928" w:rsidP="00E60928">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Standardului 9</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Proceduri</w:t>
      </w:r>
    </w:p>
    <w:p w:rsidR="00E60928" w:rsidRPr="005C20E2" w:rsidRDefault="00E60928" w:rsidP="00E60928">
      <w:pPr>
        <w:spacing w:after="0"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7C05C02C" wp14:editId="03AA6394">
            <wp:extent cx="4850130" cy="1645920"/>
            <wp:effectExtent l="0" t="0" r="7620" b="1143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C77B24" w:rsidRDefault="00C77B24" w:rsidP="00E60928">
      <w:pPr>
        <w:spacing w:after="0" w:line="276" w:lineRule="auto"/>
        <w:jc w:val="both"/>
        <w:rPr>
          <w:rFonts w:ascii="Times New Roman" w:hAnsi="Times New Roman" w:cs="Times New Roman"/>
          <w:b/>
          <w:color w:val="000000" w:themeColor="text1"/>
          <w:sz w:val="24"/>
          <w:szCs w:val="24"/>
        </w:rPr>
      </w:pPr>
    </w:p>
    <w:p w:rsidR="00C77B24" w:rsidRDefault="00C77B24" w:rsidP="00E60928">
      <w:pPr>
        <w:spacing w:after="0" w:line="276" w:lineRule="auto"/>
        <w:jc w:val="both"/>
        <w:rPr>
          <w:rFonts w:ascii="Times New Roman" w:hAnsi="Times New Roman" w:cs="Times New Roman"/>
          <w:b/>
          <w:color w:val="000000" w:themeColor="text1"/>
          <w:sz w:val="24"/>
          <w:szCs w:val="24"/>
        </w:rPr>
      </w:pPr>
    </w:p>
    <w:p w:rsidR="00E60928" w:rsidRDefault="00E60928" w:rsidP="00E60928">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Standardului 10</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Supravegherea</w:t>
      </w:r>
    </w:p>
    <w:p w:rsidR="00E60928" w:rsidRPr="005C20E2" w:rsidRDefault="00E60928" w:rsidP="00E60928">
      <w:pPr>
        <w:spacing w:after="0"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0B4427D4" wp14:editId="50B8AA02">
            <wp:extent cx="4850130" cy="1645920"/>
            <wp:effectExtent l="0" t="0" r="7620" b="1143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C77B24" w:rsidRDefault="00C77B24" w:rsidP="00E60928">
      <w:pPr>
        <w:spacing w:after="0" w:line="276" w:lineRule="auto"/>
        <w:jc w:val="both"/>
        <w:rPr>
          <w:rFonts w:ascii="Times New Roman" w:hAnsi="Times New Roman" w:cs="Times New Roman"/>
          <w:b/>
          <w:color w:val="000000" w:themeColor="text1"/>
          <w:sz w:val="24"/>
          <w:szCs w:val="24"/>
        </w:rPr>
      </w:pPr>
    </w:p>
    <w:p w:rsidR="00C77B24" w:rsidRDefault="00C77B24" w:rsidP="00E60928">
      <w:pPr>
        <w:spacing w:after="0" w:line="276" w:lineRule="auto"/>
        <w:jc w:val="both"/>
        <w:rPr>
          <w:rFonts w:ascii="Times New Roman" w:hAnsi="Times New Roman" w:cs="Times New Roman"/>
          <w:b/>
          <w:color w:val="000000" w:themeColor="text1"/>
          <w:sz w:val="24"/>
          <w:szCs w:val="24"/>
        </w:rPr>
      </w:pPr>
    </w:p>
    <w:p w:rsidR="00E60928" w:rsidRPr="005C20E2" w:rsidRDefault="00E60928" w:rsidP="00E60928">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Standardului 11 – Continuitatea activității</w:t>
      </w:r>
    </w:p>
    <w:p w:rsidR="00B0539A" w:rsidRDefault="00E60928" w:rsidP="00E60928">
      <w:pPr>
        <w:spacing w:line="276" w:lineRule="auto"/>
        <w:jc w:val="right"/>
        <w:rPr>
          <w:rFonts w:ascii="Times New Roman" w:hAnsi="Times New Roman" w:cs="Times New Roman"/>
          <w:sz w:val="24"/>
          <w:szCs w:val="24"/>
        </w:rPr>
      </w:pPr>
      <w:r>
        <w:rPr>
          <w:rFonts w:ascii="Times New Roman" w:hAnsi="Times New Roman" w:cs="Times New Roman"/>
          <w:noProof/>
          <w:color w:val="FF0000"/>
          <w:sz w:val="24"/>
          <w:szCs w:val="24"/>
          <w:lang w:eastAsia="ro-RO"/>
        </w:rPr>
        <w:drawing>
          <wp:inline distT="0" distB="0" distL="0" distR="0" wp14:anchorId="0B4427D4" wp14:editId="50B8AA02">
            <wp:extent cx="4850130" cy="1645920"/>
            <wp:effectExtent l="0" t="0" r="7620" b="1143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E60928" w:rsidRDefault="00E60928" w:rsidP="00E60928">
      <w:pPr>
        <w:spacing w:line="276" w:lineRule="auto"/>
        <w:jc w:val="both"/>
        <w:rPr>
          <w:rFonts w:ascii="Times New Roman" w:hAnsi="Times New Roman" w:cs="Times New Roman"/>
          <w:b/>
          <w:sz w:val="24"/>
          <w:szCs w:val="24"/>
        </w:rPr>
      </w:pPr>
    </w:p>
    <w:p w:rsidR="00C77B24" w:rsidRDefault="00C77B24">
      <w:pPr>
        <w:rPr>
          <w:rFonts w:ascii="Times New Roman" w:hAnsi="Times New Roman" w:cs="Times New Roman"/>
          <w:b/>
          <w:sz w:val="24"/>
          <w:szCs w:val="24"/>
        </w:rPr>
      </w:pPr>
      <w:r>
        <w:rPr>
          <w:rFonts w:ascii="Times New Roman" w:hAnsi="Times New Roman" w:cs="Times New Roman"/>
          <w:b/>
          <w:sz w:val="24"/>
          <w:szCs w:val="24"/>
        </w:rPr>
        <w:br w:type="page"/>
      </w:r>
    </w:p>
    <w:p w:rsidR="006357C3" w:rsidRPr="003313F7" w:rsidRDefault="006357C3" w:rsidP="00E60928">
      <w:pPr>
        <w:spacing w:line="276" w:lineRule="auto"/>
        <w:jc w:val="both"/>
        <w:rPr>
          <w:rFonts w:ascii="Times New Roman" w:hAnsi="Times New Roman" w:cs="Times New Roman"/>
          <w:b/>
          <w:color w:val="000000" w:themeColor="text1"/>
          <w:sz w:val="24"/>
          <w:szCs w:val="24"/>
        </w:rPr>
      </w:pPr>
      <w:r w:rsidRPr="003313F7">
        <w:rPr>
          <w:rFonts w:ascii="Times New Roman" w:hAnsi="Times New Roman" w:cs="Times New Roman"/>
          <w:b/>
          <w:color w:val="000000" w:themeColor="text1"/>
          <w:sz w:val="24"/>
          <w:szCs w:val="24"/>
        </w:rPr>
        <w:t>Informarea și comunicarea</w:t>
      </w:r>
    </w:p>
    <w:p w:rsidR="003313F7" w:rsidRDefault="003313F7" w:rsidP="003313F7">
      <w:pPr>
        <w:pStyle w:val="ListParagraph"/>
        <w:spacing w:after="120" w:line="276" w:lineRule="auto"/>
        <w:contextualSpacing w:val="0"/>
        <w:jc w:val="both"/>
        <w:rPr>
          <w:rFonts w:ascii="Times New Roman" w:hAnsi="Times New Roman" w:cs="Times New Roman"/>
          <w:b/>
          <w:color w:val="000000" w:themeColor="text1"/>
          <w:sz w:val="24"/>
          <w:szCs w:val="24"/>
        </w:rPr>
      </w:pPr>
    </w:p>
    <w:p w:rsidR="00D27D2A" w:rsidRPr="003313F7" w:rsidRDefault="00D27D2A" w:rsidP="003313F7">
      <w:pPr>
        <w:pStyle w:val="ListParagraph"/>
        <w:spacing w:after="120" w:line="276" w:lineRule="auto"/>
        <w:contextualSpacing w:val="0"/>
        <w:jc w:val="both"/>
        <w:rPr>
          <w:rFonts w:ascii="Times New Roman" w:hAnsi="Times New Roman" w:cs="Times New Roman"/>
          <w:b/>
          <w:color w:val="000000" w:themeColor="text1"/>
          <w:sz w:val="24"/>
          <w:szCs w:val="24"/>
        </w:rPr>
      </w:pPr>
      <w:r w:rsidRPr="003313F7">
        <w:rPr>
          <w:rFonts w:ascii="Times New Roman" w:hAnsi="Times New Roman" w:cs="Times New Roman"/>
          <w:b/>
          <w:color w:val="000000" w:themeColor="text1"/>
          <w:sz w:val="24"/>
          <w:szCs w:val="24"/>
        </w:rPr>
        <w:t>Anul 2015</w:t>
      </w:r>
    </w:p>
    <w:p w:rsidR="00626EE6" w:rsidRPr="003313F7" w:rsidRDefault="00626EE6" w:rsidP="00C7604C">
      <w:pPr>
        <w:pStyle w:val="ListParagraph"/>
        <w:numPr>
          <w:ilvl w:val="0"/>
          <w:numId w:val="10"/>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12</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w:t>
      </w:r>
      <w:r w:rsidR="00AD200F" w:rsidRPr="003313F7">
        <w:rPr>
          <w:rFonts w:ascii="Times New Roman" w:hAnsi="Times New Roman" w:cs="Times New Roman"/>
          <w:color w:val="000000" w:themeColor="text1"/>
          <w:sz w:val="24"/>
          <w:szCs w:val="24"/>
        </w:rPr>
        <w:t>0,65</w:t>
      </w:r>
      <w:r w:rsidRPr="003313F7">
        <w:rPr>
          <w:rFonts w:ascii="Times New Roman" w:hAnsi="Times New Roman" w:cs="Times New Roman"/>
          <w:color w:val="000000" w:themeColor="text1"/>
          <w:sz w:val="24"/>
          <w:szCs w:val="24"/>
        </w:rPr>
        <w:t xml:space="preserve">%; </w:t>
      </w:r>
    </w:p>
    <w:p w:rsidR="00626EE6" w:rsidRPr="003313F7" w:rsidRDefault="00626EE6" w:rsidP="00C7604C">
      <w:pPr>
        <w:pStyle w:val="ListParagraph"/>
        <w:numPr>
          <w:ilvl w:val="0"/>
          <w:numId w:val="10"/>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13</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w:t>
      </w:r>
      <w:r w:rsidR="00964BBB" w:rsidRPr="003313F7">
        <w:rPr>
          <w:rFonts w:ascii="Times New Roman" w:hAnsi="Times New Roman" w:cs="Times New Roman"/>
          <w:color w:val="000000" w:themeColor="text1"/>
          <w:sz w:val="24"/>
          <w:szCs w:val="24"/>
        </w:rPr>
        <w:t>17,27</w:t>
      </w:r>
      <w:r w:rsidRPr="003313F7">
        <w:rPr>
          <w:rFonts w:ascii="Times New Roman" w:hAnsi="Times New Roman" w:cs="Times New Roman"/>
          <w:color w:val="000000" w:themeColor="text1"/>
          <w:sz w:val="24"/>
          <w:szCs w:val="24"/>
        </w:rPr>
        <w:t xml:space="preserve">%; </w:t>
      </w:r>
    </w:p>
    <w:p w:rsidR="00626EE6" w:rsidRPr="003313F7" w:rsidRDefault="00626EE6" w:rsidP="00C7604C">
      <w:pPr>
        <w:pStyle w:val="ListParagraph"/>
        <w:numPr>
          <w:ilvl w:val="0"/>
          <w:numId w:val="10"/>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14</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w:t>
      </w:r>
      <w:r w:rsidR="00241121" w:rsidRPr="003313F7">
        <w:rPr>
          <w:rFonts w:ascii="Times New Roman" w:hAnsi="Times New Roman" w:cs="Times New Roman"/>
          <w:color w:val="000000" w:themeColor="text1"/>
          <w:sz w:val="24"/>
          <w:szCs w:val="24"/>
        </w:rPr>
        <w:t>4,5</w:t>
      </w:r>
      <w:r w:rsidR="00AD200F" w:rsidRPr="003313F7">
        <w:rPr>
          <w:rFonts w:ascii="Times New Roman" w:hAnsi="Times New Roman" w:cs="Times New Roman"/>
          <w:color w:val="000000" w:themeColor="text1"/>
          <w:sz w:val="24"/>
          <w:szCs w:val="24"/>
        </w:rPr>
        <w:t>5</w:t>
      </w:r>
      <w:r w:rsidR="002913D1">
        <w:rPr>
          <w:rFonts w:ascii="Times New Roman" w:hAnsi="Times New Roman" w:cs="Times New Roman"/>
          <w:color w:val="000000" w:themeColor="text1"/>
          <w:sz w:val="24"/>
          <w:szCs w:val="24"/>
        </w:rPr>
        <w:t>%.</w:t>
      </w:r>
      <w:r w:rsidRPr="003313F7">
        <w:rPr>
          <w:rFonts w:ascii="Times New Roman" w:hAnsi="Times New Roman" w:cs="Times New Roman"/>
          <w:color w:val="000000" w:themeColor="text1"/>
          <w:sz w:val="24"/>
          <w:szCs w:val="24"/>
        </w:rPr>
        <w:t xml:space="preserve"> </w:t>
      </w:r>
    </w:p>
    <w:p w:rsidR="00D27D2A" w:rsidRPr="003313F7" w:rsidRDefault="00D27D2A" w:rsidP="003313F7">
      <w:pPr>
        <w:pStyle w:val="ListParagraph"/>
        <w:spacing w:after="120" w:line="276" w:lineRule="auto"/>
        <w:ind w:left="1080"/>
        <w:contextualSpacing w:val="0"/>
        <w:jc w:val="both"/>
        <w:rPr>
          <w:rFonts w:ascii="Times New Roman" w:hAnsi="Times New Roman" w:cs="Times New Roman"/>
          <w:color w:val="000000" w:themeColor="text1"/>
          <w:sz w:val="24"/>
          <w:szCs w:val="24"/>
        </w:rPr>
      </w:pPr>
    </w:p>
    <w:p w:rsidR="00D27D2A" w:rsidRPr="003313F7" w:rsidRDefault="00D27D2A" w:rsidP="003313F7">
      <w:pPr>
        <w:pStyle w:val="ListParagraph"/>
        <w:spacing w:after="120" w:line="276" w:lineRule="auto"/>
        <w:contextualSpacing w:val="0"/>
        <w:jc w:val="both"/>
        <w:rPr>
          <w:rFonts w:ascii="Times New Roman" w:hAnsi="Times New Roman" w:cs="Times New Roman"/>
          <w:b/>
          <w:color w:val="000000" w:themeColor="text1"/>
          <w:sz w:val="24"/>
          <w:szCs w:val="24"/>
        </w:rPr>
      </w:pPr>
      <w:r w:rsidRPr="003313F7">
        <w:rPr>
          <w:rFonts w:ascii="Times New Roman" w:hAnsi="Times New Roman" w:cs="Times New Roman"/>
          <w:b/>
          <w:color w:val="000000" w:themeColor="text1"/>
          <w:sz w:val="24"/>
          <w:szCs w:val="24"/>
        </w:rPr>
        <w:t>Anul 2016</w:t>
      </w:r>
    </w:p>
    <w:p w:rsidR="00D27D2A" w:rsidRPr="003313F7" w:rsidRDefault="00D27D2A" w:rsidP="00C7604C">
      <w:pPr>
        <w:pStyle w:val="ListParagraph"/>
        <w:numPr>
          <w:ilvl w:val="0"/>
          <w:numId w:val="10"/>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12</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3,92%; </w:t>
      </w:r>
    </w:p>
    <w:p w:rsidR="00D27D2A" w:rsidRPr="003313F7" w:rsidRDefault="00D27D2A" w:rsidP="00C7604C">
      <w:pPr>
        <w:pStyle w:val="ListParagraph"/>
        <w:numPr>
          <w:ilvl w:val="0"/>
          <w:numId w:val="10"/>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13</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25,58%; </w:t>
      </w:r>
    </w:p>
    <w:p w:rsidR="00D27D2A" w:rsidRPr="003313F7" w:rsidRDefault="00D27D2A" w:rsidP="00C7604C">
      <w:pPr>
        <w:pStyle w:val="ListParagraph"/>
        <w:numPr>
          <w:ilvl w:val="0"/>
          <w:numId w:val="10"/>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14</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w:t>
      </w:r>
      <w:r w:rsidR="002913D1">
        <w:rPr>
          <w:rFonts w:ascii="Times New Roman" w:hAnsi="Times New Roman" w:cs="Times New Roman"/>
          <w:color w:val="000000" w:themeColor="text1"/>
          <w:sz w:val="24"/>
          <w:szCs w:val="24"/>
        </w:rPr>
        <w:t>ntul de creștere fiind de 1,97%.</w:t>
      </w:r>
      <w:r w:rsidRPr="003313F7">
        <w:rPr>
          <w:rFonts w:ascii="Times New Roman" w:hAnsi="Times New Roman" w:cs="Times New Roman"/>
          <w:color w:val="000000" w:themeColor="text1"/>
          <w:sz w:val="24"/>
          <w:szCs w:val="24"/>
        </w:rPr>
        <w:t xml:space="preserve"> </w:t>
      </w:r>
    </w:p>
    <w:p w:rsidR="00C77B24" w:rsidRDefault="00C77B24" w:rsidP="003313F7">
      <w:pPr>
        <w:spacing w:after="12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C77B24" w:rsidRDefault="00C77B24" w:rsidP="00E60928">
      <w:pPr>
        <w:spacing w:after="0" w:line="276" w:lineRule="auto"/>
        <w:jc w:val="both"/>
        <w:rPr>
          <w:rFonts w:ascii="Times New Roman" w:hAnsi="Times New Roman" w:cs="Times New Roman"/>
          <w:b/>
          <w:color w:val="000000" w:themeColor="text1"/>
          <w:sz w:val="24"/>
          <w:szCs w:val="24"/>
        </w:rPr>
      </w:pPr>
    </w:p>
    <w:p w:rsidR="00E60928" w:rsidRDefault="00E60928" w:rsidP="00E60928">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Standardului 12</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Informarea și comunicarea</w:t>
      </w:r>
    </w:p>
    <w:p w:rsidR="00E60928" w:rsidRPr="005C20E2" w:rsidRDefault="00E60928" w:rsidP="00E60928">
      <w:pPr>
        <w:spacing w:after="0"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5A4874CA" wp14:editId="28B55B93">
            <wp:extent cx="4850130" cy="1645920"/>
            <wp:effectExtent l="0" t="0" r="7620" b="1143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C77B24" w:rsidRDefault="00C77B24" w:rsidP="00E60928">
      <w:pPr>
        <w:spacing w:after="0" w:line="276" w:lineRule="auto"/>
        <w:jc w:val="both"/>
        <w:rPr>
          <w:rFonts w:ascii="Times New Roman" w:hAnsi="Times New Roman" w:cs="Times New Roman"/>
          <w:b/>
          <w:color w:val="000000" w:themeColor="text1"/>
          <w:sz w:val="24"/>
          <w:szCs w:val="24"/>
        </w:rPr>
      </w:pPr>
    </w:p>
    <w:p w:rsidR="00C77B24" w:rsidRDefault="00C77B24" w:rsidP="00E60928">
      <w:pPr>
        <w:spacing w:after="0" w:line="276" w:lineRule="auto"/>
        <w:jc w:val="both"/>
        <w:rPr>
          <w:rFonts w:ascii="Times New Roman" w:hAnsi="Times New Roman" w:cs="Times New Roman"/>
          <w:b/>
          <w:color w:val="000000" w:themeColor="text1"/>
          <w:sz w:val="24"/>
          <w:szCs w:val="24"/>
        </w:rPr>
      </w:pPr>
    </w:p>
    <w:p w:rsidR="00E60928" w:rsidRDefault="00E60928" w:rsidP="00E60928">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Standardului 13</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Gestionarea documentelor</w:t>
      </w:r>
    </w:p>
    <w:p w:rsidR="00E60928" w:rsidRPr="005C20E2" w:rsidRDefault="00AB4EED" w:rsidP="00AB4EED">
      <w:pPr>
        <w:spacing w:after="0"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16634796" wp14:editId="79BE0D7F">
            <wp:extent cx="4850130" cy="1645920"/>
            <wp:effectExtent l="0" t="0" r="7620" b="1143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C77B24" w:rsidRDefault="00C77B24" w:rsidP="00E60928">
      <w:pPr>
        <w:spacing w:after="0" w:line="276" w:lineRule="auto"/>
        <w:jc w:val="both"/>
        <w:rPr>
          <w:rFonts w:ascii="Times New Roman" w:hAnsi="Times New Roman" w:cs="Times New Roman"/>
          <w:b/>
          <w:color w:val="000000" w:themeColor="text1"/>
          <w:sz w:val="24"/>
          <w:szCs w:val="24"/>
        </w:rPr>
      </w:pPr>
    </w:p>
    <w:p w:rsidR="00C77B24" w:rsidRDefault="00C77B24" w:rsidP="00E60928">
      <w:pPr>
        <w:spacing w:after="0" w:line="276" w:lineRule="auto"/>
        <w:jc w:val="both"/>
        <w:rPr>
          <w:rFonts w:ascii="Times New Roman" w:hAnsi="Times New Roman" w:cs="Times New Roman"/>
          <w:b/>
          <w:color w:val="000000" w:themeColor="text1"/>
          <w:sz w:val="24"/>
          <w:szCs w:val="24"/>
        </w:rPr>
      </w:pPr>
    </w:p>
    <w:p w:rsidR="00E60928" w:rsidRPr="005C20E2" w:rsidRDefault="00E60928" w:rsidP="00E60928">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Standardului 14</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Raportarea contabilă și financiară</w:t>
      </w:r>
    </w:p>
    <w:p w:rsidR="004A6CCA" w:rsidRDefault="00AB4EED" w:rsidP="00AB4EED">
      <w:pPr>
        <w:pStyle w:val="ListParagraph"/>
        <w:spacing w:line="276" w:lineRule="auto"/>
        <w:ind w:left="1080"/>
        <w:jc w:val="right"/>
        <w:rPr>
          <w:rFonts w:ascii="Times New Roman" w:hAnsi="Times New Roman" w:cs="Times New Roman"/>
          <w:sz w:val="24"/>
          <w:szCs w:val="24"/>
        </w:rPr>
      </w:pPr>
      <w:r>
        <w:rPr>
          <w:rFonts w:ascii="Times New Roman" w:hAnsi="Times New Roman" w:cs="Times New Roman"/>
          <w:noProof/>
          <w:color w:val="FF0000"/>
          <w:sz w:val="24"/>
          <w:szCs w:val="24"/>
          <w:lang w:eastAsia="ro-RO"/>
        </w:rPr>
        <w:drawing>
          <wp:inline distT="0" distB="0" distL="0" distR="0" wp14:anchorId="16634796" wp14:editId="79BE0D7F">
            <wp:extent cx="4850130" cy="1645920"/>
            <wp:effectExtent l="0" t="0" r="7620" b="1143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C77B24" w:rsidRDefault="00C77B24">
      <w:pPr>
        <w:rPr>
          <w:rFonts w:ascii="Times New Roman" w:hAnsi="Times New Roman" w:cs="Times New Roman"/>
          <w:b/>
          <w:sz w:val="24"/>
          <w:szCs w:val="24"/>
        </w:rPr>
      </w:pPr>
      <w:r>
        <w:rPr>
          <w:rFonts w:ascii="Times New Roman" w:hAnsi="Times New Roman" w:cs="Times New Roman"/>
          <w:b/>
          <w:sz w:val="24"/>
          <w:szCs w:val="24"/>
        </w:rPr>
        <w:br w:type="page"/>
      </w:r>
    </w:p>
    <w:p w:rsidR="00E34426" w:rsidRPr="003313F7" w:rsidRDefault="00E34426" w:rsidP="00E60928">
      <w:pPr>
        <w:spacing w:line="276" w:lineRule="auto"/>
        <w:jc w:val="both"/>
        <w:rPr>
          <w:rFonts w:ascii="Times New Roman" w:hAnsi="Times New Roman" w:cs="Times New Roman"/>
          <w:b/>
          <w:color w:val="000000" w:themeColor="text1"/>
          <w:sz w:val="24"/>
          <w:szCs w:val="24"/>
        </w:rPr>
      </w:pPr>
      <w:r w:rsidRPr="003313F7">
        <w:rPr>
          <w:rFonts w:ascii="Times New Roman" w:hAnsi="Times New Roman" w:cs="Times New Roman"/>
          <w:b/>
          <w:color w:val="000000" w:themeColor="text1"/>
          <w:sz w:val="24"/>
          <w:szCs w:val="24"/>
        </w:rPr>
        <w:t>Evaluare și audit</w:t>
      </w:r>
    </w:p>
    <w:p w:rsidR="00D27D2A" w:rsidRPr="003313F7" w:rsidRDefault="00D27D2A" w:rsidP="003313F7">
      <w:pPr>
        <w:pStyle w:val="ListParagraph"/>
        <w:spacing w:after="120" w:line="276" w:lineRule="auto"/>
        <w:contextualSpacing w:val="0"/>
        <w:jc w:val="both"/>
        <w:rPr>
          <w:rFonts w:ascii="Times New Roman" w:hAnsi="Times New Roman" w:cs="Times New Roman"/>
          <w:b/>
          <w:color w:val="000000" w:themeColor="text1"/>
          <w:sz w:val="24"/>
          <w:szCs w:val="24"/>
        </w:rPr>
      </w:pPr>
      <w:r w:rsidRPr="003313F7">
        <w:rPr>
          <w:rFonts w:ascii="Times New Roman" w:hAnsi="Times New Roman" w:cs="Times New Roman"/>
          <w:b/>
          <w:color w:val="000000" w:themeColor="text1"/>
          <w:sz w:val="24"/>
          <w:szCs w:val="24"/>
        </w:rPr>
        <w:t>Anul 2015</w:t>
      </w:r>
    </w:p>
    <w:p w:rsidR="00626EE6" w:rsidRPr="003313F7" w:rsidRDefault="00626EE6" w:rsidP="00C7604C">
      <w:pPr>
        <w:pStyle w:val="ListParagraph"/>
        <w:numPr>
          <w:ilvl w:val="0"/>
          <w:numId w:val="11"/>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15</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w:t>
      </w:r>
      <w:r w:rsidR="0036335D" w:rsidRPr="003313F7">
        <w:rPr>
          <w:rFonts w:ascii="Times New Roman" w:hAnsi="Times New Roman" w:cs="Times New Roman"/>
          <w:color w:val="000000" w:themeColor="text1"/>
          <w:sz w:val="24"/>
          <w:szCs w:val="24"/>
        </w:rPr>
        <w:t>0,92</w:t>
      </w:r>
      <w:r w:rsidRPr="003313F7">
        <w:rPr>
          <w:rFonts w:ascii="Times New Roman" w:hAnsi="Times New Roman" w:cs="Times New Roman"/>
          <w:color w:val="000000" w:themeColor="text1"/>
          <w:sz w:val="24"/>
          <w:szCs w:val="24"/>
        </w:rPr>
        <w:t xml:space="preserve">%; </w:t>
      </w:r>
    </w:p>
    <w:p w:rsidR="00626EE6" w:rsidRPr="003313F7" w:rsidRDefault="00626EE6" w:rsidP="00C7604C">
      <w:pPr>
        <w:pStyle w:val="ListParagraph"/>
        <w:numPr>
          <w:ilvl w:val="0"/>
          <w:numId w:val="11"/>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16</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inferior celui aferent ordonatorilor principali de credite, procentul de diminuare fiind de </w:t>
      </w:r>
      <w:r w:rsidR="00241121" w:rsidRPr="003313F7">
        <w:rPr>
          <w:rFonts w:ascii="Times New Roman" w:hAnsi="Times New Roman" w:cs="Times New Roman"/>
          <w:color w:val="000000" w:themeColor="text1"/>
          <w:sz w:val="24"/>
          <w:szCs w:val="24"/>
        </w:rPr>
        <w:t>23,0</w:t>
      </w:r>
      <w:r w:rsidR="0036335D" w:rsidRPr="003313F7">
        <w:rPr>
          <w:rFonts w:ascii="Times New Roman" w:hAnsi="Times New Roman" w:cs="Times New Roman"/>
          <w:color w:val="000000" w:themeColor="text1"/>
          <w:sz w:val="24"/>
          <w:szCs w:val="24"/>
        </w:rPr>
        <w:t>4</w:t>
      </w:r>
      <w:r w:rsidR="00845C5D">
        <w:rPr>
          <w:rFonts w:ascii="Times New Roman" w:hAnsi="Times New Roman" w:cs="Times New Roman"/>
          <w:color w:val="000000" w:themeColor="text1"/>
          <w:sz w:val="24"/>
          <w:szCs w:val="24"/>
        </w:rPr>
        <w:t>%.</w:t>
      </w:r>
    </w:p>
    <w:p w:rsidR="00D27D2A" w:rsidRPr="003313F7" w:rsidRDefault="00D27D2A" w:rsidP="003313F7">
      <w:pPr>
        <w:pStyle w:val="ListParagraph"/>
        <w:spacing w:after="120" w:line="276" w:lineRule="auto"/>
        <w:contextualSpacing w:val="0"/>
        <w:jc w:val="both"/>
        <w:rPr>
          <w:rFonts w:ascii="Times New Roman" w:hAnsi="Times New Roman" w:cs="Times New Roman"/>
          <w:b/>
          <w:color w:val="000000" w:themeColor="text1"/>
          <w:sz w:val="24"/>
          <w:szCs w:val="24"/>
        </w:rPr>
      </w:pPr>
      <w:r w:rsidRPr="003313F7">
        <w:rPr>
          <w:rFonts w:ascii="Times New Roman" w:hAnsi="Times New Roman" w:cs="Times New Roman"/>
          <w:b/>
          <w:color w:val="000000" w:themeColor="text1"/>
          <w:sz w:val="24"/>
          <w:szCs w:val="24"/>
        </w:rPr>
        <w:t>Anul 2016</w:t>
      </w:r>
    </w:p>
    <w:p w:rsidR="00D27D2A" w:rsidRPr="003313F7" w:rsidRDefault="00D27D2A" w:rsidP="00C7604C">
      <w:pPr>
        <w:pStyle w:val="ListParagraph"/>
        <w:numPr>
          <w:ilvl w:val="0"/>
          <w:numId w:val="11"/>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15</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superior celui aferent ordonatorilor principali de credite, procentul de creștere fiind de 0,99%; </w:t>
      </w:r>
    </w:p>
    <w:p w:rsidR="00D27D2A" w:rsidRPr="003313F7" w:rsidRDefault="00D27D2A" w:rsidP="00C7604C">
      <w:pPr>
        <w:pStyle w:val="ListParagraph"/>
        <w:numPr>
          <w:ilvl w:val="0"/>
          <w:numId w:val="11"/>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al </w:t>
      </w:r>
      <w:r w:rsidRPr="003313F7">
        <w:rPr>
          <w:rFonts w:ascii="Times New Roman" w:hAnsi="Times New Roman" w:cs="Times New Roman"/>
          <w:i/>
          <w:color w:val="000000" w:themeColor="text1"/>
          <w:sz w:val="24"/>
          <w:szCs w:val="24"/>
        </w:rPr>
        <w:t>Standardului 16</w:t>
      </w:r>
      <w:r w:rsidRPr="003313F7">
        <w:rPr>
          <w:rFonts w:ascii="Times New Roman" w:hAnsi="Times New Roman" w:cs="Times New Roman"/>
          <w:color w:val="000000" w:themeColor="text1"/>
          <w:sz w:val="24"/>
          <w:szCs w:val="24"/>
        </w:rPr>
        <w:t xml:space="preserve"> de la nivelul entităților publice subordonate sau aflate în coordonarea ordonatorilor principali de credite este inferior celui aferent ordonatorilor principali de credite, procentul de diminuare fiind de </w:t>
      </w:r>
      <w:r w:rsidR="00066E81" w:rsidRPr="003313F7">
        <w:rPr>
          <w:rFonts w:ascii="Times New Roman" w:hAnsi="Times New Roman" w:cs="Times New Roman"/>
          <w:color w:val="000000" w:themeColor="text1"/>
          <w:sz w:val="24"/>
          <w:szCs w:val="24"/>
        </w:rPr>
        <w:t>23,73</w:t>
      </w:r>
      <w:r w:rsidR="00845C5D">
        <w:rPr>
          <w:rFonts w:ascii="Times New Roman" w:hAnsi="Times New Roman" w:cs="Times New Roman"/>
          <w:color w:val="000000" w:themeColor="text1"/>
          <w:sz w:val="24"/>
          <w:szCs w:val="24"/>
        </w:rPr>
        <w:t>%.</w:t>
      </w:r>
    </w:p>
    <w:p w:rsidR="00C77B24" w:rsidRDefault="00C77B24" w:rsidP="00E60928">
      <w:pPr>
        <w:spacing w:after="0" w:line="276" w:lineRule="auto"/>
        <w:jc w:val="both"/>
        <w:rPr>
          <w:rFonts w:ascii="Times New Roman" w:hAnsi="Times New Roman" w:cs="Times New Roman"/>
          <w:b/>
          <w:color w:val="000000" w:themeColor="text1"/>
          <w:sz w:val="24"/>
          <w:szCs w:val="24"/>
        </w:rPr>
      </w:pPr>
    </w:p>
    <w:p w:rsidR="00E60928" w:rsidRDefault="00E60928" w:rsidP="00E60928">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Standardului 15</w:t>
      </w:r>
      <w:r w:rsidRPr="00E60928">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Evaluarea sistemului de control intern managerial</w:t>
      </w:r>
    </w:p>
    <w:p w:rsidR="00E60928" w:rsidRPr="00E60928" w:rsidRDefault="00AB4EED" w:rsidP="00AB4EED">
      <w:pPr>
        <w:spacing w:after="0"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0E9B2D42" wp14:editId="7224086D">
            <wp:extent cx="4849854" cy="1764665"/>
            <wp:effectExtent l="0" t="0" r="8255" b="698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C77B24" w:rsidRDefault="00C77B24" w:rsidP="00E60928">
      <w:pPr>
        <w:spacing w:after="0" w:line="276" w:lineRule="auto"/>
        <w:jc w:val="both"/>
        <w:rPr>
          <w:rFonts w:ascii="Times New Roman" w:hAnsi="Times New Roman" w:cs="Times New Roman"/>
          <w:b/>
          <w:color w:val="000000" w:themeColor="text1"/>
          <w:sz w:val="24"/>
          <w:szCs w:val="24"/>
        </w:rPr>
      </w:pPr>
    </w:p>
    <w:p w:rsidR="00E60928" w:rsidRPr="00E60928" w:rsidRDefault="00E60928" w:rsidP="00E60928">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Standardului 16</w:t>
      </w:r>
      <w:r w:rsidRPr="00E60928">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Auditul intern</w:t>
      </w:r>
    </w:p>
    <w:p w:rsidR="00755E83" w:rsidRDefault="00AB4EED" w:rsidP="00AB4EED">
      <w:pPr>
        <w:spacing w:line="276" w:lineRule="auto"/>
        <w:jc w:val="right"/>
        <w:rPr>
          <w:rFonts w:ascii="Times New Roman" w:hAnsi="Times New Roman" w:cs="Times New Roman"/>
          <w:sz w:val="24"/>
          <w:szCs w:val="24"/>
        </w:rPr>
      </w:pPr>
      <w:r>
        <w:rPr>
          <w:rFonts w:ascii="Times New Roman" w:hAnsi="Times New Roman" w:cs="Times New Roman"/>
          <w:noProof/>
          <w:color w:val="FF0000"/>
          <w:sz w:val="24"/>
          <w:szCs w:val="24"/>
          <w:lang w:eastAsia="ro-RO"/>
        </w:rPr>
        <w:drawing>
          <wp:inline distT="0" distB="0" distL="0" distR="0" wp14:anchorId="0E9B2D42" wp14:editId="7224086D">
            <wp:extent cx="4849854" cy="1764665"/>
            <wp:effectExtent l="0" t="0" r="8255" b="698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6F52B9" w:rsidRPr="005B4D09" w:rsidRDefault="006F52B9" w:rsidP="002D411B">
      <w:pPr>
        <w:spacing w:line="276" w:lineRule="auto"/>
        <w:jc w:val="both"/>
        <w:rPr>
          <w:rFonts w:ascii="Times New Roman" w:hAnsi="Times New Roman" w:cs="Times New Roman"/>
          <w:color w:val="000000" w:themeColor="text1"/>
          <w:sz w:val="24"/>
          <w:szCs w:val="24"/>
        </w:rPr>
      </w:pPr>
      <w:r w:rsidRPr="005B4D09">
        <w:rPr>
          <w:rFonts w:ascii="Times New Roman" w:hAnsi="Times New Roman" w:cs="Times New Roman"/>
          <w:color w:val="000000" w:themeColor="text1"/>
          <w:sz w:val="24"/>
          <w:szCs w:val="24"/>
        </w:rPr>
        <w:t xml:space="preserve">Situație deosebită prezintă </w:t>
      </w:r>
      <w:r w:rsidR="0033067B" w:rsidRPr="005B4D09">
        <w:rPr>
          <w:rFonts w:ascii="Times New Roman" w:hAnsi="Times New Roman" w:cs="Times New Roman"/>
          <w:color w:val="000000" w:themeColor="text1"/>
          <w:sz w:val="24"/>
          <w:szCs w:val="24"/>
        </w:rPr>
        <w:t>Ministerul Economiei, Comerțului și Relațiilor cu Mediul de Afaceri, Ministerul pentru Consultare Publică și Dialog Civic care nu au  depus raportările până la data întocmirii raportului și 2 entități publice care sunt exceptate de la raportare  (conform art.8</w:t>
      </w:r>
      <w:r w:rsidR="0033067B" w:rsidRPr="005B4D09">
        <w:rPr>
          <w:rFonts w:ascii="Times New Roman" w:hAnsi="Times New Roman" w:cs="Times New Roman"/>
          <w:color w:val="000000" w:themeColor="text1"/>
          <w:sz w:val="28"/>
          <w:szCs w:val="24"/>
          <w:vertAlign w:val="superscript"/>
        </w:rPr>
        <w:t>1</w:t>
      </w:r>
      <w:r w:rsidR="0033067B" w:rsidRPr="005B4D09">
        <w:rPr>
          <w:rFonts w:ascii="Times New Roman" w:hAnsi="Times New Roman" w:cs="Times New Roman"/>
          <w:color w:val="000000" w:themeColor="text1"/>
          <w:sz w:val="28"/>
          <w:szCs w:val="24"/>
        </w:rPr>
        <w:t xml:space="preserve">, </w:t>
      </w:r>
      <w:r w:rsidR="0033067B" w:rsidRPr="005B4D09">
        <w:rPr>
          <w:rFonts w:ascii="Times New Roman" w:hAnsi="Times New Roman" w:cs="Times New Roman"/>
          <w:color w:val="000000" w:themeColor="text1"/>
          <w:sz w:val="24"/>
          <w:szCs w:val="24"/>
        </w:rPr>
        <w:t xml:space="preserve">alin. 3 din OSGG nr. 400/2015 cu modificările și completările ulterioare): Serviciul de Protecție și Pază și Serviciul de Telecomunicații Speciale. </w:t>
      </w:r>
    </w:p>
    <w:p w:rsidR="00A32A17" w:rsidRDefault="006F52B9" w:rsidP="00A32A17">
      <w:pPr>
        <w:spacing w:after="360" w:line="276" w:lineRule="auto"/>
        <w:jc w:val="both"/>
        <w:rPr>
          <w:rFonts w:ascii="Times New Roman" w:hAnsi="Times New Roman" w:cs="Times New Roman"/>
          <w:color w:val="000000" w:themeColor="text1"/>
          <w:sz w:val="24"/>
          <w:szCs w:val="24"/>
        </w:rPr>
      </w:pPr>
      <w:r w:rsidRPr="005B4D09">
        <w:rPr>
          <w:rFonts w:ascii="Times New Roman" w:hAnsi="Times New Roman" w:cs="Times New Roman"/>
          <w:color w:val="000000" w:themeColor="text1"/>
          <w:sz w:val="24"/>
          <w:szCs w:val="24"/>
        </w:rPr>
        <w:t>D</w:t>
      </w:r>
      <w:r w:rsidR="00D24285" w:rsidRPr="005B4D09">
        <w:rPr>
          <w:rFonts w:ascii="Times New Roman" w:hAnsi="Times New Roman" w:cs="Times New Roman"/>
          <w:color w:val="000000" w:themeColor="text1"/>
          <w:sz w:val="24"/>
          <w:szCs w:val="24"/>
        </w:rPr>
        <w:t xml:space="preserve">in analiza standardelor de control intern managerial se constată că </w:t>
      </w:r>
      <w:r w:rsidR="00D93066" w:rsidRPr="005B4D09">
        <w:rPr>
          <w:rFonts w:ascii="Times New Roman" w:hAnsi="Times New Roman" w:cs="Times New Roman"/>
          <w:color w:val="000000" w:themeColor="text1"/>
          <w:sz w:val="24"/>
          <w:szCs w:val="24"/>
        </w:rPr>
        <w:t xml:space="preserve">gradul mediu de implementare al </w:t>
      </w:r>
      <w:r w:rsidR="0088558A" w:rsidRPr="005B4D09">
        <w:rPr>
          <w:rFonts w:ascii="Times New Roman" w:hAnsi="Times New Roman" w:cs="Times New Roman"/>
          <w:color w:val="000000" w:themeColor="text1"/>
          <w:sz w:val="24"/>
          <w:szCs w:val="24"/>
        </w:rPr>
        <w:t>acestora de</w:t>
      </w:r>
      <w:r w:rsidR="00D93066" w:rsidRPr="005B4D09">
        <w:rPr>
          <w:rFonts w:ascii="Times New Roman" w:hAnsi="Times New Roman" w:cs="Times New Roman"/>
          <w:color w:val="000000" w:themeColor="text1"/>
          <w:sz w:val="24"/>
          <w:szCs w:val="24"/>
        </w:rPr>
        <w:t xml:space="preserve"> la nivelul entităților publice subordonate este superior celui de la nivelul </w:t>
      </w:r>
      <w:r w:rsidR="00A75DBA" w:rsidRPr="005B4D09">
        <w:rPr>
          <w:rFonts w:ascii="Times New Roman" w:hAnsi="Times New Roman" w:cs="Times New Roman"/>
          <w:color w:val="000000" w:themeColor="text1"/>
          <w:sz w:val="24"/>
          <w:szCs w:val="24"/>
        </w:rPr>
        <w:t>aparatului propriu</w:t>
      </w:r>
      <w:r w:rsidR="00D93066" w:rsidRPr="005B4D09">
        <w:rPr>
          <w:rFonts w:ascii="Times New Roman" w:hAnsi="Times New Roman" w:cs="Times New Roman"/>
          <w:color w:val="000000" w:themeColor="text1"/>
          <w:sz w:val="24"/>
          <w:szCs w:val="24"/>
        </w:rPr>
        <w:t xml:space="preserve">, procentul de creștere </w:t>
      </w:r>
      <w:r w:rsidR="00066E81" w:rsidRPr="005B4D09">
        <w:rPr>
          <w:rFonts w:ascii="Times New Roman" w:hAnsi="Times New Roman" w:cs="Times New Roman"/>
          <w:color w:val="000000" w:themeColor="text1"/>
          <w:sz w:val="24"/>
          <w:szCs w:val="24"/>
        </w:rPr>
        <w:t xml:space="preserve">pe anul 2016  </w:t>
      </w:r>
      <w:r w:rsidR="00D93066" w:rsidRPr="00A32A17">
        <w:rPr>
          <w:rFonts w:ascii="Times New Roman" w:hAnsi="Times New Roman" w:cs="Times New Roman"/>
          <w:color w:val="000000" w:themeColor="text1"/>
          <w:sz w:val="24"/>
          <w:szCs w:val="24"/>
        </w:rPr>
        <w:t>fiind mai</w:t>
      </w:r>
      <w:r w:rsidR="00D93066" w:rsidRPr="005B4D09">
        <w:rPr>
          <w:rFonts w:ascii="Times New Roman" w:hAnsi="Times New Roman" w:cs="Times New Roman"/>
          <w:color w:val="000000" w:themeColor="text1"/>
          <w:sz w:val="24"/>
          <w:szCs w:val="24"/>
        </w:rPr>
        <w:t xml:space="preserve"> mare cu </w:t>
      </w:r>
      <w:r w:rsidR="006A0B0E" w:rsidRPr="005B4D09">
        <w:rPr>
          <w:rFonts w:ascii="Times New Roman" w:hAnsi="Times New Roman" w:cs="Times New Roman"/>
          <w:color w:val="000000" w:themeColor="text1"/>
          <w:sz w:val="24"/>
          <w:szCs w:val="24"/>
        </w:rPr>
        <w:t>3,60</w:t>
      </w:r>
      <w:r w:rsidR="00066E81" w:rsidRPr="005B4D09">
        <w:rPr>
          <w:rFonts w:ascii="Times New Roman" w:hAnsi="Times New Roman" w:cs="Times New Roman"/>
          <w:color w:val="000000" w:themeColor="text1"/>
          <w:sz w:val="24"/>
          <w:szCs w:val="24"/>
        </w:rPr>
        <w:t>%,  comparativ cu anul  2</w:t>
      </w:r>
      <w:r w:rsidR="00066E81" w:rsidRPr="00A32A17">
        <w:rPr>
          <w:rFonts w:ascii="Times New Roman" w:hAnsi="Times New Roman" w:cs="Times New Roman"/>
          <w:color w:val="000000" w:themeColor="text1"/>
          <w:sz w:val="24"/>
          <w:szCs w:val="24"/>
        </w:rPr>
        <w:t>015,</w:t>
      </w:r>
      <w:r w:rsidR="00A32A17">
        <w:rPr>
          <w:rFonts w:ascii="Times New Roman" w:hAnsi="Times New Roman" w:cs="Times New Roman"/>
          <w:color w:val="000000" w:themeColor="text1"/>
          <w:sz w:val="24"/>
          <w:szCs w:val="24"/>
        </w:rPr>
        <w:t xml:space="preserve"> când procentul de creștere a a fost mai mare cu 8,29%.  </w:t>
      </w:r>
      <w:r w:rsidR="00066E81" w:rsidRPr="00A32A17">
        <w:rPr>
          <w:rFonts w:ascii="Times New Roman" w:hAnsi="Times New Roman" w:cs="Times New Roman"/>
          <w:color w:val="000000" w:themeColor="text1"/>
          <w:sz w:val="24"/>
          <w:szCs w:val="24"/>
        </w:rPr>
        <w:t xml:space="preserve"> </w:t>
      </w:r>
    </w:p>
    <w:p w:rsidR="005B4D09" w:rsidRPr="005B4D09" w:rsidRDefault="005B4D09" w:rsidP="00A32A17">
      <w:pPr>
        <w:spacing w:after="360" w:line="276" w:lineRule="auto"/>
        <w:jc w:val="both"/>
        <w:rPr>
          <w:rFonts w:ascii="Times New Roman" w:hAnsi="Times New Roman" w:cs="Times New Roman"/>
          <w:color w:val="000000" w:themeColor="text1"/>
          <w:sz w:val="24"/>
          <w:szCs w:val="24"/>
        </w:rPr>
      </w:pPr>
      <w:r w:rsidRPr="005B4D09">
        <w:rPr>
          <w:rFonts w:ascii="Times New Roman" w:hAnsi="Times New Roman" w:cs="Times New Roman"/>
          <w:noProof/>
          <w:color w:val="000000" w:themeColor="text1"/>
          <w:sz w:val="24"/>
          <w:szCs w:val="24"/>
          <w:lang w:eastAsia="ro-RO"/>
        </w:rPr>
        <w:drawing>
          <wp:inline distT="0" distB="0" distL="0" distR="0" wp14:anchorId="14298412" wp14:editId="17BC6A6D">
            <wp:extent cx="5956935" cy="2759710"/>
            <wp:effectExtent l="0" t="0" r="5715" b="2540"/>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A75DBA" w:rsidRDefault="00A75DBA" w:rsidP="00A75DBA">
      <w:pPr>
        <w:spacing w:line="276" w:lineRule="auto"/>
        <w:jc w:val="center"/>
        <w:rPr>
          <w:rFonts w:ascii="Times New Roman" w:hAnsi="Times New Roman" w:cs="Times New Roman"/>
          <w:sz w:val="24"/>
          <w:szCs w:val="24"/>
        </w:rPr>
      </w:pPr>
    </w:p>
    <w:p w:rsidR="00D0670E" w:rsidRPr="00A24314" w:rsidRDefault="00C92471" w:rsidP="00402D2A">
      <w:pPr>
        <w:pStyle w:val="ListParagraph"/>
        <w:spacing w:line="276" w:lineRule="auto"/>
        <w:ind w:left="0"/>
        <w:jc w:val="both"/>
        <w:rPr>
          <w:rFonts w:ascii="Times New Roman" w:hAnsi="Times New Roman" w:cs="Times New Roman"/>
          <w:color w:val="000000" w:themeColor="text1"/>
          <w:sz w:val="24"/>
          <w:szCs w:val="24"/>
        </w:rPr>
      </w:pPr>
      <w:r w:rsidRPr="00A24314">
        <w:rPr>
          <w:rFonts w:ascii="Times New Roman" w:hAnsi="Times New Roman" w:cs="Times New Roman"/>
          <w:color w:val="000000" w:themeColor="text1"/>
          <w:sz w:val="24"/>
          <w:szCs w:val="24"/>
        </w:rPr>
        <w:t>Din evaluare rezultă că un rol important în obținerea acestui rezultat îl reprezintă m</w:t>
      </w:r>
      <w:r w:rsidR="00D93066" w:rsidRPr="00A24314">
        <w:rPr>
          <w:rFonts w:ascii="Times New Roman" w:hAnsi="Times New Roman" w:cs="Times New Roman"/>
          <w:color w:val="000000" w:themeColor="text1"/>
          <w:sz w:val="24"/>
          <w:szCs w:val="24"/>
        </w:rPr>
        <w:t>odalitatea de stabilire a stadiului implementării</w:t>
      </w:r>
      <w:r w:rsidR="00963579" w:rsidRPr="00A24314">
        <w:rPr>
          <w:rFonts w:ascii="Times New Roman" w:hAnsi="Times New Roman" w:cs="Times New Roman"/>
          <w:color w:val="000000" w:themeColor="text1"/>
          <w:sz w:val="24"/>
          <w:szCs w:val="24"/>
        </w:rPr>
        <w:t xml:space="preserve"> standardelor de control intern </w:t>
      </w:r>
      <w:r w:rsidRPr="00A24314">
        <w:rPr>
          <w:rFonts w:ascii="Times New Roman" w:hAnsi="Times New Roman" w:cs="Times New Roman"/>
          <w:color w:val="000000" w:themeColor="text1"/>
          <w:sz w:val="24"/>
          <w:szCs w:val="24"/>
        </w:rPr>
        <w:t xml:space="preserve">managerial, care </w:t>
      </w:r>
      <w:r w:rsidR="00D93066" w:rsidRPr="00A24314">
        <w:rPr>
          <w:rFonts w:ascii="Times New Roman" w:hAnsi="Times New Roman" w:cs="Times New Roman"/>
          <w:color w:val="000000" w:themeColor="text1"/>
          <w:sz w:val="24"/>
          <w:szCs w:val="24"/>
        </w:rPr>
        <w:t xml:space="preserve">s-a bazat pe răspunsurile formulate de </w:t>
      </w:r>
      <w:r w:rsidR="006442FF" w:rsidRPr="00A24314">
        <w:rPr>
          <w:rFonts w:ascii="Times New Roman" w:hAnsi="Times New Roman" w:cs="Times New Roman"/>
          <w:color w:val="000000" w:themeColor="text1"/>
          <w:sz w:val="24"/>
          <w:szCs w:val="24"/>
        </w:rPr>
        <w:t xml:space="preserve">către </w:t>
      </w:r>
      <w:r w:rsidR="00D93066" w:rsidRPr="00A24314">
        <w:rPr>
          <w:rFonts w:ascii="Times New Roman" w:hAnsi="Times New Roman" w:cs="Times New Roman"/>
          <w:color w:val="000000" w:themeColor="text1"/>
          <w:sz w:val="24"/>
          <w:szCs w:val="24"/>
        </w:rPr>
        <w:t>conducătorii compartimentelor î</w:t>
      </w:r>
      <w:r w:rsidRPr="00A24314">
        <w:rPr>
          <w:rFonts w:ascii="Times New Roman" w:hAnsi="Times New Roman" w:cs="Times New Roman"/>
          <w:color w:val="000000" w:themeColor="text1"/>
          <w:sz w:val="24"/>
          <w:szCs w:val="24"/>
        </w:rPr>
        <w:t xml:space="preserve">n chestionarele de autoevaluare. </w:t>
      </w:r>
    </w:p>
    <w:p w:rsidR="00402D2A" w:rsidRPr="00A24314" w:rsidRDefault="00402D2A" w:rsidP="00402D2A">
      <w:pPr>
        <w:pStyle w:val="ListParagraph"/>
        <w:spacing w:line="276" w:lineRule="auto"/>
        <w:ind w:left="0"/>
        <w:jc w:val="both"/>
        <w:rPr>
          <w:rFonts w:ascii="Times New Roman" w:hAnsi="Times New Roman" w:cs="Times New Roman"/>
          <w:color w:val="000000" w:themeColor="text1"/>
          <w:sz w:val="24"/>
          <w:szCs w:val="24"/>
        </w:rPr>
      </w:pPr>
    </w:p>
    <w:p w:rsidR="00D93066" w:rsidRPr="00A24314" w:rsidRDefault="001D32C5" w:rsidP="00402D2A">
      <w:pPr>
        <w:pStyle w:val="ListParagraph"/>
        <w:spacing w:line="276" w:lineRule="auto"/>
        <w:ind w:left="0"/>
        <w:jc w:val="both"/>
        <w:rPr>
          <w:rFonts w:ascii="Times New Roman" w:hAnsi="Times New Roman" w:cs="Times New Roman"/>
          <w:color w:val="000000" w:themeColor="text1"/>
          <w:sz w:val="24"/>
          <w:szCs w:val="24"/>
        </w:rPr>
      </w:pPr>
      <w:r w:rsidRPr="00A24314">
        <w:rPr>
          <w:rFonts w:ascii="Times New Roman" w:hAnsi="Times New Roman" w:cs="Times New Roman"/>
          <w:color w:val="000000" w:themeColor="text1"/>
          <w:sz w:val="24"/>
          <w:szCs w:val="24"/>
        </w:rPr>
        <w:t>Pe baza analizei efectuate, DCIMRI</w:t>
      </w:r>
      <w:r w:rsidR="00D93066" w:rsidRPr="00A24314">
        <w:rPr>
          <w:rFonts w:ascii="Times New Roman" w:hAnsi="Times New Roman" w:cs="Times New Roman"/>
          <w:color w:val="000000" w:themeColor="text1"/>
          <w:sz w:val="24"/>
          <w:szCs w:val="24"/>
        </w:rPr>
        <w:t xml:space="preserve"> </w:t>
      </w:r>
      <w:r w:rsidRPr="00A24314">
        <w:rPr>
          <w:rFonts w:ascii="Times New Roman" w:hAnsi="Times New Roman" w:cs="Times New Roman"/>
          <w:color w:val="000000" w:themeColor="text1"/>
          <w:sz w:val="24"/>
          <w:szCs w:val="24"/>
        </w:rPr>
        <w:t>consideră</w:t>
      </w:r>
      <w:r w:rsidR="00EA0650" w:rsidRPr="00A24314">
        <w:rPr>
          <w:rFonts w:ascii="Times New Roman" w:hAnsi="Times New Roman" w:cs="Times New Roman"/>
          <w:color w:val="000000" w:themeColor="text1"/>
          <w:sz w:val="24"/>
          <w:szCs w:val="24"/>
        </w:rPr>
        <w:t xml:space="preserve"> că </w:t>
      </w:r>
      <w:r w:rsidR="00C92471" w:rsidRPr="00A24314">
        <w:rPr>
          <w:rFonts w:ascii="Times New Roman" w:hAnsi="Times New Roman" w:cs="Times New Roman"/>
          <w:color w:val="000000" w:themeColor="text1"/>
          <w:sz w:val="24"/>
          <w:szCs w:val="24"/>
        </w:rPr>
        <w:t xml:space="preserve">procesul de </w:t>
      </w:r>
      <w:r w:rsidR="00D93066" w:rsidRPr="00A24314">
        <w:rPr>
          <w:rFonts w:ascii="Times New Roman" w:hAnsi="Times New Roman" w:cs="Times New Roman"/>
          <w:color w:val="000000" w:themeColor="text1"/>
          <w:sz w:val="24"/>
          <w:szCs w:val="24"/>
        </w:rPr>
        <w:t xml:space="preserve">implementare a standardelor </w:t>
      </w:r>
      <w:r w:rsidR="00C92471" w:rsidRPr="00A24314">
        <w:rPr>
          <w:rFonts w:ascii="Times New Roman" w:hAnsi="Times New Roman" w:cs="Times New Roman"/>
          <w:color w:val="000000" w:themeColor="text1"/>
          <w:sz w:val="24"/>
          <w:szCs w:val="24"/>
        </w:rPr>
        <w:t xml:space="preserve">de control intern managerial </w:t>
      </w:r>
      <w:r w:rsidR="0089009D" w:rsidRPr="00A24314">
        <w:rPr>
          <w:rFonts w:ascii="Times New Roman" w:hAnsi="Times New Roman" w:cs="Times New Roman"/>
          <w:color w:val="000000" w:themeColor="text1"/>
          <w:sz w:val="24"/>
          <w:szCs w:val="24"/>
        </w:rPr>
        <w:t>contribuie la conştientizarea</w:t>
      </w:r>
      <w:r w:rsidR="00D93066" w:rsidRPr="00A24314">
        <w:rPr>
          <w:rFonts w:ascii="Times New Roman" w:hAnsi="Times New Roman" w:cs="Times New Roman"/>
          <w:color w:val="000000" w:themeColor="text1"/>
          <w:sz w:val="24"/>
          <w:szCs w:val="24"/>
        </w:rPr>
        <w:t xml:space="preserve"> managementului </w:t>
      </w:r>
      <w:r w:rsidR="005A51E7" w:rsidRPr="00A24314">
        <w:rPr>
          <w:rFonts w:ascii="Times New Roman" w:hAnsi="Times New Roman" w:cs="Times New Roman"/>
          <w:color w:val="000000" w:themeColor="text1"/>
          <w:sz w:val="24"/>
          <w:szCs w:val="24"/>
        </w:rPr>
        <w:t xml:space="preserve">general și de linie </w:t>
      </w:r>
      <w:r w:rsidR="00D93066" w:rsidRPr="00A24314">
        <w:rPr>
          <w:rFonts w:ascii="Times New Roman" w:hAnsi="Times New Roman" w:cs="Times New Roman"/>
          <w:color w:val="000000" w:themeColor="text1"/>
          <w:sz w:val="24"/>
          <w:szCs w:val="24"/>
        </w:rPr>
        <w:t xml:space="preserve">asupra </w:t>
      </w:r>
      <w:r w:rsidR="00C92471" w:rsidRPr="00A24314">
        <w:rPr>
          <w:rFonts w:ascii="Times New Roman" w:hAnsi="Times New Roman" w:cs="Times New Roman"/>
          <w:color w:val="000000" w:themeColor="text1"/>
          <w:sz w:val="24"/>
          <w:szCs w:val="24"/>
        </w:rPr>
        <w:t>rolului</w:t>
      </w:r>
      <w:r w:rsidR="00D93066" w:rsidRPr="00A24314">
        <w:rPr>
          <w:rFonts w:ascii="Times New Roman" w:hAnsi="Times New Roman" w:cs="Times New Roman"/>
          <w:color w:val="000000" w:themeColor="text1"/>
          <w:sz w:val="24"/>
          <w:szCs w:val="24"/>
        </w:rPr>
        <w:t xml:space="preserve"> </w:t>
      </w:r>
      <w:r w:rsidR="009D1990" w:rsidRPr="00A24314">
        <w:rPr>
          <w:rFonts w:ascii="Times New Roman" w:hAnsi="Times New Roman" w:cs="Times New Roman"/>
          <w:color w:val="000000" w:themeColor="text1"/>
          <w:sz w:val="24"/>
          <w:szCs w:val="24"/>
        </w:rPr>
        <w:t>dezvoltări</w:t>
      </w:r>
      <w:r w:rsidR="00C92471" w:rsidRPr="00A24314">
        <w:rPr>
          <w:rFonts w:ascii="Times New Roman" w:hAnsi="Times New Roman" w:cs="Times New Roman"/>
          <w:color w:val="000000" w:themeColor="text1"/>
          <w:sz w:val="24"/>
          <w:szCs w:val="24"/>
        </w:rPr>
        <w:t xml:space="preserve">i acestora </w:t>
      </w:r>
      <w:r w:rsidR="00845B2C" w:rsidRPr="00A24314">
        <w:rPr>
          <w:rFonts w:ascii="Times New Roman" w:hAnsi="Times New Roman" w:cs="Times New Roman"/>
          <w:color w:val="000000" w:themeColor="text1"/>
          <w:sz w:val="24"/>
          <w:szCs w:val="24"/>
        </w:rPr>
        <w:t>în vederea</w:t>
      </w:r>
      <w:r w:rsidR="00C92471" w:rsidRPr="00A24314">
        <w:rPr>
          <w:rFonts w:ascii="Times New Roman" w:hAnsi="Times New Roman" w:cs="Times New Roman"/>
          <w:color w:val="000000" w:themeColor="text1"/>
          <w:sz w:val="24"/>
          <w:szCs w:val="24"/>
        </w:rPr>
        <w:t xml:space="preserve"> </w:t>
      </w:r>
      <w:r w:rsidR="00D93066" w:rsidRPr="00A24314">
        <w:rPr>
          <w:rFonts w:ascii="Times New Roman" w:hAnsi="Times New Roman" w:cs="Times New Roman"/>
          <w:color w:val="000000" w:themeColor="text1"/>
          <w:sz w:val="24"/>
          <w:szCs w:val="24"/>
        </w:rPr>
        <w:t>a</w:t>
      </w:r>
      <w:r w:rsidRPr="00A24314">
        <w:rPr>
          <w:rFonts w:ascii="Times New Roman" w:hAnsi="Times New Roman" w:cs="Times New Roman"/>
          <w:color w:val="000000" w:themeColor="text1"/>
          <w:sz w:val="24"/>
          <w:szCs w:val="24"/>
        </w:rPr>
        <w:t>tinger</w:t>
      </w:r>
      <w:r w:rsidR="00845B2C" w:rsidRPr="00A24314">
        <w:rPr>
          <w:rFonts w:ascii="Times New Roman" w:hAnsi="Times New Roman" w:cs="Times New Roman"/>
          <w:color w:val="000000" w:themeColor="text1"/>
          <w:sz w:val="24"/>
          <w:szCs w:val="24"/>
        </w:rPr>
        <w:t>ii</w:t>
      </w:r>
      <w:r w:rsidRPr="00A24314">
        <w:rPr>
          <w:rFonts w:ascii="Times New Roman" w:hAnsi="Times New Roman" w:cs="Times New Roman"/>
          <w:color w:val="000000" w:themeColor="text1"/>
          <w:sz w:val="24"/>
          <w:szCs w:val="24"/>
        </w:rPr>
        <w:t xml:space="preserve"> obiectivelor programate.</w:t>
      </w:r>
      <w:r w:rsidR="00D93066" w:rsidRPr="00A24314">
        <w:rPr>
          <w:rFonts w:ascii="Times New Roman" w:hAnsi="Times New Roman" w:cs="Times New Roman"/>
          <w:color w:val="000000" w:themeColor="text1"/>
          <w:sz w:val="24"/>
          <w:szCs w:val="24"/>
        </w:rPr>
        <w:t xml:space="preserve"> </w:t>
      </w:r>
    </w:p>
    <w:p w:rsidR="0071625D" w:rsidRDefault="0071625D" w:rsidP="00602BDC">
      <w:pPr>
        <w:spacing w:line="276" w:lineRule="auto"/>
        <w:ind w:firstLine="708"/>
        <w:jc w:val="both"/>
        <w:rPr>
          <w:rFonts w:ascii="Times New Roman" w:hAnsi="Times New Roman" w:cs="Times New Roman"/>
          <w:sz w:val="24"/>
          <w:szCs w:val="24"/>
        </w:rPr>
      </w:pPr>
    </w:p>
    <w:p w:rsidR="00402D2A" w:rsidRDefault="00402D2A">
      <w:pPr>
        <w:rPr>
          <w:rFonts w:ascii="Times New Roman" w:hAnsi="Times New Roman" w:cs="Times New Roman"/>
          <w:b/>
          <w:sz w:val="28"/>
          <w:szCs w:val="28"/>
        </w:rPr>
      </w:pPr>
      <w:r>
        <w:rPr>
          <w:rFonts w:ascii="Times New Roman" w:hAnsi="Times New Roman" w:cs="Times New Roman"/>
          <w:b/>
          <w:sz w:val="28"/>
          <w:szCs w:val="28"/>
        </w:rPr>
        <w:br w:type="page"/>
      </w:r>
    </w:p>
    <w:p w:rsidR="00CF002C" w:rsidRPr="00B24D9C" w:rsidRDefault="00CF002C" w:rsidP="00A24314">
      <w:pPr>
        <w:pStyle w:val="Raport"/>
        <w:jc w:val="both"/>
      </w:pPr>
      <w:bookmarkStart w:id="15" w:name="_Toc485992676"/>
      <w:r w:rsidRPr="00B24D9C">
        <w:t>2.2. Analiza activității de raportare asupra SCIM la 31 decembrie 201</w:t>
      </w:r>
      <w:r w:rsidR="002160F5">
        <w:t>6</w:t>
      </w:r>
      <w:r w:rsidRPr="00B24D9C">
        <w:t xml:space="preserve"> ale conducătorilor instituțiilor publice centrale</w:t>
      </w:r>
      <w:bookmarkEnd w:id="15"/>
    </w:p>
    <w:p w:rsidR="006353E9" w:rsidRDefault="006873D5" w:rsidP="00AB15E3">
      <w:pPr>
        <w:spacing w:before="240" w:after="120" w:line="276" w:lineRule="auto"/>
        <w:jc w:val="both"/>
        <w:rPr>
          <w:rFonts w:ascii="Times New Roman" w:hAnsi="Times New Roman" w:cs="Times New Roman"/>
          <w:sz w:val="24"/>
          <w:szCs w:val="24"/>
        </w:rPr>
      </w:pPr>
      <w:r w:rsidRPr="006873D5">
        <w:rPr>
          <w:rFonts w:ascii="Times New Roman" w:hAnsi="Times New Roman" w:cs="Times New Roman"/>
          <w:sz w:val="24"/>
          <w:szCs w:val="24"/>
        </w:rPr>
        <w:t>Pentru dezvoltarea</w:t>
      </w:r>
      <w:r>
        <w:rPr>
          <w:rFonts w:ascii="Times New Roman" w:hAnsi="Times New Roman" w:cs="Times New Roman"/>
          <w:sz w:val="24"/>
          <w:szCs w:val="24"/>
        </w:rPr>
        <w:t xml:space="preserve"> unor sisteme de control intern </w:t>
      </w:r>
      <w:r w:rsidRPr="006873D5">
        <w:rPr>
          <w:rFonts w:ascii="Times New Roman" w:hAnsi="Times New Roman" w:cs="Times New Roman"/>
          <w:sz w:val="24"/>
          <w:szCs w:val="24"/>
        </w:rPr>
        <w:t>managerial performante, capabile să asigure un grad de implementare ridicat, conducătorii entităților publice au f</w:t>
      </w:r>
      <w:r w:rsidR="00857AFB">
        <w:rPr>
          <w:rFonts w:ascii="Times New Roman" w:hAnsi="Times New Roman" w:cs="Times New Roman"/>
          <w:sz w:val="24"/>
          <w:szCs w:val="24"/>
        </w:rPr>
        <w:t>ost direct responsabilizați</w:t>
      </w:r>
      <w:r w:rsidRPr="006873D5">
        <w:rPr>
          <w:rFonts w:ascii="Times New Roman" w:hAnsi="Times New Roman" w:cs="Times New Roman"/>
          <w:sz w:val="24"/>
          <w:szCs w:val="24"/>
        </w:rPr>
        <w:t xml:space="preserve"> </w:t>
      </w:r>
      <w:r w:rsidR="00857AFB" w:rsidRPr="00857AFB">
        <w:rPr>
          <w:rFonts w:ascii="Times New Roman" w:hAnsi="Times New Roman" w:cs="Times New Roman"/>
          <w:sz w:val="24"/>
          <w:szCs w:val="24"/>
          <w:lang w:val="en-US"/>
        </w:rPr>
        <w:t>în baza</w:t>
      </w:r>
      <w:r w:rsidR="00857AFB" w:rsidRPr="006442FF">
        <w:rPr>
          <w:rFonts w:ascii="Times New Roman" w:hAnsi="Times New Roman" w:cs="Times New Roman"/>
          <w:i/>
          <w:sz w:val="24"/>
          <w:szCs w:val="24"/>
          <w:lang w:val="en-US"/>
        </w:rPr>
        <w:t xml:space="preserve"> </w:t>
      </w:r>
      <w:r w:rsidR="00857AFB" w:rsidRPr="006442FF">
        <w:rPr>
          <w:rFonts w:ascii="Times New Roman" w:hAnsi="Times New Roman" w:cs="Times New Roman"/>
          <w:i/>
          <w:vanish/>
          <w:sz w:val="24"/>
          <w:szCs w:val="24"/>
          <w:lang w:val="en-US"/>
        </w:rPr>
        <w:t>&lt;LLNK 11999   119131 302   4 54&gt;</w:t>
      </w:r>
      <w:r w:rsidR="00857AFB" w:rsidRPr="006442FF">
        <w:rPr>
          <w:rFonts w:ascii="Times New Roman" w:hAnsi="Times New Roman" w:cs="Times New Roman"/>
          <w:i/>
          <w:sz w:val="24"/>
          <w:szCs w:val="24"/>
          <w:lang w:val="en-US"/>
        </w:rPr>
        <w:t xml:space="preserve">art. </w:t>
      </w:r>
      <w:r w:rsidR="00D67CB9" w:rsidRPr="006442FF">
        <w:rPr>
          <w:rFonts w:ascii="Times New Roman" w:hAnsi="Times New Roman" w:cs="Times New Roman"/>
          <w:i/>
          <w:sz w:val="24"/>
          <w:szCs w:val="24"/>
          <w:lang w:val="en-US"/>
        </w:rPr>
        <w:t>8</w:t>
      </w:r>
      <w:r w:rsidR="00D67CB9" w:rsidRPr="006442FF">
        <w:rPr>
          <w:rFonts w:ascii="Times New Roman" w:hAnsi="Times New Roman" w:cs="Times New Roman"/>
          <w:i/>
          <w:sz w:val="24"/>
          <w:szCs w:val="24"/>
          <w:vertAlign w:val="superscript"/>
          <w:lang w:val="en-US"/>
        </w:rPr>
        <w:t>^</w:t>
      </w:r>
      <w:r w:rsidR="00D67CB9" w:rsidRPr="006442FF">
        <w:rPr>
          <w:rFonts w:ascii="Times New Roman" w:hAnsi="Times New Roman" w:cs="Times New Roman"/>
          <w:i/>
          <w:sz w:val="24"/>
          <w:szCs w:val="24"/>
          <w:lang w:val="en-US"/>
        </w:rPr>
        <w:t>1</w:t>
      </w:r>
      <w:r w:rsidR="00857AFB" w:rsidRPr="006442FF">
        <w:rPr>
          <w:rFonts w:ascii="Times New Roman" w:hAnsi="Times New Roman" w:cs="Times New Roman"/>
          <w:i/>
          <w:sz w:val="24"/>
          <w:szCs w:val="24"/>
          <w:lang w:val="en-US"/>
        </w:rPr>
        <w:t xml:space="preserve"> alin. (</w:t>
      </w:r>
      <w:r w:rsidR="00D67CB9" w:rsidRPr="006442FF">
        <w:rPr>
          <w:rFonts w:ascii="Times New Roman" w:hAnsi="Times New Roman" w:cs="Times New Roman"/>
          <w:i/>
          <w:sz w:val="24"/>
          <w:szCs w:val="24"/>
          <w:lang w:val="en-US"/>
        </w:rPr>
        <w:t>2</w:t>
      </w:r>
      <w:r w:rsidR="00857AFB" w:rsidRPr="006442FF">
        <w:rPr>
          <w:rFonts w:ascii="Times New Roman" w:hAnsi="Times New Roman" w:cs="Times New Roman"/>
          <w:i/>
          <w:sz w:val="24"/>
          <w:szCs w:val="24"/>
          <w:lang w:val="en-US"/>
        </w:rPr>
        <w:t>) din O</w:t>
      </w:r>
      <w:r w:rsidR="00D67CB9" w:rsidRPr="006442FF">
        <w:rPr>
          <w:rFonts w:ascii="Times New Roman" w:hAnsi="Times New Roman" w:cs="Times New Roman"/>
          <w:i/>
          <w:sz w:val="24"/>
          <w:szCs w:val="24"/>
          <w:lang w:val="en-US"/>
        </w:rPr>
        <w:t>SGG nr.</w:t>
      </w:r>
      <w:r w:rsidR="006442FF" w:rsidRPr="006442FF">
        <w:rPr>
          <w:rFonts w:ascii="Times New Roman" w:hAnsi="Times New Roman" w:cs="Times New Roman"/>
          <w:i/>
          <w:sz w:val="24"/>
          <w:szCs w:val="24"/>
          <w:lang w:val="en-US"/>
        </w:rPr>
        <w:t xml:space="preserve"> </w:t>
      </w:r>
      <w:r w:rsidR="00D67CB9" w:rsidRPr="006442FF">
        <w:rPr>
          <w:rFonts w:ascii="Times New Roman" w:hAnsi="Times New Roman" w:cs="Times New Roman"/>
          <w:i/>
          <w:sz w:val="24"/>
          <w:szCs w:val="24"/>
          <w:lang w:val="en-US"/>
        </w:rPr>
        <w:t>400/2015</w:t>
      </w:r>
      <w:r w:rsidR="006442FF" w:rsidRPr="006442FF">
        <w:rPr>
          <w:rFonts w:ascii="Times New Roman" w:hAnsi="Times New Roman" w:cs="Times New Roman"/>
          <w:i/>
          <w:sz w:val="24"/>
          <w:szCs w:val="24"/>
          <w:lang w:val="en-US"/>
        </w:rPr>
        <w:t>,</w:t>
      </w:r>
      <w:r w:rsidR="00B01049">
        <w:rPr>
          <w:rFonts w:ascii="Times New Roman" w:hAnsi="Times New Roman" w:cs="Times New Roman"/>
          <w:i/>
          <w:sz w:val="24"/>
          <w:szCs w:val="24"/>
          <w:lang w:val="en-US"/>
        </w:rPr>
        <w:t xml:space="preserve"> cu modificările și completă</w:t>
      </w:r>
      <w:r w:rsidR="00D67CB9" w:rsidRPr="006442FF">
        <w:rPr>
          <w:rFonts w:ascii="Times New Roman" w:hAnsi="Times New Roman" w:cs="Times New Roman"/>
          <w:i/>
          <w:sz w:val="24"/>
          <w:szCs w:val="24"/>
          <w:lang w:val="en-US"/>
        </w:rPr>
        <w:t>rile ulterioare</w:t>
      </w:r>
      <w:r w:rsidRPr="006442FF">
        <w:rPr>
          <w:rFonts w:ascii="Times New Roman" w:hAnsi="Times New Roman" w:cs="Times New Roman"/>
          <w:i/>
          <w:sz w:val="24"/>
          <w:szCs w:val="24"/>
        </w:rPr>
        <w:t>,</w:t>
      </w:r>
      <w:r w:rsidRPr="006873D5">
        <w:rPr>
          <w:rFonts w:ascii="Times New Roman" w:hAnsi="Times New Roman" w:cs="Times New Roman"/>
          <w:sz w:val="24"/>
          <w:szCs w:val="24"/>
        </w:rPr>
        <w:t xml:space="preserve"> cu privire la obligativitatea elaborării raportului anual asup</w:t>
      </w:r>
      <w:r w:rsidR="00D67CB9">
        <w:rPr>
          <w:rFonts w:ascii="Times New Roman" w:hAnsi="Times New Roman" w:cs="Times New Roman"/>
          <w:sz w:val="24"/>
          <w:szCs w:val="24"/>
        </w:rPr>
        <w:t xml:space="preserve">ra sistemului de control intern </w:t>
      </w:r>
      <w:r w:rsidRPr="006873D5">
        <w:rPr>
          <w:rFonts w:ascii="Times New Roman" w:hAnsi="Times New Roman" w:cs="Times New Roman"/>
          <w:sz w:val="24"/>
          <w:szCs w:val="24"/>
        </w:rPr>
        <w:t>managerial</w:t>
      </w:r>
      <w:r w:rsidR="006353E9">
        <w:rPr>
          <w:rFonts w:ascii="Times New Roman" w:hAnsi="Times New Roman" w:cs="Times New Roman"/>
          <w:sz w:val="24"/>
          <w:szCs w:val="24"/>
        </w:rPr>
        <w:t xml:space="preserve"> </w:t>
      </w:r>
      <w:r w:rsidR="00A36F25">
        <w:rPr>
          <w:rFonts w:ascii="Times New Roman" w:hAnsi="Times New Roman" w:cs="Times New Roman"/>
          <w:sz w:val="24"/>
          <w:szCs w:val="24"/>
        </w:rPr>
        <w:t>(</w:t>
      </w:r>
      <w:r w:rsidR="00A36F25" w:rsidRPr="00A36F25">
        <w:rPr>
          <w:rFonts w:ascii="Times New Roman" w:hAnsi="Times New Roman" w:cs="Times New Roman"/>
          <w:i/>
          <w:sz w:val="24"/>
          <w:szCs w:val="24"/>
        </w:rPr>
        <w:t>Anexa 4.3 - Raportul asupra sistemului de control intern managerial la data de 31 decembrie 20..)</w:t>
      </w:r>
      <w:r w:rsidR="00A36F25">
        <w:rPr>
          <w:rFonts w:ascii="Times New Roman" w:hAnsi="Times New Roman" w:cs="Times New Roman"/>
          <w:sz w:val="24"/>
          <w:szCs w:val="24"/>
        </w:rPr>
        <w:t xml:space="preserve"> </w:t>
      </w:r>
      <w:r w:rsidR="006353E9">
        <w:rPr>
          <w:rFonts w:ascii="Times New Roman" w:hAnsi="Times New Roman" w:cs="Times New Roman"/>
          <w:sz w:val="24"/>
          <w:szCs w:val="24"/>
        </w:rPr>
        <w:t>și transmiterii acestuia către DCIMRI până la data de 20 februarie</w:t>
      </w:r>
      <w:r w:rsidR="00A36F25" w:rsidRPr="00A36F25">
        <w:t xml:space="preserve"> </w:t>
      </w:r>
      <w:r w:rsidR="00A36F25" w:rsidRPr="00A36F25">
        <w:rPr>
          <w:rFonts w:ascii="Times New Roman" w:hAnsi="Times New Roman" w:cs="Times New Roman"/>
          <w:sz w:val="24"/>
          <w:szCs w:val="24"/>
        </w:rPr>
        <w:t>a anului următor, pentru anul precedent</w:t>
      </w:r>
      <w:r w:rsidR="00A36F25">
        <w:rPr>
          <w:rFonts w:ascii="Times New Roman" w:hAnsi="Times New Roman" w:cs="Times New Roman"/>
          <w:sz w:val="24"/>
          <w:szCs w:val="24"/>
        </w:rPr>
        <w:t>.</w:t>
      </w:r>
    </w:p>
    <w:p w:rsidR="006873D5" w:rsidRPr="006873D5" w:rsidRDefault="006873D5" w:rsidP="00AB15E3">
      <w:pPr>
        <w:spacing w:line="276" w:lineRule="auto"/>
        <w:jc w:val="both"/>
        <w:rPr>
          <w:rFonts w:ascii="Times New Roman" w:hAnsi="Times New Roman" w:cs="Times New Roman"/>
          <w:sz w:val="24"/>
          <w:szCs w:val="24"/>
        </w:rPr>
      </w:pPr>
      <w:r w:rsidRPr="006873D5">
        <w:rPr>
          <w:rFonts w:ascii="Times New Roman" w:hAnsi="Times New Roman" w:cs="Times New Roman"/>
          <w:sz w:val="24"/>
          <w:szCs w:val="24"/>
        </w:rPr>
        <w:t>Raportul constituie forma oficială de asumare a responsabilităţii manageriale de către conducătorul entităţii publice cu privire la stadiul implementării sistemului de control intern/managerial şi este documentul prin care instituţiile publice</w:t>
      </w:r>
      <w:r w:rsidR="00EA0650">
        <w:rPr>
          <w:rFonts w:ascii="Times New Roman" w:hAnsi="Times New Roman" w:cs="Times New Roman"/>
          <w:sz w:val="24"/>
          <w:szCs w:val="24"/>
        </w:rPr>
        <w:t>,</w:t>
      </w:r>
      <w:r w:rsidRPr="006873D5">
        <w:rPr>
          <w:rFonts w:ascii="Times New Roman" w:hAnsi="Times New Roman" w:cs="Times New Roman"/>
          <w:sz w:val="24"/>
          <w:szCs w:val="24"/>
        </w:rPr>
        <w:t xml:space="preserve"> în care se exercită funcţia de ordonator principal de credite al bugetului de stat, al bugetului asigurărilor sociale de stat sau al bugetului oricărui fond special, furnizează informaţiile necesare elaborării raportului anual, </w:t>
      </w:r>
      <w:r w:rsidR="005C4C23">
        <w:rPr>
          <w:rFonts w:ascii="Times New Roman" w:hAnsi="Times New Roman" w:cs="Times New Roman"/>
          <w:sz w:val="24"/>
          <w:szCs w:val="24"/>
        </w:rPr>
        <w:t xml:space="preserve">de către DCIMRI, </w:t>
      </w:r>
      <w:r w:rsidRPr="006873D5">
        <w:rPr>
          <w:rFonts w:ascii="Times New Roman" w:hAnsi="Times New Roman" w:cs="Times New Roman"/>
          <w:sz w:val="24"/>
          <w:szCs w:val="24"/>
        </w:rPr>
        <w:t xml:space="preserve">care se prezintă Guvernului </w:t>
      </w:r>
      <w:r w:rsidR="005C4C23">
        <w:rPr>
          <w:rFonts w:ascii="Times New Roman" w:hAnsi="Times New Roman" w:cs="Times New Roman"/>
          <w:sz w:val="24"/>
          <w:szCs w:val="24"/>
        </w:rPr>
        <w:t>după sfârșitul</w:t>
      </w:r>
      <w:r w:rsidRPr="006873D5">
        <w:rPr>
          <w:rFonts w:ascii="Times New Roman" w:hAnsi="Times New Roman" w:cs="Times New Roman"/>
          <w:sz w:val="24"/>
          <w:szCs w:val="24"/>
        </w:rPr>
        <w:t xml:space="preserve"> semestrului I al anului curent, pentru anul precedent.</w:t>
      </w:r>
    </w:p>
    <w:p w:rsidR="006873D5" w:rsidRDefault="006873D5" w:rsidP="00AB15E3">
      <w:pPr>
        <w:spacing w:line="276" w:lineRule="auto"/>
        <w:jc w:val="both"/>
        <w:rPr>
          <w:rFonts w:ascii="Times New Roman" w:hAnsi="Times New Roman" w:cs="Times New Roman"/>
          <w:sz w:val="24"/>
          <w:szCs w:val="24"/>
        </w:rPr>
      </w:pPr>
      <w:r w:rsidRPr="006873D5">
        <w:rPr>
          <w:rFonts w:ascii="Times New Roman" w:hAnsi="Times New Roman" w:cs="Times New Roman"/>
          <w:sz w:val="24"/>
          <w:szCs w:val="24"/>
        </w:rPr>
        <w:t>De altfel, responsabilitatea managerială este considerată un principiu fundamental pentru dezvoltarea și performanţa sectorului public, subliniind necesitatea ca oficialii din sectorul public să răspundă pentru activitatea lor și să fie considerați responsabili pentru exercitarea autorității ce le-a fost conferită.</w:t>
      </w:r>
      <w:r w:rsidR="005C4C23">
        <w:rPr>
          <w:rFonts w:ascii="Times New Roman" w:hAnsi="Times New Roman" w:cs="Times New Roman"/>
          <w:sz w:val="24"/>
          <w:szCs w:val="24"/>
        </w:rPr>
        <w:t xml:space="preserve"> În aceste condiții,</w:t>
      </w:r>
      <w:r w:rsidRPr="006873D5">
        <w:rPr>
          <w:rFonts w:ascii="Times New Roman" w:hAnsi="Times New Roman" w:cs="Times New Roman"/>
          <w:sz w:val="24"/>
          <w:szCs w:val="24"/>
        </w:rPr>
        <w:t xml:space="preserve"> responsabilitatea trebuie înţeleasă ca un instrument care garantează contribuabilului că resursele societăţii au fost utilizate în mod transparent, în concordanţă cu interesele generale şi cu priorităţile publice.</w:t>
      </w:r>
    </w:p>
    <w:p w:rsidR="006873D5" w:rsidRPr="006873D5" w:rsidRDefault="006873D5" w:rsidP="00AB15E3">
      <w:pPr>
        <w:spacing w:line="276" w:lineRule="auto"/>
        <w:jc w:val="both"/>
        <w:rPr>
          <w:rFonts w:ascii="Times New Roman" w:hAnsi="Times New Roman" w:cs="Times New Roman"/>
          <w:sz w:val="24"/>
          <w:szCs w:val="24"/>
        </w:rPr>
      </w:pPr>
      <w:r w:rsidRPr="006873D5">
        <w:rPr>
          <w:rFonts w:ascii="Times New Roman" w:hAnsi="Times New Roman" w:cs="Times New Roman"/>
          <w:sz w:val="24"/>
          <w:szCs w:val="24"/>
        </w:rPr>
        <w:t>Raportul asup</w:t>
      </w:r>
      <w:r w:rsidR="008C3582">
        <w:rPr>
          <w:rFonts w:ascii="Times New Roman" w:hAnsi="Times New Roman" w:cs="Times New Roman"/>
          <w:sz w:val="24"/>
          <w:szCs w:val="24"/>
        </w:rPr>
        <w:t xml:space="preserve">ra sistemului de control intern </w:t>
      </w:r>
      <w:r w:rsidRPr="006873D5">
        <w:rPr>
          <w:rFonts w:ascii="Times New Roman" w:hAnsi="Times New Roman" w:cs="Times New Roman"/>
          <w:sz w:val="24"/>
          <w:szCs w:val="24"/>
        </w:rPr>
        <w:t>managerial în cadrul entităţii publice are ca scop creşterea nivelului de conştientizare a managerilor de la toate nivelurile cu privire la responsabilităţile acestora în gestionarea fondurilor publice şi buna funcţionare</w:t>
      </w:r>
      <w:r w:rsidR="00D67CB9">
        <w:rPr>
          <w:rFonts w:ascii="Times New Roman" w:hAnsi="Times New Roman" w:cs="Times New Roman"/>
          <w:sz w:val="24"/>
          <w:szCs w:val="24"/>
        </w:rPr>
        <w:t xml:space="preserve"> a sistemului de control intern </w:t>
      </w:r>
      <w:r w:rsidRPr="006873D5">
        <w:rPr>
          <w:rFonts w:ascii="Times New Roman" w:hAnsi="Times New Roman" w:cs="Times New Roman"/>
          <w:sz w:val="24"/>
          <w:szCs w:val="24"/>
        </w:rPr>
        <w:t>managerial, conform standardelor.</w:t>
      </w:r>
    </w:p>
    <w:p w:rsidR="006873D5" w:rsidRPr="006873D5" w:rsidRDefault="006873D5" w:rsidP="00AB15E3">
      <w:pPr>
        <w:spacing w:line="276" w:lineRule="auto"/>
        <w:jc w:val="both"/>
        <w:rPr>
          <w:rFonts w:ascii="Times New Roman" w:hAnsi="Times New Roman" w:cs="Times New Roman"/>
          <w:sz w:val="24"/>
          <w:szCs w:val="24"/>
        </w:rPr>
      </w:pPr>
      <w:r w:rsidRPr="006873D5">
        <w:rPr>
          <w:rFonts w:ascii="Times New Roman" w:hAnsi="Times New Roman" w:cs="Times New Roman"/>
          <w:sz w:val="24"/>
          <w:szCs w:val="24"/>
        </w:rPr>
        <w:t>Declaraţiile din raportul anual se fundamentează pe datele, informaţiile şi constatările rezultate din operaţiunea de autoevaluare a stăr</w:t>
      </w:r>
      <w:r w:rsidR="008C3582">
        <w:rPr>
          <w:rFonts w:ascii="Times New Roman" w:hAnsi="Times New Roman" w:cs="Times New Roman"/>
          <w:sz w:val="24"/>
          <w:szCs w:val="24"/>
        </w:rPr>
        <w:t xml:space="preserve">ii sistemului de control intern </w:t>
      </w:r>
      <w:r w:rsidRPr="006873D5">
        <w:rPr>
          <w:rFonts w:ascii="Times New Roman" w:hAnsi="Times New Roman" w:cs="Times New Roman"/>
          <w:sz w:val="24"/>
          <w:szCs w:val="24"/>
        </w:rPr>
        <w:t>managerial, precum şi din rapoartele de audit intern şi extern.</w:t>
      </w:r>
    </w:p>
    <w:p w:rsidR="006873D5" w:rsidRPr="00A24314" w:rsidRDefault="00241121" w:rsidP="00A24314">
      <w:pPr>
        <w:spacing w:line="276" w:lineRule="auto"/>
        <w:jc w:val="both"/>
        <w:rPr>
          <w:rFonts w:ascii="Times New Roman" w:hAnsi="Times New Roman" w:cs="Times New Roman"/>
          <w:i/>
          <w:color w:val="000000" w:themeColor="text1"/>
          <w:sz w:val="24"/>
          <w:szCs w:val="24"/>
        </w:rPr>
      </w:pPr>
      <w:r w:rsidRPr="00A24314">
        <w:rPr>
          <w:rFonts w:ascii="Times New Roman" w:hAnsi="Times New Roman" w:cs="Times New Roman"/>
          <w:color w:val="000000" w:themeColor="text1"/>
          <w:sz w:val="24"/>
          <w:szCs w:val="24"/>
        </w:rPr>
        <w:t>Pe baza informațiilor transmise de către ordonatorii principali de credite DCIMRI a elaborat</w:t>
      </w:r>
      <w:r w:rsidRPr="00A24314">
        <w:rPr>
          <w:rFonts w:ascii="Times New Roman" w:hAnsi="Times New Roman" w:cs="Times New Roman"/>
          <w:i/>
          <w:color w:val="000000" w:themeColor="text1"/>
          <w:sz w:val="24"/>
          <w:szCs w:val="24"/>
        </w:rPr>
        <w:t xml:space="preserve"> C</w:t>
      </w:r>
      <w:r w:rsidR="006873D5" w:rsidRPr="00A24314">
        <w:rPr>
          <w:rFonts w:ascii="Times New Roman" w:hAnsi="Times New Roman" w:cs="Times New Roman"/>
          <w:i/>
          <w:color w:val="000000" w:themeColor="text1"/>
          <w:sz w:val="24"/>
          <w:szCs w:val="24"/>
        </w:rPr>
        <w:t>entraliz</w:t>
      </w:r>
      <w:r w:rsidRPr="00A24314">
        <w:rPr>
          <w:rFonts w:ascii="Times New Roman" w:hAnsi="Times New Roman" w:cs="Times New Roman"/>
          <w:i/>
          <w:color w:val="000000" w:themeColor="text1"/>
          <w:sz w:val="24"/>
          <w:szCs w:val="24"/>
        </w:rPr>
        <w:t>area</w:t>
      </w:r>
      <w:r w:rsidR="007308FF" w:rsidRPr="00A24314">
        <w:rPr>
          <w:rFonts w:ascii="Times New Roman" w:hAnsi="Times New Roman" w:cs="Times New Roman"/>
          <w:i/>
          <w:color w:val="000000" w:themeColor="text1"/>
          <w:sz w:val="24"/>
          <w:szCs w:val="24"/>
        </w:rPr>
        <w:t xml:space="preserve"> </w:t>
      </w:r>
      <w:r w:rsidR="006873D5" w:rsidRPr="00A24314">
        <w:rPr>
          <w:rFonts w:ascii="Times New Roman" w:hAnsi="Times New Roman" w:cs="Times New Roman"/>
          <w:i/>
          <w:color w:val="000000" w:themeColor="text1"/>
          <w:sz w:val="24"/>
          <w:szCs w:val="24"/>
        </w:rPr>
        <w:t>privind</w:t>
      </w:r>
      <w:r w:rsidR="006873D5" w:rsidRPr="00A24314">
        <w:rPr>
          <w:rFonts w:ascii="Times New Roman" w:hAnsi="Times New Roman" w:cs="Times New Roman"/>
          <w:color w:val="000000" w:themeColor="text1"/>
          <w:sz w:val="24"/>
          <w:szCs w:val="24"/>
        </w:rPr>
        <w:t xml:space="preserve"> </w:t>
      </w:r>
      <w:r w:rsidRPr="00A24314">
        <w:rPr>
          <w:rFonts w:ascii="Times New Roman" w:hAnsi="Times New Roman" w:cs="Times New Roman"/>
          <w:i/>
          <w:color w:val="000000" w:themeColor="text1"/>
          <w:sz w:val="24"/>
          <w:szCs w:val="24"/>
        </w:rPr>
        <w:t>r</w:t>
      </w:r>
      <w:r w:rsidR="006873D5" w:rsidRPr="00A24314">
        <w:rPr>
          <w:rFonts w:ascii="Times New Roman" w:hAnsi="Times New Roman" w:cs="Times New Roman"/>
          <w:i/>
          <w:color w:val="000000" w:themeColor="text1"/>
          <w:sz w:val="24"/>
          <w:szCs w:val="24"/>
        </w:rPr>
        <w:t xml:space="preserve">apoartele asupra </w:t>
      </w:r>
      <w:r w:rsidRPr="00A24314">
        <w:rPr>
          <w:rFonts w:ascii="Times New Roman" w:hAnsi="Times New Roman" w:cs="Times New Roman"/>
          <w:i/>
          <w:color w:val="000000" w:themeColor="text1"/>
          <w:sz w:val="24"/>
          <w:szCs w:val="24"/>
        </w:rPr>
        <w:t>SCIM</w:t>
      </w:r>
      <w:r w:rsidR="006873D5" w:rsidRPr="00A24314">
        <w:rPr>
          <w:rFonts w:ascii="Times New Roman" w:hAnsi="Times New Roman" w:cs="Times New Roman"/>
          <w:i/>
          <w:color w:val="000000" w:themeColor="text1"/>
          <w:sz w:val="24"/>
          <w:szCs w:val="24"/>
        </w:rPr>
        <w:t xml:space="preserve"> la data de 31 decembrie 201</w:t>
      </w:r>
      <w:r w:rsidR="0033067B" w:rsidRPr="00A24314">
        <w:rPr>
          <w:rFonts w:ascii="Times New Roman" w:hAnsi="Times New Roman" w:cs="Times New Roman"/>
          <w:i/>
          <w:color w:val="000000" w:themeColor="text1"/>
          <w:sz w:val="24"/>
          <w:szCs w:val="24"/>
        </w:rPr>
        <w:t>6</w:t>
      </w:r>
      <w:r w:rsidR="006873D5" w:rsidRPr="00A24314">
        <w:rPr>
          <w:rFonts w:ascii="Times New Roman" w:hAnsi="Times New Roman" w:cs="Times New Roman"/>
          <w:color w:val="000000" w:themeColor="text1"/>
          <w:sz w:val="24"/>
          <w:szCs w:val="24"/>
        </w:rPr>
        <w:t>, la nivelul ordonatorilor principali de credite</w:t>
      </w:r>
      <w:r w:rsidR="007308FF" w:rsidRPr="00A24314">
        <w:rPr>
          <w:rFonts w:ascii="Times New Roman" w:hAnsi="Times New Roman" w:cs="Times New Roman"/>
          <w:color w:val="000000" w:themeColor="text1"/>
          <w:sz w:val="24"/>
          <w:szCs w:val="24"/>
        </w:rPr>
        <w:t xml:space="preserve"> </w:t>
      </w:r>
      <w:r w:rsidR="006873D5" w:rsidRPr="00A24314">
        <w:rPr>
          <w:rFonts w:ascii="Times New Roman" w:hAnsi="Times New Roman" w:cs="Times New Roman"/>
          <w:color w:val="000000" w:themeColor="text1"/>
          <w:sz w:val="24"/>
          <w:szCs w:val="24"/>
        </w:rPr>
        <w:t>-</w:t>
      </w:r>
      <w:r w:rsidR="007308FF" w:rsidRPr="00A24314">
        <w:rPr>
          <w:rFonts w:ascii="Times New Roman" w:hAnsi="Times New Roman" w:cs="Times New Roman"/>
          <w:color w:val="000000" w:themeColor="text1"/>
          <w:sz w:val="24"/>
          <w:szCs w:val="24"/>
        </w:rPr>
        <w:t xml:space="preserve"> </w:t>
      </w:r>
      <w:r w:rsidR="006873D5" w:rsidRPr="00A24314">
        <w:rPr>
          <w:rFonts w:ascii="Times New Roman" w:hAnsi="Times New Roman" w:cs="Times New Roman"/>
          <w:color w:val="000000" w:themeColor="text1"/>
          <w:sz w:val="24"/>
          <w:szCs w:val="24"/>
        </w:rPr>
        <w:t>apar</w:t>
      </w:r>
      <w:r w:rsidR="007308FF" w:rsidRPr="00A24314">
        <w:rPr>
          <w:rFonts w:ascii="Times New Roman" w:hAnsi="Times New Roman" w:cs="Times New Roman"/>
          <w:color w:val="000000" w:themeColor="text1"/>
          <w:sz w:val="24"/>
          <w:szCs w:val="24"/>
        </w:rPr>
        <w:t xml:space="preserve">at propriu, este </w:t>
      </w:r>
      <w:r w:rsidR="006636B5" w:rsidRPr="00A24314">
        <w:rPr>
          <w:rFonts w:ascii="Times New Roman" w:hAnsi="Times New Roman" w:cs="Times New Roman"/>
          <w:color w:val="000000" w:themeColor="text1"/>
          <w:sz w:val="24"/>
          <w:szCs w:val="24"/>
        </w:rPr>
        <w:t>prezentată</w:t>
      </w:r>
      <w:r w:rsidR="006873D5" w:rsidRPr="00A24314">
        <w:rPr>
          <w:rFonts w:ascii="Times New Roman" w:hAnsi="Times New Roman" w:cs="Times New Roman"/>
          <w:color w:val="000000" w:themeColor="text1"/>
          <w:sz w:val="24"/>
          <w:szCs w:val="24"/>
        </w:rPr>
        <w:t xml:space="preserve"> în </w:t>
      </w:r>
      <w:r w:rsidR="006873D5" w:rsidRPr="00A24314">
        <w:rPr>
          <w:rFonts w:ascii="Times New Roman" w:hAnsi="Times New Roman" w:cs="Times New Roman"/>
          <w:i/>
          <w:color w:val="000000" w:themeColor="text1"/>
          <w:sz w:val="24"/>
          <w:szCs w:val="24"/>
        </w:rPr>
        <w:t xml:space="preserve">Anexa nr. </w:t>
      </w:r>
      <w:r w:rsidR="007308FF" w:rsidRPr="00A24314">
        <w:rPr>
          <w:rFonts w:ascii="Times New Roman" w:hAnsi="Times New Roman" w:cs="Times New Roman"/>
          <w:i/>
          <w:color w:val="000000" w:themeColor="text1"/>
          <w:sz w:val="24"/>
          <w:szCs w:val="24"/>
        </w:rPr>
        <w:t>3</w:t>
      </w:r>
      <w:r w:rsidR="006873D5" w:rsidRPr="00A24314">
        <w:rPr>
          <w:rFonts w:ascii="Times New Roman" w:hAnsi="Times New Roman" w:cs="Times New Roman"/>
          <w:i/>
          <w:color w:val="000000" w:themeColor="text1"/>
          <w:sz w:val="24"/>
          <w:szCs w:val="24"/>
        </w:rPr>
        <w:t xml:space="preserve"> la </w:t>
      </w:r>
      <w:r w:rsidR="001D32C5" w:rsidRPr="00A24314">
        <w:rPr>
          <w:rFonts w:ascii="Times New Roman" w:hAnsi="Times New Roman" w:cs="Times New Roman"/>
          <w:i/>
          <w:color w:val="000000" w:themeColor="text1"/>
          <w:sz w:val="24"/>
          <w:szCs w:val="24"/>
        </w:rPr>
        <w:t>Raport</w:t>
      </w:r>
      <w:r w:rsidR="006873D5" w:rsidRPr="00A24314">
        <w:rPr>
          <w:rFonts w:ascii="Times New Roman" w:hAnsi="Times New Roman" w:cs="Times New Roman"/>
          <w:i/>
          <w:color w:val="000000" w:themeColor="text1"/>
          <w:sz w:val="24"/>
          <w:szCs w:val="24"/>
        </w:rPr>
        <w:t>.</w:t>
      </w:r>
    </w:p>
    <w:p w:rsidR="000368EE" w:rsidRPr="00A24314" w:rsidRDefault="00F2349F" w:rsidP="00AB15E3">
      <w:pPr>
        <w:spacing w:line="276" w:lineRule="auto"/>
        <w:jc w:val="both"/>
        <w:rPr>
          <w:rFonts w:ascii="Times New Roman" w:hAnsi="Times New Roman" w:cs="Times New Roman"/>
          <w:i/>
          <w:color w:val="000000" w:themeColor="text1"/>
          <w:sz w:val="24"/>
          <w:szCs w:val="24"/>
        </w:rPr>
      </w:pPr>
      <w:r w:rsidRPr="00A24314">
        <w:rPr>
          <w:rFonts w:ascii="Times New Roman" w:hAnsi="Times New Roman" w:cs="Times New Roman"/>
          <w:color w:val="000000" w:themeColor="text1"/>
          <w:sz w:val="24"/>
          <w:szCs w:val="24"/>
        </w:rPr>
        <w:t xml:space="preserve">Menționăm că, până la data prezentului Raport, </w:t>
      </w:r>
      <w:r w:rsidR="000368EE" w:rsidRPr="00A24314">
        <w:rPr>
          <w:rFonts w:ascii="Times New Roman" w:hAnsi="Times New Roman" w:cs="Times New Roman"/>
          <w:color w:val="000000" w:themeColor="text1"/>
          <w:sz w:val="24"/>
          <w:szCs w:val="24"/>
        </w:rPr>
        <w:t>Ministerul Economiei, Comerțului și Relațiilor cu Mediul de Afaceri, Ministerul pentru Consultare Publică și Dialog Civic și 2 entități publice care sunt exceptate de la raportare  (conform art.8</w:t>
      </w:r>
      <w:r w:rsidR="000368EE" w:rsidRPr="00A24314">
        <w:rPr>
          <w:rFonts w:ascii="Times New Roman" w:hAnsi="Times New Roman" w:cs="Times New Roman"/>
          <w:color w:val="000000" w:themeColor="text1"/>
          <w:sz w:val="28"/>
          <w:szCs w:val="24"/>
          <w:vertAlign w:val="superscript"/>
        </w:rPr>
        <w:t>1</w:t>
      </w:r>
      <w:r w:rsidR="000368EE" w:rsidRPr="00A24314">
        <w:rPr>
          <w:rFonts w:ascii="Times New Roman" w:hAnsi="Times New Roman" w:cs="Times New Roman"/>
          <w:color w:val="000000" w:themeColor="text1"/>
          <w:sz w:val="28"/>
          <w:szCs w:val="24"/>
        </w:rPr>
        <w:t xml:space="preserve">, </w:t>
      </w:r>
      <w:r w:rsidR="000368EE" w:rsidRPr="00A24314">
        <w:rPr>
          <w:rFonts w:ascii="Times New Roman" w:hAnsi="Times New Roman" w:cs="Times New Roman"/>
          <w:color w:val="000000" w:themeColor="text1"/>
          <w:sz w:val="24"/>
          <w:szCs w:val="24"/>
        </w:rPr>
        <w:t xml:space="preserve">alin. 3 din OSGG nr. 400/2015 cu modificările și completările ulterioare): Serviciul de Protecție și Pază și Serviciul de Telecomunicații Speciale </w:t>
      </w:r>
      <w:r w:rsidR="000368EE" w:rsidRPr="00A24314">
        <w:rPr>
          <w:rFonts w:ascii="Times New Roman" w:hAnsi="Times New Roman" w:cs="Times New Roman"/>
          <w:b/>
          <w:color w:val="000000" w:themeColor="text1"/>
          <w:sz w:val="24"/>
          <w:szCs w:val="24"/>
        </w:rPr>
        <w:t xml:space="preserve">nu au depus </w:t>
      </w:r>
      <w:r w:rsidR="000368EE" w:rsidRPr="00A24314">
        <w:rPr>
          <w:rFonts w:ascii="Times New Roman" w:hAnsi="Times New Roman" w:cs="Times New Roman"/>
          <w:i/>
          <w:color w:val="000000" w:themeColor="text1"/>
          <w:sz w:val="24"/>
          <w:szCs w:val="24"/>
        </w:rPr>
        <w:t xml:space="preserve">Anexa 4.3. Raport asupra sistemului de control intern managerial la data de 31 decembrie </w:t>
      </w:r>
      <w:r w:rsidR="0012091D" w:rsidRPr="00A24314">
        <w:rPr>
          <w:rFonts w:ascii="Times New Roman" w:hAnsi="Times New Roman" w:cs="Times New Roman"/>
          <w:i/>
          <w:color w:val="000000" w:themeColor="text1"/>
          <w:sz w:val="24"/>
          <w:szCs w:val="24"/>
        </w:rPr>
        <w:t>2016</w:t>
      </w:r>
      <w:r w:rsidR="000368EE" w:rsidRPr="00A24314">
        <w:rPr>
          <w:rFonts w:ascii="Times New Roman" w:hAnsi="Times New Roman" w:cs="Times New Roman"/>
          <w:i/>
          <w:color w:val="000000" w:themeColor="text1"/>
          <w:sz w:val="24"/>
          <w:szCs w:val="24"/>
        </w:rPr>
        <w:t xml:space="preserve"> conform OSGG nr. 400/2015, cu modificările și completările ulterioare</w:t>
      </w:r>
      <w:r w:rsidR="000368EE" w:rsidRPr="00A24314">
        <w:rPr>
          <w:rFonts w:ascii="Times New Roman" w:hAnsi="Times New Roman" w:cs="Times New Roman"/>
          <w:color w:val="000000" w:themeColor="text1"/>
          <w:sz w:val="24"/>
          <w:szCs w:val="24"/>
        </w:rPr>
        <w:t xml:space="preserve">. </w:t>
      </w:r>
    </w:p>
    <w:p w:rsidR="00CF002C" w:rsidRPr="00A24314" w:rsidRDefault="006873D5" w:rsidP="00A24314">
      <w:pPr>
        <w:spacing w:line="276" w:lineRule="auto"/>
        <w:jc w:val="both"/>
        <w:rPr>
          <w:rFonts w:ascii="Times New Roman" w:hAnsi="Times New Roman" w:cs="Times New Roman"/>
          <w:color w:val="000000" w:themeColor="text1"/>
          <w:sz w:val="24"/>
          <w:szCs w:val="24"/>
        </w:rPr>
      </w:pPr>
      <w:r w:rsidRPr="00A24314">
        <w:rPr>
          <w:rFonts w:ascii="Times New Roman" w:hAnsi="Times New Roman" w:cs="Times New Roman"/>
          <w:color w:val="000000" w:themeColor="text1"/>
          <w:sz w:val="24"/>
          <w:szCs w:val="24"/>
        </w:rPr>
        <w:t>Gradul de conformitate</w:t>
      </w:r>
      <w:r w:rsidR="00BD12AC" w:rsidRPr="00A24314">
        <w:rPr>
          <w:rFonts w:ascii="Times New Roman" w:hAnsi="Times New Roman" w:cs="Times New Roman"/>
          <w:color w:val="000000" w:themeColor="text1"/>
          <w:sz w:val="24"/>
          <w:szCs w:val="24"/>
        </w:rPr>
        <w:t xml:space="preserve"> a sistemului de control intern </w:t>
      </w:r>
      <w:r w:rsidRPr="00A24314">
        <w:rPr>
          <w:rFonts w:ascii="Times New Roman" w:hAnsi="Times New Roman" w:cs="Times New Roman"/>
          <w:color w:val="000000" w:themeColor="text1"/>
          <w:sz w:val="24"/>
          <w:szCs w:val="24"/>
        </w:rPr>
        <w:t>managerial</w:t>
      </w:r>
      <w:r w:rsidR="000E3E01" w:rsidRPr="00A24314">
        <w:rPr>
          <w:rFonts w:ascii="Times New Roman" w:hAnsi="Times New Roman" w:cs="Times New Roman"/>
          <w:color w:val="000000" w:themeColor="text1"/>
          <w:sz w:val="24"/>
          <w:szCs w:val="24"/>
        </w:rPr>
        <w:t>,</w:t>
      </w:r>
      <w:r w:rsidRPr="00A24314">
        <w:rPr>
          <w:rFonts w:ascii="Times New Roman" w:hAnsi="Times New Roman" w:cs="Times New Roman"/>
          <w:color w:val="000000" w:themeColor="text1"/>
          <w:sz w:val="24"/>
          <w:szCs w:val="24"/>
        </w:rPr>
        <w:t xml:space="preserve"> potrivit autoevaluării realizate de către ordonatorii principali de credite, în funcţie de numărul de standarde implementate, la 31 decembrie</w:t>
      </w:r>
      <w:r w:rsidR="00BD12AC" w:rsidRPr="00A24314">
        <w:rPr>
          <w:rFonts w:ascii="Times New Roman" w:hAnsi="Times New Roman" w:cs="Times New Roman"/>
          <w:color w:val="000000" w:themeColor="text1"/>
          <w:sz w:val="24"/>
          <w:szCs w:val="24"/>
        </w:rPr>
        <w:t xml:space="preserve"> 201</w:t>
      </w:r>
      <w:r w:rsidR="000368EE" w:rsidRPr="00A24314">
        <w:rPr>
          <w:rFonts w:ascii="Times New Roman" w:hAnsi="Times New Roman" w:cs="Times New Roman"/>
          <w:color w:val="000000" w:themeColor="text1"/>
          <w:sz w:val="24"/>
          <w:szCs w:val="24"/>
        </w:rPr>
        <w:t>6</w:t>
      </w:r>
      <w:r w:rsidR="00BD12AC" w:rsidRPr="00A24314">
        <w:rPr>
          <w:rFonts w:ascii="Times New Roman" w:hAnsi="Times New Roman" w:cs="Times New Roman"/>
          <w:color w:val="000000" w:themeColor="text1"/>
          <w:sz w:val="24"/>
          <w:szCs w:val="24"/>
        </w:rPr>
        <w:t xml:space="preserve"> </w:t>
      </w:r>
      <w:r w:rsidR="00AE4458" w:rsidRPr="00A24314">
        <w:rPr>
          <w:rFonts w:ascii="Times New Roman" w:hAnsi="Times New Roman" w:cs="Times New Roman"/>
          <w:color w:val="000000" w:themeColor="text1"/>
          <w:sz w:val="24"/>
          <w:szCs w:val="24"/>
        </w:rPr>
        <w:t>comparativ cu 31 decembrie 201</w:t>
      </w:r>
      <w:r w:rsidR="000368EE" w:rsidRPr="00A24314">
        <w:rPr>
          <w:rFonts w:ascii="Times New Roman" w:hAnsi="Times New Roman" w:cs="Times New Roman"/>
          <w:color w:val="000000" w:themeColor="text1"/>
          <w:sz w:val="24"/>
          <w:szCs w:val="24"/>
        </w:rPr>
        <w:t>5</w:t>
      </w:r>
      <w:r w:rsidR="006636B5" w:rsidRPr="00A24314">
        <w:rPr>
          <w:rFonts w:ascii="Times New Roman" w:hAnsi="Times New Roman" w:cs="Times New Roman"/>
          <w:color w:val="000000" w:themeColor="text1"/>
          <w:sz w:val="24"/>
          <w:szCs w:val="24"/>
        </w:rPr>
        <w:t>,</w:t>
      </w:r>
      <w:r w:rsidR="00AE4458" w:rsidRPr="00A24314">
        <w:rPr>
          <w:rFonts w:ascii="Times New Roman" w:hAnsi="Times New Roman" w:cs="Times New Roman"/>
          <w:color w:val="000000" w:themeColor="text1"/>
          <w:sz w:val="24"/>
          <w:szCs w:val="24"/>
        </w:rPr>
        <w:t xml:space="preserve"> </w:t>
      </w:r>
      <w:r w:rsidR="00857AFB" w:rsidRPr="00A24314">
        <w:rPr>
          <w:rFonts w:ascii="Times New Roman" w:hAnsi="Times New Roman" w:cs="Times New Roman"/>
          <w:color w:val="000000" w:themeColor="text1"/>
          <w:sz w:val="24"/>
          <w:szCs w:val="24"/>
        </w:rPr>
        <w:t>se prezintă astfel:</w:t>
      </w:r>
    </w:p>
    <w:p w:rsidR="00B648B3" w:rsidRPr="00B648B3" w:rsidRDefault="00A24314" w:rsidP="00B648B3">
      <w:pPr>
        <w:spacing w:line="276" w:lineRule="auto"/>
        <w:jc w:val="right"/>
        <w:rPr>
          <w:rFonts w:ascii="Times New Roman" w:hAnsi="Times New Roman" w:cs="Times New Roman"/>
          <w:b/>
          <w:bCs/>
          <w:iCs/>
          <w:sz w:val="24"/>
          <w:szCs w:val="24"/>
        </w:rPr>
      </w:pPr>
      <w:r>
        <w:rPr>
          <w:rFonts w:ascii="Times New Roman" w:hAnsi="Times New Roman" w:cs="Times New Roman"/>
          <w:b/>
          <w:bCs/>
          <w:iCs/>
          <w:sz w:val="24"/>
          <w:szCs w:val="24"/>
        </w:rPr>
        <w:t>Tabelul nr.</w:t>
      </w:r>
      <w:r w:rsidR="00B648B3" w:rsidRPr="00B648B3">
        <w:rPr>
          <w:rFonts w:ascii="Times New Roman" w:hAnsi="Times New Roman" w:cs="Times New Roman"/>
          <w:b/>
          <w:bCs/>
          <w:iCs/>
          <w:sz w:val="24"/>
          <w:szCs w:val="24"/>
        </w:rPr>
        <w:t>5</w:t>
      </w:r>
    </w:p>
    <w:p w:rsidR="00EE6692" w:rsidRPr="00EE6692" w:rsidRDefault="00B648B3" w:rsidP="00EE6692">
      <w:pPr>
        <w:spacing w:after="0" w:line="276" w:lineRule="auto"/>
        <w:jc w:val="center"/>
        <w:rPr>
          <w:rFonts w:ascii="Times New Roman" w:hAnsi="Times New Roman" w:cs="Times New Roman"/>
          <w:b/>
          <w:bCs/>
          <w:iCs/>
          <w:color w:val="000000" w:themeColor="text1"/>
          <w:sz w:val="24"/>
          <w:szCs w:val="24"/>
        </w:rPr>
      </w:pPr>
      <w:r w:rsidRPr="00EE6692">
        <w:rPr>
          <w:rFonts w:ascii="Times New Roman" w:hAnsi="Times New Roman" w:cs="Times New Roman"/>
          <w:b/>
          <w:bCs/>
          <w:iCs/>
          <w:color w:val="000000" w:themeColor="text1"/>
          <w:sz w:val="24"/>
          <w:szCs w:val="24"/>
        </w:rPr>
        <w:t>Gradul de conformitate a sistemului de control intern managerial</w:t>
      </w:r>
      <w:r w:rsidR="000E3E01" w:rsidRPr="00EE6692">
        <w:rPr>
          <w:rFonts w:ascii="Times New Roman" w:hAnsi="Times New Roman" w:cs="Times New Roman"/>
          <w:b/>
          <w:bCs/>
          <w:iCs/>
          <w:color w:val="000000" w:themeColor="text1"/>
          <w:sz w:val="24"/>
          <w:szCs w:val="24"/>
        </w:rPr>
        <w:t>,</w:t>
      </w:r>
      <w:r w:rsidRPr="00EE6692">
        <w:rPr>
          <w:rFonts w:ascii="Times New Roman" w:hAnsi="Times New Roman" w:cs="Times New Roman"/>
          <w:b/>
          <w:bCs/>
          <w:iCs/>
          <w:color w:val="000000" w:themeColor="text1"/>
          <w:sz w:val="24"/>
          <w:szCs w:val="24"/>
        </w:rPr>
        <w:t xml:space="preserve"> </w:t>
      </w:r>
    </w:p>
    <w:p w:rsidR="00EE6692" w:rsidRPr="00EE6692" w:rsidRDefault="000E3E01" w:rsidP="00EE6692">
      <w:pPr>
        <w:spacing w:after="0" w:line="276" w:lineRule="auto"/>
        <w:jc w:val="center"/>
        <w:rPr>
          <w:rFonts w:ascii="Times New Roman" w:hAnsi="Times New Roman" w:cs="Times New Roman"/>
          <w:b/>
          <w:bCs/>
          <w:iCs/>
          <w:color w:val="000000" w:themeColor="text1"/>
          <w:sz w:val="24"/>
          <w:szCs w:val="24"/>
        </w:rPr>
      </w:pPr>
      <w:r w:rsidRPr="00EE6692">
        <w:rPr>
          <w:rFonts w:ascii="Times New Roman" w:hAnsi="Times New Roman" w:cs="Times New Roman"/>
          <w:b/>
          <w:bCs/>
          <w:iCs/>
          <w:color w:val="000000" w:themeColor="text1"/>
          <w:sz w:val="24"/>
          <w:szCs w:val="24"/>
        </w:rPr>
        <w:t>în funcție de numărul de standarde implementate,</w:t>
      </w:r>
      <w:r w:rsidR="00B648B3" w:rsidRPr="00EE6692">
        <w:rPr>
          <w:rFonts w:ascii="Times New Roman" w:hAnsi="Times New Roman" w:cs="Times New Roman"/>
          <w:b/>
          <w:bCs/>
          <w:iCs/>
          <w:color w:val="000000" w:themeColor="text1"/>
          <w:sz w:val="24"/>
          <w:szCs w:val="24"/>
        </w:rPr>
        <w:t xml:space="preserve"> </w:t>
      </w:r>
    </w:p>
    <w:p w:rsidR="00B648B3" w:rsidRDefault="00B648B3" w:rsidP="00EE6692">
      <w:pPr>
        <w:spacing w:after="0" w:line="276" w:lineRule="auto"/>
        <w:jc w:val="center"/>
        <w:rPr>
          <w:rFonts w:ascii="Times New Roman" w:hAnsi="Times New Roman" w:cs="Times New Roman"/>
          <w:b/>
          <w:bCs/>
          <w:iCs/>
          <w:color w:val="000000" w:themeColor="text1"/>
          <w:sz w:val="24"/>
          <w:szCs w:val="24"/>
        </w:rPr>
      </w:pPr>
      <w:r w:rsidRPr="00EE6692">
        <w:rPr>
          <w:rFonts w:ascii="Times New Roman" w:hAnsi="Times New Roman" w:cs="Times New Roman"/>
          <w:b/>
          <w:bCs/>
          <w:iCs/>
          <w:color w:val="000000" w:themeColor="text1"/>
          <w:sz w:val="24"/>
          <w:szCs w:val="24"/>
        </w:rPr>
        <w:t>la nivelul ordonatorilor principali de credite</w:t>
      </w:r>
      <w:r w:rsidR="00894AD7" w:rsidRPr="00EE6692">
        <w:rPr>
          <w:rFonts w:ascii="Times New Roman" w:hAnsi="Times New Roman" w:cs="Times New Roman"/>
          <w:b/>
          <w:bCs/>
          <w:iCs/>
          <w:color w:val="000000" w:themeColor="text1"/>
          <w:sz w:val="24"/>
          <w:szCs w:val="24"/>
        </w:rPr>
        <w:t xml:space="preserve"> în </w:t>
      </w:r>
      <w:r w:rsidR="00EE6692" w:rsidRPr="00EE6692">
        <w:rPr>
          <w:rFonts w:ascii="Times New Roman" w:hAnsi="Times New Roman" w:cs="Times New Roman"/>
          <w:b/>
          <w:bCs/>
          <w:iCs/>
          <w:color w:val="000000" w:themeColor="text1"/>
          <w:sz w:val="24"/>
          <w:szCs w:val="24"/>
        </w:rPr>
        <w:t>perioana 2014-</w:t>
      </w:r>
      <w:r w:rsidRPr="00EE6692">
        <w:rPr>
          <w:rFonts w:ascii="Times New Roman" w:hAnsi="Times New Roman" w:cs="Times New Roman"/>
          <w:b/>
          <w:color w:val="000000" w:themeColor="text1"/>
          <w:sz w:val="24"/>
          <w:szCs w:val="24"/>
        </w:rPr>
        <w:t>201</w:t>
      </w:r>
      <w:r w:rsidR="000368EE" w:rsidRPr="00EE6692">
        <w:rPr>
          <w:rFonts w:ascii="Times New Roman" w:hAnsi="Times New Roman" w:cs="Times New Roman"/>
          <w:b/>
          <w:color w:val="000000" w:themeColor="text1"/>
          <w:sz w:val="24"/>
          <w:szCs w:val="24"/>
        </w:rPr>
        <w:t>6</w:t>
      </w:r>
    </w:p>
    <w:p w:rsidR="00EE6692" w:rsidRPr="00EE6692" w:rsidRDefault="00EE6692" w:rsidP="00EE6692">
      <w:pPr>
        <w:spacing w:after="0" w:line="276" w:lineRule="auto"/>
        <w:jc w:val="center"/>
        <w:rPr>
          <w:rFonts w:ascii="Times New Roman" w:hAnsi="Times New Roman" w:cs="Times New Roman"/>
          <w:b/>
          <w:bCs/>
          <w:iCs/>
          <w:color w:val="000000" w:themeColor="text1"/>
          <w:sz w:val="24"/>
          <w:szCs w:val="24"/>
        </w:rPr>
      </w:pPr>
    </w:p>
    <w:tbl>
      <w:tblPr>
        <w:tblW w:w="0" w:type="dxa"/>
        <w:tblInd w:w="-289" w:type="dxa"/>
        <w:tblCellMar>
          <w:left w:w="0" w:type="dxa"/>
          <w:right w:w="0" w:type="dxa"/>
        </w:tblCellMar>
        <w:tblLook w:val="04A0" w:firstRow="1" w:lastRow="0" w:firstColumn="1" w:lastColumn="0" w:noHBand="0" w:noVBand="1"/>
      </w:tblPr>
      <w:tblGrid>
        <w:gridCol w:w="708"/>
        <w:gridCol w:w="2978"/>
        <w:gridCol w:w="709"/>
        <w:gridCol w:w="709"/>
        <w:gridCol w:w="656"/>
        <w:gridCol w:w="709"/>
        <w:gridCol w:w="708"/>
        <w:gridCol w:w="567"/>
        <w:gridCol w:w="709"/>
        <w:gridCol w:w="709"/>
        <w:gridCol w:w="567"/>
      </w:tblGrid>
      <w:tr w:rsidR="00EE6692" w:rsidTr="006E6820">
        <w:trPr>
          <w:trHeight w:val="620"/>
          <w:tblHeader/>
        </w:trPr>
        <w:tc>
          <w:tcPr>
            <w:tcW w:w="708" w:type="dxa"/>
            <w:vMerge w:val="restart"/>
            <w:tcBorders>
              <w:top w:val="single" w:sz="8" w:space="0" w:color="auto"/>
              <w:left w:val="single" w:sz="8" w:space="0" w:color="auto"/>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tcPr>
          <w:p w:rsidR="00EE6692" w:rsidRDefault="00EE6692">
            <w:pPr>
              <w:spacing w:line="276" w:lineRule="auto"/>
              <w:jc w:val="both"/>
              <w:rPr>
                <w:rFonts w:ascii="Times New Roman" w:hAnsi="Times New Roman"/>
                <w:b/>
                <w:bCs/>
                <w:sz w:val="18"/>
                <w:szCs w:val="18"/>
              </w:rPr>
            </w:pPr>
          </w:p>
          <w:p w:rsidR="00EE6692" w:rsidRDefault="00EE6692">
            <w:pPr>
              <w:spacing w:line="276" w:lineRule="auto"/>
              <w:jc w:val="both"/>
              <w:rPr>
                <w:rFonts w:ascii="Times New Roman" w:hAnsi="Times New Roman"/>
                <w:b/>
                <w:bCs/>
                <w:sz w:val="18"/>
                <w:szCs w:val="18"/>
              </w:rPr>
            </w:pPr>
            <w:r>
              <w:rPr>
                <w:rFonts w:ascii="Times New Roman" w:hAnsi="Times New Roman"/>
                <w:b/>
                <w:bCs/>
                <w:sz w:val="18"/>
                <w:szCs w:val="18"/>
              </w:rPr>
              <w:t>Nr. crt.</w:t>
            </w:r>
          </w:p>
        </w:tc>
        <w:tc>
          <w:tcPr>
            <w:tcW w:w="2978" w:type="dxa"/>
            <w:vMerge w:val="restart"/>
            <w:tcBorders>
              <w:top w:val="single" w:sz="8" w:space="0" w:color="auto"/>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tcPr>
          <w:p w:rsidR="00EE6692" w:rsidRDefault="00EE6692">
            <w:pPr>
              <w:spacing w:line="276" w:lineRule="auto"/>
              <w:jc w:val="both"/>
              <w:rPr>
                <w:rFonts w:ascii="Times New Roman" w:hAnsi="Times New Roman"/>
                <w:b/>
                <w:bCs/>
                <w:sz w:val="18"/>
                <w:szCs w:val="18"/>
              </w:rPr>
            </w:pPr>
          </w:p>
          <w:p w:rsidR="00EE6692" w:rsidRDefault="00EE6692">
            <w:pPr>
              <w:spacing w:line="276" w:lineRule="auto"/>
              <w:jc w:val="center"/>
              <w:rPr>
                <w:rFonts w:ascii="Times New Roman" w:hAnsi="Times New Roman"/>
                <w:b/>
                <w:bCs/>
                <w:sz w:val="18"/>
                <w:szCs w:val="18"/>
              </w:rPr>
            </w:pPr>
            <w:r>
              <w:rPr>
                <w:rFonts w:ascii="Times New Roman" w:hAnsi="Times New Roman"/>
                <w:b/>
                <w:bCs/>
                <w:sz w:val="18"/>
                <w:szCs w:val="18"/>
              </w:rPr>
              <w:t>Ordonatori principali de credite</w:t>
            </w:r>
          </w:p>
        </w:tc>
        <w:tc>
          <w:tcPr>
            <w:tcW w:w="1985" w:type="dxa"/>
            <w:gridSpan w:val="3"/>
            <w:tcBorders>
              <w:top w:val="single" w:sz="8" w:space="0" w:color="auto"/>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6E6820">
            <w:pPr>
              <w:pStyle w:val="Default"/>
              <w:spacing w:line="276" w:lineRule="auto"/>
              <w:jc w:val="center"/>
              <w:rPr>
                <w:rFonts w:ascii="Times New Roman" w:hAnsi="Times New Roman" w:cs="Times New Roman"/>
                <w:b/>
                <w:bCs/>
                <w:color w:val="FFF2CC"/>
                <w:sz w:val="18"/>
                <w:szCs w:val="18"/>
              </w:rPr>
            </w:pPr>
            <w:r>
              <w:rPr>
                <w:rFonts w:ascii="Times New Roman" w:hAnsi="Times New Roman" w:cs="Times New Roman"/>
                <w:b/>
                <w:bCs/>
                <w:color w:val="auto"/>
                <w:sz w:val="18"/>
                <w:szCs w:val="18"/>
              </w:rPr>
              <w:t>2014</w:t>
            </w:r>
          </w:p>
        </w:tc>
        <w:tc>
          <w:tcPr>
            <w:tcW w:w="1984" w:type="dxa"/>
            <w:gridSpan w:val="3"/>
            <w:tcBorders>
              <w:top w:val="single" w:sz="8" w:space="0" w:color="auto"/>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EE6692">
            <w:pPr>
              <w:pStyle w:val="Default"/>
              <w:spacing w:line="276" w:lineRule="auto"/>
              <w:jc w:val="center"/>
              <w:rPr>
                <w:rFonts w:ascii="Times New Roman" w:hAnsi="Times New Roman" w:cs="Times New Roman"/>
                <w:b/>
                <w:bCs/>
                <w:sz w:val="18"/>
                <w:szCs w:val="18"/>
              </w:rPr>
            </w:pPr>
            <w:r>
              <w:rPr>
                <w:rFonts w:ascii="Times New Roman" w:hAnsi="Times New Roman" w:cs="Times New Roman"/>
                <w:b/>
                <w:bCs/>
                <w:color w:val="auto"/>
                <w:sz w:val="18"/>
                <w:szCs w:val="18"/>
              </w:rPr>
              <w:t>2015</w:t>
            </w:r>
          </w:p>
        </w:tc>
        <w:tc>
          <w:tcPr>
            <w:tcW w:w="1985" w:type="dxa"/>
            <w:gridSpan w:val="3"/>
            <w:tcBorders>
              <w:top w:val="single" w:sz="8" w:space="0" w:color="auto"/>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EE6692">
            <w:pPr>
              <w:pStyle w:val="Default"/>
              <w:spacing w:line="276" w:lineRule="auto"/>
              <w:ind w:right="33"/>
              <w:jc w:val="center"/>
              <w:rPr>
                <w:rFonts w:ascii="Times New Roman" w:hAnsi="Times New Roman" w:cs="Times New Roman"/>
                <w:b/>
                <w:bCs/>
                <w:color w:val="FF0000"/>
                <w:sz w:val="18"/>
                <w:szCs w:val="18"/>
              </w:rPr>
            </w:pPr>
            <w:r w:rsidRPr="00A24314">
              <w:rPr>
                <w:rFonts w:ascii="Times New Roman" w:hAnsi="Times New Roman" w:cs="Times New Roman"/>
                <w:b/>
                <w:bCs/>
                <w:color w:val="000000" w:themeColor="text1"/>
                <w:sz w:val="18"/>
                <w:szCs w:val="18"/>
              </w:rPr>
              <w:t>2016</w:t>
            </w:r>
          </w:p>
        </w:tc>
      </w:tr>
      <w:tr w:rsidR="00EE6692" w:rsidTr="006E6820">
        <w:trPr>
          <w:tblHeader/>
        </w:trPr>
        <w:tc>
          <w:tcPr>
            <w:tcW w:w="0" w:type="auto"/>
            <w:vMerge/>
            <w:tcBorders>
              <w:top w:val="single" w:sz="8" w:space="0" w:color="auto"/>
              <w:left w:val="single" w:sz="8" w:space="0" w:color="auto"/>
              <w:bottom w:val="single" w:sz="8" w:space="0" w:color="auto"/>
              <w:right w:val="single" w:sz="8" w:space="0" w:color="auto"/>
            </w:tcBorders>
            <w:shd w:val="clear" w:color="auto" w:fill="BDD6EE" w:themeFill="accent1" w:themeFillTint="66"/>
            <w:vAlign w:val="center"/>
            <w:hideMark/>
          </w:tcPr>
          <w:p w:rsidR="00EE6692" w:rsidRDefault="00EE6692">
            <w:pPr>
              <w:rPr>
                <w:rFonts w:ascii="Times New Roman" w:hAnsi="Times New Roman"/>
                <w:b/>
                <w:bCs/>
                <w:sz w:val="18"/>
                <w:szCs w:val="18"/>
              </w:rPr>
            </w:pPr>
          </w:p>
        </w:tc>
        <w:tc>
          <w:tcPr>
            <w:tcW w:w="0" w:type="auto"/>
            <w:vMerge/>
            <w:tcBorders>
              <w:top w:val="single" w:sz="8" w:space="0" w:color="auto"/>
              <w:left w:val="nil"/>
              <w:bottom w:val="single" w:sz="8" w:space="0" w:color="auto"/>
              <w:right w:val="single" w:sz="8" w:space="0" w:color="auto"/>
            </w:tcBorders>
            <w:shd w:val="clear" w:color="auto" w:fill="BDD6EE" w:themeFill="accent1" w:themeFillTint="66"/>
            <w:vAlign w:val="center"/>
            <w:hideMark/>
          </w:tcPr>
          <w:p w:rsidR="00EE6692" w:rsidRDefault="00EE6692">
            <w:pPr>
              <w:rPr>
                <w:rFonts w:ascii="Times New Roman" w:hAnsi="Times New Roman"/>
                <w:b/>
                <w:bCs/>
                <w:sz w:val="18"/>
                <w:szCs w:val="18"/>
              </w:rPr>
            </w:pPr>
          </w:p>
        </w:tc>
        <w:tc>
          <w:tcPr>
            <w:tcW w:w="709"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hideMark/>
          </w:tcPr>
          <w:p w:rsidR="00EE6692" w:rsidRDefault="00EE6692">
            <w:pPr>
              <w:spacing w:line="276" w:lineRule="auto"/>
              <w:ind w:left="-108" w:firstLine="108"/>
              <w:jc w:val="center"/>
              <w:rPr>
                <w:rFonts w:ascii="Times New Roman" w:hAnsi="Times New Roman" w:cs="Times New Roman"/>
                <w:b/>
                <w:bCs/>
                <w:sz w:val="18"/>
                <w:szCs w:val="18"/>
              </w:rPr>
            </w:pPr>
            <w:r>
              <w:rPr>
                <w:rFonts w:ascii="Times New Roman" w:hAnsi="Times New Roman"/>
                <w:b/>
                <w:bCs/>
                <w:sz w:val="18"/>
                <w:szCs w:val="18"/>
              </w:rPr>
              <w:t>C</w:t>
            </w:r>
            <w:r>
              <w:rPr>
                <w:rFonts w:ascii="Times New Roman" w:hAnsi="Times New Roman" w:cs="Times New Roman"/>
                <w:b/>
                <w:bCs/>
                <w:sz w:val="18"/>
                <w:szCs w:val="18"/>
              </w:rPr>
              <w:t>*</w:t>
            </w:r>
          </w:p>
        </w:tc>
        <w:tc>
          <w:tcPr>
            <w:tcW w:w="709"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hideMark/>
          </w:tcPr>
          <w:p w:rsidR="00EE6692" w:rsidRDefault="00EE6692">
            <w:pPr>
              <w:spacing w:line="276" w:lineRule="auto"/>
              <w:jc w:val="center"/>
              <w:rPr>
                <w:rFonts w:ascii="Times New Roman" w:hAnsi="Times New Roman"/>
                <w:b/>
                <w:bCs/>
                <w:sz w:val="18"/>
                <w:szCs w:val="18"/>
              </w:rPr>
            </w:pPr>
            <w:r>
              <w:rPr>
                <w:rFonts w:ascii="Times New Roman" w:hAnsi="Times New Roman"/>
                <w:b/>
                <w:bCs/>
                <w:sz w:val="18"/>
                <w:szCs w:val="18"/>
              </w:rPr>
              <w:t>PC**</w:t>
            </w:r>
          </w:p>
        </w:tc>
        <w:tc>
          <w:tcPr>
            <w:tcW w:w="567"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hideMark/>
          </w:tcPr>
          <w:p w:rsidR="00EE6692" w:rsidRDefault="00EE6692">
            <w:pPr>
              <w:spacing w:line="276" w:lineRule="auto"/>
              <w:jc w:val="center"/>
              <w:rPr>
                <w:rFonts w:ascii="Times New Roman" w:hAnsi="Times New Roman"/>
                <w:b/>
                <w:bCs/>
                <w:sz w:val="18"/>
                <w:szCs w:val="18"/>
              </w:rPr>
            </w:pPr>
            <w:r>
              <w:rPr>
                <w:rFonts w:ascii="Times New Roman" w:hAnsi="Times New Roman"/>
                <w:b/>
                <w:bCs/>
                <w:sz w:val="18"/>
                <w:szCs w:val="18"/>
              </w:rPr>
              <w:t>NC**</w:t>
            </w:r>
          </w:p>
        </w:tc>
        <w:tc>
          <w:tcPr>
            <w:tcW w:w="709"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hideMark/>
          </w:tcPr>
          <w:p w:rsidR="00EE6692" w:rsidRDefault="00EE6692">
            <w:pPr>
              <w:spacing w:line="276" w:lineRule="auto"/>
              <w:jc w:val="center"/>
              <w:rPr>
                <w:rFonts w:ascii="Times New Roman" w:hAnsi="Times New Roman"/>
                <w:b/>
                <w:bCs/>
                <w:sz w:val="18"/>
                <w:szCs w:val="18"/>
              </w:rPr>
            </w:pPr>
            <w:r>
              <w:rPr>
                <w:rFonts w:ascii="Times New Roman" w:hAnsi="Times New Roman"/>
                <w:b/>
                <w:bCs/>
                <w:sz w:val="18"/>
                <w:szCs w:val="18"/>
              </w:rPr>
              <w:t>C</w:t>
            </w:r>
          </w:p>
        </w:tc>
        <w:tc>
          <w:tcPr>
            <w:tcW w:w="708"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hideMark/>
          </w:tcPr>
          <w:p w:rsidR="00EE6692" w:rsidRDefault="00EE6692">
            <w:pPr>
              <w:spacing w:line="276" w:lineRule="auto"/>
              <w:jc w:val="center"/>
              <w:rPr>
                <w:rFonts w:ascii="Times New Roman" w:hAnsi="Times New Roman"/>
                <w:b/>
                <w:bCs/>
                <w:sz w:val="18"/>
                <w:szCs w:val="18"/>
              </w:rPr>
            </w:pPr>
            <w:r>
              <w:rPr>
                <w:rFonts w:ascii="Times New Roman" w:hAnsi="Times New Roman"/>
                <w:b/>
                <w:bCs/>
                <w:sz w:val="18"/>
                <w:szCs w:val="18"/>
              </w:rPr>
              <w:t>PC</w:t>
            </w:r>
          </w:p>
        </w:tc>
        <w:tc>
          <w:tcPr>
            <w:tcW w:w="567"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hideMark/>
          </w:tcPr>
          <w:p w:rsidR="00EE6692" w:rsidRDefault="00EE6692">
            <w:pPr>
              <w:spacing w:line="276" w:lineRule="auto"/>
              <w:jc w:val="center"/>
              <w:rPr>
                <w:rFonts w:ascii="Times New Roman" w:hAnsi="Times New Roman"/>
                <w:b/>
                <w:bCs/>
                <w:sz w:val="18"/>
                <w:szCs w:val="18"/>
              </w:rPr>
            </w:pPr>
            <w:r>
              <w:rPr>
                <w:rFonts w:ascii="Times New Roman" w:hAnsi="Times New Roman"/>
                <w:b/>
                <w:bCs/>
                <w:sz w:val="18"/>
                <w:szCs w:val="18"/>
              </w:rPr>
              <w:t>NC</w:t>
            </w:r>
          </w:p>
        </w:tc>
        <w:tc>
          <w:tcPr>
            <w:tcW w:w="709"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hideMark/>
          </w:tcPr>
          <w:p w:rsidR="00EE6692" w:rsidRPr="00A24314" w:rsidRDefault="00EE6692">
            <w:pPr>
              <w:spacing w:line="276" w:lineRule="auto"/>
              <w:jc w:val="center"/>
              <w:rPr>
                <w:rFonts w:ascii="Times New Roman" w:hAnsi="Times New Roman"/>
                <w:b/>
                <w:bCs/>
                <w:color w:val="000000" w:themeColor="text1"/>
                <w:sz w:val="18"/>
                <w:szCs w:val="18"/>
              </w:rPr>
            </w:pPr>
            <w:r w:rsidRPr="00A24314">
              <w:rPr>
                <w:rFonts w:ascii="Times New Roman" w:hAnsi="Times New Roman"/>
                <w:b/>
                <w:bCs/>
                <w:color w:val="000000" w:themeColor="text1"/>
                <w:sz w:val="18"/>
                <w:szCs w:val="18"/>
              </w:rPr>
              <w:t>C</w:t>
            </w:r>
          </w:p>
        </w:tc>
        <w:tc>
          <w:tcPr>
            <w:tcW w:w="709"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hideMark/>
          </w:tcPr>
          <w:p w:rsidR="00EE6692" w:rsidRPr="00A24314" w:rsidRDefault="00EE6692">
            <w:pPr>
              <w:spacing w:line="276" w:lineRule="auto"/>
              <w:jc w:val="center"/>
              <w:rPr>
                <w:rFonts w:ascii="Times New Roman" w:hAnsi="Times New Roman"/>
                <w:b/>
                <w:bCs/>
                <w:color w:val="000000" w:themeColor="text1"/>
                <w:sz w:val="18"/>
                <w:szCs w:val="18"/>
              </w:rPr>
            </w:pPr>
            <w:r w:rsidRPr="00A24314">
              <w:rPr>
                <w:rFonts w:ascii="Times New Roman" w:hAnsi="Times New Roman"/>
                <w:b/>
                <w:bCs/>
                <w:color w:val="000000" w:themeColor="text1"/>
                <w:sz w:val="18"/>
                <w:szCs w:val="18"/>
              </w:rPr>
              <w:t>PC</w:t>
            </w:r>
          </w:p>
        </w:tc>
        <w:tc>
          <w:tcPr>
            <w:tcW w:w="567"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hideMark/>
          </w:tcPr>
          <w:p w:rsidR="00EE6692" w:rsidRPr="00A24314" w:rsidRDefault="00EE6692">
            <w:pPr>
              <w:spacing w:line="276" w:lineRule="auto"/>
              <w:jc w:val="center"/>
              <w:rPr>
                <w:rFonts w:ascii="Times New Roman" w:hAnsi="Times New Roman"/>
                <w:b/>
                <w:bCs/>
                <w:color w:val="000000" w:themeColor="text1"/>
                <w:sz w:val="18"/>
                <w:szCs w:val="18"/>
              </w:rPr>
            </w:pPr>
            <w:r w:rsidRPr="00A24314">
              <w:rPr>
                <w:rFonts w:ascii="Times New Roman" w:hAnsi="Times New Roman"/>
                <w:b/>
                <w:bCs/>
                <w:color w:val="000000" w:themeColor="text1"/>
                <w:sz w:val="18"/>
                <w:szCs w:val="18"/>
              </w:rPr>
              <w:t>NC</w:t>
            </w: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1.</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ind w:hanging="8"/>
              <w:jc w:val="both"/>
              <w:rPr>
                <w:rFonts w:ascii="Times New Roman" w:hAnsi="Times New Roman"/>
                <w:sz w:val="18"/>
                <w:szCs w:val="18"/>
              </w:rPr>
            </w:pPr>
            <w:r>
              <w:rPr>
                <w:rFonts w:ascii="Times New Roman" w:hAnsi="Times New Roman"/>
                <w:sz w:val="18"/>
                <w:szCs w:val="18"/>
              </w:rPr>
              <w:t>Administraţia Prezidenţială</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2.</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Senatul României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3.</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Camera Deputaţilor</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4.</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Înalta Curte de Casaţie şi Justiţie</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5.</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Curtea Constituţională</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6.</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Consiliul Legislativ</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7.</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Curtea de Conturi a României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8.</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Consiliul Concurenţei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9.</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Avocatul Poporului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10.</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Consiliul Naţional pentru Studierea Arhivelor Securităţii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11.</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rPr>
                <w:rFonts w:ascii="Times New Roman" w:hAnsi="Times New Roman"/>
                <w:sz w:val="18"/>
                <w:szCs w:val="18"/>
              </w:rPr>
            </w:pPr>
            <w:r>
              <w:rPr>
                <w:rFonts w:ascii="Times New Roman" w:hAnsi="Times New Roman"/>
                <w:sz w:val="18"/>
                <w:szCs w:val="18"/>
              </w:rPr>
              <w:t>Consiliul Naţional al Audiovizualului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12.</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Secretariatul General al Guvernului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13.</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Afacerilor Externe</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14.</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Afacerilor Interne</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15.</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Agriculturii şi Dezvoltării Rurale</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16.</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Apărării Naţionale</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17.</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Culturii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18.</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Dezvoltării Regionale şi Administraţiei Publice</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19.</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Economiei, Comerțului și Relațiilor cu Mediul de Afaceri,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color w:val="FF0000"/>
                <w:sz w:val="18"/>
                <w:szCs w:val="18"/>
              </w:rPr>
            </w:pPr>
            <w:r>
              <w:rPr>
                <w:rFonts w:ascii="Times New Roman" w:hAnsi="Times New Roman"/>
                <w:color w:val="FF0000"/>
                <w:sz w:val="18"/>
                <w:szCs w:val="18"/>
              </w:rPr>
              <w:t>-</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color w:val="FF0000"/>
                <w:sz w:val="18"/>
                <w:szCs w:val="18"/>
              </w:rPr>
            </w:pPr>
            <w:r>
              <w:rPr>
                <w:rFonts w:ascii="Times New Roman" w:hAnsi="Times New Roman"/>
                <w:color w:val="FF0000"/>
                <w:sz w:val="18"/>
                <w:szCs w:val="18"/>
              </w:rPr>
              <w:t>-</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color w:val="FF0000"/>
                <w:sz w:val="18"/>
                <w:szCs w:val="18"/>
              </w:rPr>
            </w:pPr>
            <w:r>
              <w:rPr>
                <w:rFonts w:ascii="Times New Roman" w:hAnsi="Times New Roman"/>
                <w:color w:val="FF0000"/>
                <w:sz w:val="18"/>
                <w:szCs w:val="18"/>
              </w:rPr>
              <w:t>-</w:t>
            </w: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20.</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Educaţiei și Cercetării Științifice</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21.</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Finanţelor Publice</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22.</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Fondurilor Europene</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23.</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Justiţiei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24.</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Mediului, Apelor și Pădurilor</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25.</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Muncii, Familiei, Protecţiei Sociale şi Persoanelor Vârstnice</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26.</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Comunicațiilor și  pentru Societatea Informaţională</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27.</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Public</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28.</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Sănătăţii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29.</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rPr>
                <w:rFonts w:ascii="Times New Roman" w:hAnsi="Times New Roman"/>
                <w:sz w:val="18"/>
                <w:szCs w:val="18"/>
              </w:rPr>
            </w:pPr>
            <w:r>
              <w:rPr>
                <w:rFonts w:ascii="Times New Roman" w:hAnsi="Times New Roman"/>
                <w:sz w:val="18"/>
                <w:szCs w:val="18"/>
              </w:rPr>
              <w:t>Ministerul Tineretului si Sportului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30.</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Transporturilor</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31.</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Energiei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32.</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Agenţia Naţională de Integritate</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33.</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Serviciul Român de Informaţii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34.</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Serviciul de Informaţii Externe</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35.</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Serviciul de Protecţie şi Pază</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w:t>
            </w: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36.</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Serviciul de Telecomunicaţii Speciale</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w:t>
            </w: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37.</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Academia Română</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38.</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Autoritatea Naţională Sanitară Veterinară şi pentru Siguranţa Alimentelor</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39.</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Secretariatul de Stat pentru recunoașterea meritelor luptătorilor împotriva regimului comunist instaurat în România în perioada 1945-1989</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40.</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Oficiul Naţional de Prevenire şi Combaterea Spălării Banilor</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color w:val="000000"/>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color w:val="FF0000"/>
                <w:sz w:val="18"/>
                <w:szCs w:val="18"/>
              </w:rPr>
            </w:pPr>
            <w:r w:rsidRPr="00A24314">
              <w:rPr>
                <w:rFonts w:ascii="Times New Roman" w:hAnsi="Times New Roman"/>
                <w:color w:val="000000" w:themeColor="text1"/>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color w:val="FF0000"/>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color w:val="FF0000"/>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41.</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Oficiul Registrului Naţional al Informaţiilor Secrete de Stat</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rPr>
          <w:trHeight w:val="347"/>
        </w:trPr>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42.</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Consiliul Naţional pentru Combaterea Discriminării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43.</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Agenţia Naţională de Presă Agerpres</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44.</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Institutul Cultural Român</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45.</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Societatea Română de Radiodifuziune</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46.</w:t>
            </w:r>
          </w:p>
          <w:p w:rsidR="00EE6692" w:rsidRDefault="00EE6692">
            <w:pPr>
              <w:spacing w:line="276" w:lineRule="auto"/>
              <w:jc w:val="center"/>
              <w:rPr>
                <w:rFonts w:ascii="Times New Roman" w:hAnsi="Times New Roman"/>
                <w:b/>
                <w:bCs/>
                <w:i/>
                <w:iCs/>
                <w:color w:val="FF0000"/>
                <w:sz w:val="18"/>
                <w:szCs w:val="18"/>
              </w:rPr>
            </w:pP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Societatea Română de Televiziune</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47.</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Consiliul Superior al Magistraturii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color w:val="000000"/>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48.</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Autoritatea Electorală Permanentă</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49.</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Autoritatea Naţională de Supraveghere a Prelucrării Datelor cu Caracter Personal</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color w:val="000000"/>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50.</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Consiliul Economic şi Social</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51.</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highlight w:val="yellow"/>
              </w:rPr>
            </w:pPr>
            <w:r>
              <w:rPr>
                <w:rFonts w:ascii="Times New Roman" w:hAnsi="Times New Roman"/>
                <w:sz w:val="18"/>
                <w:szCs w:val="18"/>
              </w:rPr>
              <w:t>Autoritatea Naţională pentru Restituirea Proprietăţilor</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52.</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highlight w:val="yellow"/>
              </w:rPr>
            </w:pPr>
            <w:r>
              <w:rPr>
                <w:rFonts w:ascii="Times New Roman" w:hAnsi="Times New Roman"/>
                <w:sz w:val="18"/>
                <w:szCs w:val="18"/>
              </w:rPr>
              <w:t>Consiliul Naţional de Soluţionare a Contesţatiilor</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b/>
                <w:bCs/>
                <w:i/>
                <w:iCs/>
                <w:color w:val="FF0000"/>
                <w:sz w:val="18"/>
                <w:szCs w:val="18"/>
              </w:rPr>
            </w:pPr>
            <w:r>
              <w:rPr>
                <w:rFonts w:ascii="Times New Roman" w:hAnsi="Times New Roman"/>
                <w:sz w:val="18"/>
                <w:szCs w:val="18"/>
              </w:rPr>
              <w:t>53.</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highlight w:val="yellow"/>
              </w:rPr>
            </w:pPr>
            <w:r>
              <w:rPr>
                <w:rFonts w:ascii="Times New Roman" w:hAnsi="Times New Roman"/>
                <w:sz w:val="18"/>
                <w:szCs w:val="18"/>
              </w:rPr>
              <w:t>Autoritatea pentru Administrarea Activelor Statului</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X</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Pr="00A24314" w:rsidRDefault="00EE6692">
            <w:pPr>
              <w:spacing w:line="276" w:lineRule="auto"/>
              <w:jc w:val="center"/>
              <w:rPr>
                <w:rFonts w:ascii="Times New Roman" w:hAnsi="Times New Roman"/>
                <w:color w:val="000000" w:themeColor="text1"/>
                <w:sz w:val="18"/>
                <w:szCs w:val="18"/>
              </w:rPr>
            </w:pPr>
          </w:p>
        </w:tc>
      </w:tr>
      <w:tr w:rsidR="00EE6692" w:rsidTr="006E6820">
        <w:tc>
          <w:tcPr>
            <w:tcW w:w="708" w:type="dxa"/>
            <w:tcBorders>
              <w:top w:val="nil"/>
              <w:left w:val="single" w:sz="8" w:space="0" w:color="auto"/>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Default="00EE6692">
            <w:pPr>
              <w:spacing w:line="276" w:lineRule="auto"/>
              <w:jc w:val="center"/>
              <w:rPr>
                <w:rFonts w:ascii="Times New Roman" w:hAnsi="Times New Roman"/>
                <w:sz w:val="18"/>
                <w:szCs w:val="18"/>
              </w:rPr>
            </w:pPr>
            <w:r>
              <w:rPr>
                <w:rFonts w:ascii="Times New Roman" w:hAnsi="Times New Roman"/>
                <w:sz w:val="18"/>
                <w:szCs w:val="18"/>
              </w:rPr>
              <w:t>54.</w:t>
            </w:r>
          </w:p>
        </w:tc>
        <w:tc>
          <w:tcPr>
            <w:tcW w:w="297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hideMark/>
          </w:tcPr>
          <w:p w:rsidR="00EE6692" w:rsidRDefault="00EE6692">
            <w:pPr>
              <w:spacing w:line="276" w:lineRule="auto"/>
              <w:jc w:val="both"/>
              <w:rPr>
                <w:rFonts w:ascii="Times New Roman" w:hAnsi="Times New Roman"/>
                <w:sz w:val="18"/>
                <w:szCs w:val="18"/>
              </w:rPr>
            </w:pPr>
            <w:r>
              <w:rPr>
                <w:rFonts w:ascii="Times New Roman" w:hAnsi="Times New Roman"/>
                <w:sz w:val="18"/>
                <w:szCs w:val="18"/>
              </w:rPr>
              <w:t>Ministerul pentru Consultare Publică și Dialog Civic</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8"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tcPr>
          <w:p w:rsidR="00EE6692" w:rsidRDefault="00EE6692">
            <w:pPr>
              <w:spacing w:line="276" w:lineRule="auto"/>
              <w:jc w:val="center"/>
              <w:rPr>
                <w:rFonts w:ascii="Times New Roman" w:hAnsi="Times New Roman"/>
                <w:sz w:val="18"/>
                <w:szCs w:val="18"/>
              </w:rPr>
            </w:pP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w:t>
            </w:r>
          </w:p>
        </w:tc>
        <w:tc>
          <w:tcPr>
            <w:tcW w:w="709"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w:t>
            </w:r>
          </w:p>
        </w:tc>
        <w:tc>
          <w:tcPr>
            <w:tcW w:w="567"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rsidR="00EE6692" w:rsidRPr="00A24314" w:rsidRDefault="00EE6692">
            <w:pPr>
              <w:spacing w:line="276" w:lineRule="auto"/>
              <w:jc w:val="center"/>
              <w:rPr>
                <w:rFonts w:ascii="Times New Roman" w:hAnsi="Times New Roman"/>
                <w:color w:val="000000" w:themeColor="text1"/>
                <w:sz w:val="18"/>
                <w:szCs w:val="18"/>
              </w:rPr>
            </w:pPr>
            <w:r w:rsidRPr="00A24314">
              <w:rPr>
                <w:rFonts w:ascii="Times New Roman" w:hAnsi="Times New Roman"/>
                <w:color w:val="000000" w:themeColor="text1"/>
                <w:sz w:val="18"/>
                <w:szCs w:val="18"/>
              </w:rPr>
              <w:t>-</w:t>
            </w:r>
          </w:p>
        </w:tc>
      </w:tr>
      <w:tr w:rsidR="00EE6692" w:rsidTr="006E6820">
        <w:trPr>
          <w:trHeight w:val="477"/>
        </w:trPr>
        <w:tc>
          <w:tcPr>
            <w:tcW w:w="708" w:type="dxa"/>
            <w:vMerge w:val="restart"/>
            <w:tcBorders>
              <w:top w:val="nil"/>
              <w:left w:val="single" w:sz="8" w:space="0" w:color="auto"/>
              <w:bottom w:val="single" w:sz="8" w:space="0" w:color="auto"/>
              <w:right w:val="single" w:sz="8" w:space="0" w:color="auto"/>
            </w:tcBorders>
            <w:shd w:val="clear" w:color="auto" w:fill="BDD6EE" w:themeFill="accent1" w:themeFillTint="66"/>
            <w:tcMar>
              <w:top w:w="0" w:type="dxa"/>
              <w:left w:w="108" w:type="dxa"/>
              <w:bottom w:w="0" w:type="dxa"/>
              <w:right w:w="108" w:type="dxa"/>
            </w:tcMar>
          </w:tcPr>
          <w:p w:rsidR="00EE6692" w:rsidRDefault="00EE6692">
            <w:pPr>
              <w:spacing w:line="276" w:lineRule="auto"/>
              <w:jc w:val="both"/>
              <w:rPr>
                <w:rFonts w:ascii="Times New Roman" w:hAnsi="Times New Roman"/>
                <w:b/>
                <w:bCs/>
                <w:i/>
                <w:iCs/>
                <w:color w:val="FF0000"/>
                <w:sz w:val="18"/>
                <w:szCs w:val="18"/>
              </w:rPr>
            </w:pPr>
          </w:p>
        </w:tc>
        <w:tc>
          <w:tcPr>
            <w:tcW w:w="2978"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EE6692" w:rsidP="00EE6692">
            <w:pPr>
              <w:spacing w:after="0" w:line="276" w:lineRule="auto"/>
              <w:jc w:val="both"/>
              <w:rPr>
                <w:rFonts w:ascii="Times New Roman" w:hAnsi="Times New Roman"/>
                <w:b/>
                <w:bCs/>
                <w:sz w:val="18"/>
                <w:szCs w:val="18"/>
              </w:rPr>
            </w:pPr>
            <w:r>
              <w:rPr>
                <w:rFonts w:ascii="Times New Roman" w:hAnsi="Times New Roman"/>
                <w:b/>
                <w:bCs/>
                <w:sz w:val="18"/>
                <w:szCs w:val="18"/>
              </w:rPr>
              <w:t>Număr de ordonatori principali de credite</w:t>
            </w:r>
          </w:p>
        </w:tc>
        <w:tc>
          <w:tcPr>
            <w:tcW w:w="709"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EE6692" w:rsidP="00EE6692">
            <w:pPr>
              <w:spacing w:after="0" w:line="276" w:lineRule="auto"/>
              <w:jc w:val="center"/>
              <w:rPr>
                <w:rFonts w:ascii="Times New Roman" w:hAnsi="Times New Roman"/>
                <w:b/>
                <w:bCs/>
                <w:sz w:val="18"/>
                <w:szCs w:val="18"/>
              </w:rPr>
            </w:pPr>
            <w:r>
              <w:rPr>
                <w:rFonts w:ascii="Times New Roman" w:hAnsi="Times New Roman"/>
                <w:b/>
                <w:bCs/>
                <w:sz w:val="18"/>
                <w:szCs w:val="18"/>
              </w:rPr>
              <w:t>13</w:t>
            </w:r>
          </w:p>
        </w:tc>
        <w:tc>
          <w:tcPr>
            <w:tcW w:w="709"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EE6692" w:rsidP="00EE6692">
            <w:pPr>
              <w:spacing w:after="0" w:line="276" w:lineRule="auto"/>
              <w:jc w:val="center"/>
              <w:rPr>
                <w:rFonts w:ascii="Times New Roman" w:hAnsi="Times New Roman"/>
                <w:b/>
                <w:bCs/>
                <w:sz w:val="18"/>
                <w:szCs w:val="18"/>
              </w:rPr>
            </w:pPr>
            <w:r>
              <w:rPr>
                <w:rFonts w:ascii="Times New Roman" w:hAnsi="Times New Roman"/>
                <w:b/>
                <w:bCs/>
                <w:sz w:val="18"/>
                <w:szCs w:val="18"/>
              </w:rPr>
              <w:t>41</w:t>
            </w:r>
          </w:p>
        </w:tc>
        <w:tc>
          <w:tcPr>
            <w:tcW w:w="567"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EE6692" w:rsidP="00EE6692">
            <w:pPr>
              <w:spacing w:after="0" w:line="276" w:lineRule="auto"/>
              <w:jc w:val="center"/>
              <w:rPr>
                <w:rFonts w:ascii="Times New Roman" w:hAnsi="Times New Roman"/>
                <w:b/>
                <w:bCs/>
                <w:sz w:val="18"/>
                <w:szCs w:val="18"/>
              </w:rPr>
            </w:pPr>
            <w:r>
              <w:rPr>
                <w:rFonts w:ascii="Times New Roman" w:hAnsi="Times New Roman"/>
                <w:b/>
                <w:bCs/>
                <w:sz w:val="18"/>
                <w:szCs w:val="18"/>
              </w:rPr>
              <w:t>0</w:t>
            </w:r>
          </w:p>
        </w:tc>
        <w:tc>
          <w:tcPr>
            <w:tcW w:w="709"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EE6692" w:rsidP="00EE6692">
            <w:pPr>
              <w:spacing w:after="0" w:line="276" w:lineRule="auto"/>
              <w:jc w:val="center"/>
              <w:rPr>
                <w:rFonts w:ascii="Times New Roman" w:hAnsi="Times New Roman"/>
                <w:b/>
                <w:bCs/>
                <w:sz w:val="18"/>
                <w:szCs w:val="18"/>
              </w:rPr>
            </w:pPr>
            <w:r>
              <w:rPr>
                <w:rFonts w:ascii="Times New Roman" w:hAnsi="Times New Roman"/>
                <w:b/>
                <w:bCs/>
                <w:sz w:val="18"/>
                <w:szCs w:val="18"/>
              </w:rPr>
              <w:t>15</w:t>
            </w:r>
          </w:p>
        </w:tc>
        <w:tc>
          <w:tcPr>
            <w:tcW w:w="708"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EE6692" w:rsidP="00EE6692">
            <w:pPr>
              <w:spacing w:after="0" w:line="276" w:lineRule="auto"/>
              <w:jc w:val="center"/>
              <w:rPr>
                <w:rFonts w:ascii="Times New Roman" w:hAnsi="Times New Roman"/>
                <w:b/>
                <w:bCs/>
                <w:sz w:val="18"/>
                <w:szCs w:val="18"/>
              </w:rPr>
            </w:pPr>
            <w:r>
              <w:rPr>
                <w:rFonts w:ascii="Times New Roman" w:hAnsi="Times New Roman"/>
                <w:b/>
                <w:bCs/>
                <w:sz w:val="18"/>
                <w:szCs w:val="18"/>
              </w:rPr>
              <w:t>37</w:t>
            </w:r>
          </w:p>
        </w:tc>
        <w:tc>
          <w:tcPr>
            <w:tcW w:w="567"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EE6692" w:rsidP="00EE6692">
            <w:pPr>
              <w:spacing w:after="0" w:line="276" w:lineRule="auto"/>
              <w:jc w:val="center"/>
              <w:rPr>
                <w:rFonts w:ascii="Times New Roman" w:hAnsi="Times New Roman"/>
                <w:b/>
                <w:bCs/>
                <w:sz w:val="18"/>
                <w:szCs w:val="18"/>
              </w:rPr>
            </w:pPr>
            <w:r>
              <w:rPr>
                <w:rFonts w:ascii="Times New Roman" w:hAnsi="Times New Roman"/>
                <w:b/>
                <w:bCs/>
                <w:sz w:val="18"/>
                <w:szCs w:val="18"/>
              </w:rPr>
              <w:t>0</w:t>
            </w:r>
          </w:p>
        </w:tc>
        <w:tc>
          <w:tcPr>
            <w:tcW w:w="709"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Pr="00A24314" w:rsidRDefault="00EE6692" w:rsidP="00EE6692">
            <w:pPr>
              <w:spacing w:after="0" w:line="276" w:lineRule="auto"/>
              <w:jc w:val="center"/>
              <w:rPr>
                <w:rFonts w:ascii="Times New Roman" w:hAnsi="Times New Roman"/>
                <w:b/>
                <w:bCs/>
                <w:color w:val="000000" w:themeColor="text1"/>
                <w:sz w:val="18"/>
                <w:szCs w:val="18"/>
              </w:rPr>
            </w:pPr>
            <w:r w:rsidRPr="00A24314">
              <w:rPr>
                <w:rFonts w:ascii="Times New Roman" w:hAnsi="Times New Roman"/>
                <w:b/>
                <w:bCs/>
                <w:color w:val="000000" w:themeColor="text1"/>
                <w:sz w:val="18"/>
                <w:szCs w:val="18"/>
              </w:rPr>
              <w:t>12</w:t>
            </w:r>
          </w:p>
        </w:tc>
        <w:tc>
          <w:tcPr>
            <w:tcW w:w="709"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Pr="00A24314" w:rsidRDefault="00EE6692" w:rsidP="00EE6692">
            <w:pPr>
              <w:spacing w:after="0" w:line="276" w:lineRule="auto"/>
              <w:jc w:val="center"/>
              <w:rPr>
                <w:rFonts w:ascii="Times New Roman" w:hAnsi="Times New Roman"/>
                <w:b/>
                <w:bCs/>
                <w:color w:val="000000" w:themeColor="text1"/>
                <w:sz w:val="18"/>
                <w:szCs w:val="18"/>
              </w:rPr>
            </w:pPr>
            <w:r w:rsidRPr="00A24314">
              <w:rPr>
                <w:rFonts w:ascii="Times New Roman" w:hAnsi="Times New Roman"/>
                <w:b/>
                <w:bCs/>
                <w:color w:val="000000" w:themeColor="text1"/>
                <w:sz w:val="18"/>
                <w:szCs w:val="18"/>
              </w:rPr>
              <w:t>38</w:t>
            </w:r>
          </w:p>
        </w:tc>
        <w:tc>
          <w:tcPr>
            <w:tcW w:w="567"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Pr="00A24314" w:rsidRDefault="00EE6692" w:rsidP="00EE6692">
            <w:pPr>
              <w:spacing w:after="0" w:line="276" w:lineRule="auto"/>
              <w:jc w:val="center"/>
              <w:rPr>
                <w:rFonts w:ascii="Times New Roman" w:hAnsi="Times New Roman"/>
                <w:b/>
                <w:bCs/>
                <w:color w:val="000000" w:themeColor="text1"/>
                <w:sz w:val="18"/>
                <w:szCs w:val="18"/>
              </w:rPr>
            </w:pPr>
            <w:r w:rsidRPr="00A24314">
              <w:rPr>
                <w:rFonts w:ascii="Times New Roman" w:hAnsi="Times New Roman"/>
                <w:b/>
                <w:bCs/>
                <w:color w:val="000000" w:themeColor="text1"/>
                <w:sz w:val="18"/>
                <w:szCs w:val="18"/>
              </w:rPr>
              <w:t>0</w:t>
            </w:r>
          </w:p>
        </w:tc>
      </w:tr>
      <w:tr w:rsidR="00EE6692" w:rsidTr="006E6820">
        <w:tc>
          <w:tcPr>
            <w:tcW w:w="0" w:type="auto"/>
            <w:vMerge/>
            <w:tcBorders>
              <w:top w:val="nil"/>
              <w:left w:val="single" w:sz="8" w:space="0" w:color="auto"/>
              <w:bottom w:val="single" w:sz="8" w:space="0" w:color="auto"/>
              <w:right w:val="single" w:sz="8" w:space="0" w:color="auto"/>
            </w:tcBorders>
            <w:shd w:val="clear" w:color="auto" w:fill="BDD6EE" w:themeFill="accent1" w:themeFillTint="66"/>
            <w:vAlign w:val="center"/>
            <w:hideMark/>
          </w:tcPr>
          <w:p w:rsidR="00EE6692" w:rsidRDefault="00EE6692">
            <w:pPr>
              <w:rPr>
                <w:rFonts w:ascii="Times New Roman" w:hAnsi="Times New Roman"/>
                <w:b/>
                <w:bCs/>
                <w:i/>
                <w:iCs/>
                <w:color w:val="FF0000"/>
                <w:sz w:val="18"/>
                <w:szCs w:val="18"/>
              </w:rPr>
            </w:pPr>
          </w:p>
        </w:tc>
        <w:tc>
          <w:tcPr>
            <w:tcW w:w="2978"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EE6692" w:rsidP="00EE6692">
            <w:pPr>
              <w:spacing w:after="0" w:line="276" w:lineRule="auto"/>
              <w:jc w:val="both"/>
              <w:rPr>
                <w:rFonts w:ascii="Times New Roman" w:hAnsi="Times New Roman"/>
                <w:b/>
                <w:bCs/>
                <w:sz w:val="18"/>
                <w:szCs w:val="18"/>
              </w:rPr>
            </w:pPr>
            <w:r>
              <w:rPr>
                <w:rFonts w:ascii="Times New Roman" w:hAnsi="Times New Roman"/>
                <w:b/>
                <w:bCs/>
                <w:sz w:val="18"/>
                <w:szCs w:val="18"/>
              </w:rPr>
              <w:t>Gradul de conformitate al sistemului de control intern managerial în funcție de numărul standardelor implementate (%)</w:t>
            </w:r>
          </w:p>
        </w:tc>
        <w:tc>
          <w:tcPr>
            <w:tcW w:w="709"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EE6692" w:rsidP="00EE6692">
            <w:pPr>
              <w:spacing w:after="0" w:line="276" w:lineRule="auto"/>
              <w:jc w:val="center"/>
              <w:rPr>
                <w:rFonts w:ascii="Times New Roman" w:hAnsi="Times New Roman"/>
                <w:b/>
                <w:bCs/>
                <w:sz w:val="18"/>
                <w:szCs w:val="18"/>
              </w:rPr>
            </w:pPr>
            <w:r>
              <w:rPr>
                <w:rFonts w:ascii="Times New Roman" w:hAnsi="Times New Roman"/>
                <w:b/>
                <w:bCs/>
                <w:sz w:val="18"/>
                <w:szCs w:val="18"/>
              </w:rPr>
              <w:t>24,07</w:t>
            </w:r>
          </w:p>
        </w:tc>
        <w:tc>
          <w:tcPr>
            <w:tcW w:w="709"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EE6692" w:rsidP="00EE6692">
            <w:pPr>
              <w:spacing w:after="0" w:line="276" w:lineRule="auto"/>
              <w:jc w:val="center"/>
              <w:rPr>
                <w:rFonts w:ascii="Times New Roman" w:hAnsi="Times New Roman"/>
                <w:b/>
                <w:bCs/>
                <w:sz w:val="18"/>
                <w:szCs w:val="18"/>
              </w:rPr>
            </w:pPr>
            <w:r>
              <w:rPr>
                <w:rFonts w:ascii="Times New Roman" w:hAnsi="Times New Roman"/>
                <w:b/>
                <w:bCs/>
                <w:sz w:val="18"/>
                <w:szCs w:val="18"/>
              </w:rPr>
              <w:t>75,93</w:t>
            </w:r>
          </w:p>
        </w:tc>
        <w:tc>
          <w:tcPr>
            <w:tcW w:w="567"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EE6692" w:rsidP="00EE6692">
            <w:pPr>
              <w:spacing w:after="0" w:line="276" w:lineRule="auto"/>
              <w:jc w:val="center"/>
              <w:rPr>
                <w:rFonts w:ascii="Times New Roman" w:hAnsi="Times New Roman"/>
                <w:b/>
                <w:bCs/>
                <w:sz w:val="18"/>
                <w:szCs w:val="18"/>
              </w:rPr>
            </w:pPr>
            <w:r>
              <w:rPr>
                <w:rFonts w:ascii="Times New Roman" w:hAnsi="Times New Roman"/>
                <w:b/>
                <w:bCs/>
                <w:sz w:val="18"/>
                <w:szCs w:val="18"/>
              </w:rPr>
              <w:t>0,00</w:t>
            </w:r>
          </w:p>
        </w:tc>
        <w:tc>
          <w:tcPr>
            <w:tcW w:w="709"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EE6692" w:rsidP="00EE6692">
            <w:pPr>
              <w:spacing w:after="0" w:line="276" w:lineRule="auto"/>
              <w:jc w:val="center"/>
              <w:rPr>
                <w:rFonts w:ascii="Times New Roman" w:hAnsi="Times New Roman"/>
                <w:b/>
                <w:bCs/>
                <w:sz w:val="18"/>
                <w:szCs w:val="18"/>
              </w:rPr>
            </w:pPr>
            <w:r>
              <w:rPr>
                <w:rFonts w:ascii="Times New Roman" w:hAnsi="Times New Roman"/>
                <w:b/>
                <w:bCs/>
                <w:sz w:val="18"/>
                <w:szCs w:val="18"/>
              </w:rPr>
              <w:t>28,85</w:t>
            </w:r>
          </w:p>
        </w:tc>
        <w:tc>
          <w:tcPr>
            <w:tcW w:w="708"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EE6692" w:rsidP="00EE6692">
            <w:pPr>
              <w:spacing w:after="0" w:line="276" w:lineRule="auto"/>
              <w:jc w:val="center"/>
              <w:rPr>
                <w:rFonts w:ascii="Times New Roman" w:hAnsi="Times New Roman"/>
                <w:b/>
                <w:bCs/>
                <w:sz w:val="18"/>
                <w:szCs w:val="18"/>
              </w:rPr>
            </w:pPr>
            <w:r>
              <w:rPr>
                <w:rFonts w:ascii="Times New Roman" w:hAnsi="Times New Roman"/>
                <w:b/>
                <w:bCs/>
                <w:sz w:val="18"/>
                <w:szCs w:val="18"/>
              </w:rPr>
              <w:t>71,15</w:t>
            </w:r>
          </w:p>
        </w:tc>
        <w:tc>
          <w:tcPr>
            <w:tcW w:w="567"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Default="00EE6692" w:rsidP="00EE6692">
            <w:pPr>
              <w:spacing w:after="0" w:line="276" w:lineRule="auto"/>
              <w:jc w:val="center"/>
              <w:rPr>
                <w:rFonts w:ascii="Times New Roman" w:hAnsi="Times New Roman"/>
                <w:b/>
                <w:bCs/>
                <w:sz w:val="18"/>
                <w:szCs w:val="18"/>
              </w:rPr>
            </w:pPr>
            <w:r>
              <w:rPr>
                <w:rFonts w:ascii="Times New Roman" w:hAnsi="Times New Roman"/>
                <w:b/>
                <w:bCs/>
                <w:sz w:val="18"/>
                <w:szCs w:val="18"/>
              </w:rPr>
              <w:t>0,00</w:t>
            </w:r>
          </w:p>
        </w:tc>
        <w:tc>
          <w:tcPr>
            <w:tcW w:w="709"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Pr="00A24314" w:rsidRDefault="00EE6692" w:rsidP="00EE6692">
            <w:pPr>
              <w:spacing w:after="0" w:line="276" w:lineRule="auto"/>
              <w:jc w:val="center"/>
              <w:rPr>
                <w:rFonts w:ascii="Times New Roman" w:hAnsi="Times New Roman"/>
                <w:b/>
                <w:bCs/>
                <w:color w:val="000000" w:themeColor="text1"/>
                <w:sz w:val="18"/>
                <w:szCs w:val="18"/>
              </w:rPr>
            </w:pPr>
            <w:r w:rsidRPr="00A24314">
              <w:rPr>
                <w:rFonts w:ascii="Times New Roman" w:hAnsi="Times New Roman"/>
                <w:b/>
                <w:bCs/>
                <w:color w:val="000000" w:themeColor="text1"/>
                <w:sz w:val="18"/>
                <w:szCs w:val="18"/>
              </w:rPr>
              <w:t>24,00</w:t>
            </w:r>
          </w:p>
        </w:tc>
        <w:tc>
          <w:tcPr>
            <w:tcW w:w="709"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Pr="00A24314" w:rsidRDefault="00EE6692" w:rsidP="00EE6692">
            <w:pPr>
              <w:spacing w:after="0" w:line="276" w:lineRule="auto"/>
              <w:jc w:val="center"/>
              <w:rPr>
                <w:rFonts w:ascii="Times New Roman" w:hAnsi="Times New Roman"/>
                <w:b/>
                <w:bCs/>
                <w:color w:val="000000" w:themeColor="text1"/>
                <w:sz w:val="18"/>
                <w:szCs w:val="18"/>
              </w:rPr>
            </w:pPr>
            <w:r w:rsidRPr="00A24314">
              <w:rPr>
                <w:rFonts w:ascii="Times New Roman" w:hAnsi="Times New Roman"/>
                <w:b/>
                <w:bCs/>
                <w:color w:val="000000" w:themeColor="text1"/>
                <w:sz w:val="18"/>
                <w:szCs w:val="18"/>
              </w:rPr>
              <w:t>76,00</w:t>
            </w:r>
          </w:p>
        </w:tc>
        <w:tc>
          <w:tcPr>
            <w:tcW w:w="567" w:type="dxa"/>
            <w:tcBorders>
              <w:top w:val="nil"/>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EE6692" w:rsidRPr="00A24314" w:rsidRDefault="00EE6692" w:rsidP="00EE6692">
            <w:pPr>
              <w:spacing w:after="0" w:line="276" w:lineRule="auto"/>
              <w:jc w:val="center"/>
              <w:rPr>
                <w:rFonts w:ascii="Times New Roman" w:hAnsi="Times New Roman"/>
                <w:b/>
                <w:bCs/>
                <w:color w:val="000000" w:themeColor="text1"/>
                <w:sz w:val="18"/>
                <w:szCs w:val="18"/>
              </w:rPr>
            </w:pPr>
            <w:r w:rsidRPr="00A24314">
              <w:rPr>
                <w:rFonts w:ascii="Times New Roman" w:hAnsi="Times New Roman"/>
                <w:b/>
                <w:bCs/>
                <w:color w:val="000000" w:themeColor="text1"/>
                <w:sz w:val="18"/>
                <w:szCs w:val="18"/>
              </w:rPr>
              <w:t>0,00</w:t>
            </w:r>
          </w:p>
        </w:tc>
      </w:tr>
    </w:tbl>
    <w:p w:rsidR="00EE6692" w:rsidRPr="00EE6692" w:rsidRDefault="00EE6692" w:rsidP="00EE6692">
      <w:pPr>
        <w:spacing w:after="0" w:line="240" w:lineRule="auto"/>
        <w:rPr>
          <w:rFonts w:ascii="Times New Roman" w:hAnsi="Times New Roman" w:cs="Times New Roman"/>
          <w:b/>
          <w:i/>
        </w:rPr>
      </w:pPr>
      <w:r w:rsidRPr="00EE6692">
        <w:rPr>
          <w:rFonts w:ascii="Times New Roman" w:hAnsi="Times New Roman" w:cs="Times New Roman"/>
          <w:b/>
          <w:i/>
        </w:rPr>
        <w:t>NOTA</w:t>
      </w:r>
    </w:p>
    <w:p w:rsidR="00EE6692" w:rsidRPr="00EE6692" w:rsidRDefault="00EE6692" w:rsidP="00EE6692">
      <w:pPr>
        <w:spacing w:after="0" w:line="240" w:lineRule="auto"/>
        <w:rPr>
          <w:rFonts w:ascii="Times New Roman" w:hAnsi="Times New Roman" w:cs="Times New Roman"/>
          <w:i/>
        </w:rPr>
      </w:pPr>
      <w:r w:rsidRPr="00EE6692">
        <w:rPr>
          <w:rFonts w:ascii="Times New Roman" w:hAnsi="Times New Roman" w:cs="Times New Roman"/>
          <w:i/>
        </w:rPr>
        <w:t xml:space="preserve">* </w:t>
      </w:r>
      <w:r w:rsidRPr="00EE6692">
        <w:rPr>
          <w:rFonts w:ascii="Times New Roman" w:hAnsi="Times New Roman" w:cs="Times New Roman"/>
          <w:i/>
        </w:rPr>
        <w:tab/>
        <w:t>Conform</w:t>
      </w:r>
    </w:p>
    <w:p w:rsidR="00EE6692" w:rsidRPr="00EE6692" w:rsidRDefault="00EE6692" w:rsidP="00EE6692">
      <w:pPr>
        <w:spacing w:after="0" w:line="240" w:lineRule="auto"/>
        <w:rPr>
          <w:rFonts w:ascii="Times New Roman" w:hAnsi="Times New Roman" w:cs="Times New Roman"/>
          <w:i/>
        </w:rPr>
      </w:pPr>
      <w:r w:rsidRPr="00EE6692">
        <w:rPr>
          <w:rFonts w:ascii="Times New Roman" w:hAnsi="Times New Roman" w:cs="Times New Roman"/>
          <w:i/>
        </w:rPr>
        <w:t xml:space="preserve">** </w:t>
      </w:r>
      <w:r w:rsidRPr="00EE6692">
        <w:rPr>
          <w:rFonts w:ascii="Times New Roman" w:hAnsi="Times New Roman" w:cs="Times New Roman"/>
          <w:i/>
        </w:rPr>
        <w:tab/>
        <w:t>Parțial conform</w:t>
      </w:r>
    </w:p>
    <w:p w:rsidR="00EE6692" w:rsidRPr="00EE6692" w:rsidRDefault="00EE6692" w:rsidP="00EE6692">
      <w:pPr>
        <w:spacing w:after="0" w:line="240" w:lineRule="auto"/>
        <w:rPr>
          <w:rFonts w:ascii="Times New Roman" w:hAnsi="Times New Roman" w:cs="Times New Roman"/>
          <w:i/>
        </w:rPr>
      </w:pPr>
      <w:r w:rsidRPr="00EE6692">
        <w:rPr>
          <w:rFonts w:ascii="Times New Roman" w:hAnsi="Times New Roman" w:cs="Times New Roman"/>
          <w:i/>
        </w:rPr>
        <w:t xml:space="preserve">*** </w:t>
      </w:r>
      <w:r w:rsidRPr="00EE6692">
        <w:rPr>
          <w:rFonts w:ascii="Times New Roman" w:hAnsi="Times New Roman" w:cs="Times New Roman"/>
          <w:i/>
        </w:rPr>
        <w:tab/>
        <w:t>Neconform</w:t>
      </w:r>
    </w:p>
    <w:p w:rsidR="00C964D9" w:rsidRDefault="00C964D9" w:rsidP="008B147C">
      <w:pPr>
        <w:pStyle w:val="ListParagraph"/>
        <w:spacing w:line="276" w:lineRule="auto"/>
        <w:ind w:left="0"/>
        <w:jc w:val="both"/>
        <w:rPr>
          <w:rFonts w:ascii="Times New Roman" w:hAnsi="Times New Roman" w:cs="Times New Roman"/>
          <w:bCs/>
          <w:i/>
          <w:iCs/>
          <w:sz w:val="24"/>
          <w:szCs w:val="24"/>
        </w:rPr>
      </w:pPr>
      <w:r>
        <w:rPr>
          <w:rFonts w:ascii="Times New Roman" w:hAnsi="Times New Roman" w:cs="Times New Roman"/>
          <w:bCs/>
          <w:i/>
          <w:iCs/>
          <w:sz w:val="24"/>
          <w:szCs w:val="24"/>
        </w:rPr>
        <w:t>În concluzie, din analiza</w:t>
      </w:r>
      <w:r w:rsidR="00853803">
        <w:rPr>
          <w:rFonts w:ascii="Times New Roman" w:hAnsi="Times New Roman" w:cs="Times New Roman"/>
          <w:bCs/>
          <w:i/>
          <w:iCs/>
          <w:sz w:val="24"/>
          <w:szCs w:val="24"/>
        </w:rPr>
        <w:t xml:space="preserve"> comparativă în perioada</w:t>
      </w:r>
      <w:r w:rsidR="004A173B">
        <w:rPr>
          <w:rFonts w:ascii="Times New Roman" w:hAnsi="Times New Roman" w:cs="Times New Roman"/>
          <w:bCs/>
          <w:i/>
          <w:iCs/>
          <w:sz w:val="24"/>
          <w:szCs w:val="24"/>
        </w:rPr>
        <w:t xml:space="preserve"> </w:t>
      </w:r>
      <w:r w:rsidR="004A173B" w:rsidRPr="00853803">
        <w:rPr>
          <w:rFonts w:ascii="Times New Roman" w:hAnsi="Times New Roman" w:cs="Times New Roman"/>
          <w:b/>
          <w:bCs/>
          <w:i/>
          <w:iCs/>
          <w:color w:val="000000" w:themeColor="text1"/>
          <w:sz w:val="24"/>
          <w:szCs w:val="24"/>
        </w:rPr>
        <w:t>201</w:t>
      </w:r>
      <w:r w:rsidR="008B147C" w:rsidRPr="00853803">
        <w:rPr>
          <w:rFonts w:ascii="Times New Roman" w:hAnsi="Times New Roman" w:cs="Times New Roman"/>
          <w:b/>
          <w:bCs/>
          <w:i/>
          <w:iCs/>
          <w:color w:val="000000" w:themeColor="text1"/>
          <w:sz w:val="24"/>
          <w:szCs w:val="24"/>
        </w:rPr>
        <w:t>4</w:t>
      </w:r>
      <w:r w:rsidR="008D2F79" w:rsidRPr="00853803">
        <w:rPr>
          <w:rFonts w:ascii="Times New Roman" w:hAnsi="Times New Roman" w:cs="Times New Roman"/>
          <w:b/>
          <w:bCs/>
          <w:i/>
          <w:iCs/>
          <w:color w:val="000000" w:themeColor="text1"/>
          <w:sz w:val="24"/>
          <w:szCs w:val="24"/>
        </w:rPr>
        <w:t xml:space="preserve"> </w:t>
      </w:r>
      <w:r w:rsidR="004A173B" w:rsidRPr="00853803">
        <w:rPr>
          <w:rFonts w:ascii="Times New Roman" w:hAnsi="Times New Roman" w:cs="Times New Roman"/>
          <w:b/>
          <w:bCs/>
          <w:i/>
          <w:iCs/>
          <w:color w:val="000000" w:themeColor="text1"/>
          <w:sz w:val="24"/>
          <w:szCs w:val="24"/>
        </w:rPr>
        <w:t>-</w:t>
      </w:r>
      <w:r w:rsidR="008D2F79" w:rsidRPr="00853803">
        <w:rPr>
          <w:rFonts w:ascii="Times New Roman" w:hAnsi="Times New Roman" w:cs="Times New Roman"/>
          <w:b/>
          <w:bCs/>
          <w:i/>
          <w:iCs/>
          <w:color w:val="000000" w:themeColor="text1"/>
          <w:sz w:val="24"/>
          <w:szCs w:val="24"/>
        </w:rPr>
        <w:t xml:space="preserve"> </w:t>
      </w:r>
      <w:r w:rsidR="004A173B" w:rsidRPr="00853803">
        <w:rPr>
          <w:rFonts w:ascii="Times New Roman" w:hAnsi="Times New Roman" w:cs="Times New Roman"/>
          <w:b/>
          <w:bCs/>
          <w:i/>
          <w:iCs/>
          <w:color w:val="000000" w:themeColor="text1"/>
          <w:sz w:val="24"/>
          <w:szCs w:val="24"/>
        </w:rPr>
        <w:t>201</w:t>
      </w:r>
      <w:r w:rsidR="009440A8" w:rsidRPr="00853803">
        <w:rPr>
          <w:rFonts w:ascii="Times New Roman" w:hAnsi="Times New Roman" w:cs="Times New Roman"/>
          <w:b/>
          <w:bCs/>
          <w:i/>
          <w:iCs/>
          <w:color w:val="000000" w:themeColor="text1"/>
          <w:sz w:val="24"/>
          <w:szCs w:val="24"/>
        </w:rPr>
        <w:t>6</w:t>
      </w:r>
      <w:r w:rsidR="008D2F79">
        <w:rPr>
          <w:rFonts w:ascii="Times New Roman" w:hAnsi="Times New Roman" w:cs="Times New Roman"/>
          <w:bCs/>
          <w:i/>
          <w:iCs/>
          <w:sz w:val="24"/>
          <w:szCs w:val="24"/>
        </w:rPr>
        <w:t xml:space="preserve">, </w:t>
      </w:r>
      <w:r>
        <w:rPr>
          <w:rFonts w:ascii="Times New Roman" w:hAnsi="Times New Roman" w:cs="Times New Roman"/>
          <w:bCs/>
          <w:i/>
          <w:iCs/>
          <w:sz w:val="24"/>
          <w:szCs w:val="24"/>
        </w:rPr>
        <w:t xml:space="preserve">gradul de conformitate al </w:t>
      </w:r>
      <w:r w:rsidR="008D2F79" w:rsidRPr="008D2F79">
        <w:rPr>
          <w:rFonts w:ascii="Times New Roman" w:hAnsi="Times New Roman" w:cs="Times New Roman"/>
          <w:bCs/>
          <w:i/>
          <w:iCs/>
          <w:sz w:val="24"/>
          <w:szCs w:val="24"/>
        </w:rPr>
        <w:t>sistemului de control intern managerial</w:t>
      </w:r>
      <w:r w:rsidR="008D2F79">
        <w:rPr>
          <w:rFonts w:ascii="Times New Roman" w:hAnsi="Times New Roman" w:cs="Times New Roman"/>
          <w:bCs/>
          <w:i/>
          <w:iCs/>
          <w:sz w:val="24"/>
          <w:szCs w:val="24"/>
        </w:rPr>
        <w:t>,</w:t>
      </w:r>
      <w:r w:rsidR="008D2F79" w:rsidRPr="008D2F79">
        <w:rPr>
          <w:rFonts w:ascii="Times New Roman" w:hAnsi="Times New Roman" w:cs="Times New Roman"/>
          <w:bCs/>
          <w:i/>
          <w:iCs/>
          <w:sz w:val="24"/>
          <w:szCs w:val="24"/>
        </w:rPr>
        <w:t xml:space="preserve"> în funcție de numărul standardelor implementate</w:t>
      </w:r>
      <w:r>
        <w:rPr>
          <w:rFonts w:ascii="Times New Roman" w:hAnsi="Times New Roman" w:cs="Times New Roman"/>
          <w:bCs/>
          <w:i/>
          <w:iCs/>
          <w:sz w:val="24"/>
          <w:szCs w:val="24"/>
        </w:rPr>
        <w:t xml:space="preserve"> la nivelul </w:t>
      </w:r>
      <w:r w:rsidR="00320521">
        <w:rPr>
          <w:rFonts w:ascii="Times New Roman" w:hAnsi="Times New Roman" w:cs="Times New Roman"/>
          <w:bCs/>
          <w:i/>
          <w:iCs/>
          <w:sz w:val="24"/>
          <w:szCs w:val="24"/>
        </w:rPr>
        <w:t xml:space="preserve">ordonatorilor principali de credite, </w:t>
      </w:r>
      <w:r w:rsidR="004A173B">
        <w:rPr>
          <w:rFonts w:ascii="Times New Roman" w:hAnsi="Times New Roman" w:cs="Times New Roman"/>
          <w:bCs/>
          <w:i/>
          <w:iCs/>
          <w:sz w:val="24"/>
          <w:szCs w:val="24"/>
        </w:rPr>
        <w:t>se prezintă</w:t>
      </w:r>
      <w:r>
        <w:rPr>
          <w:rFonts w:ascii="Times New Roman" w:hAnsi="Times New Roman" w:cs="Times New Roman"/>
          <w:bCs/>
          <w:i/>
          <w:iCs/>
          <w:sz w:val="24"/>
          <w:szCs w:val="24"/>
        </w:rPr>
        <w:t xml:space="preserve"> </w:t>
      </w:r>
      <w:r w:rsidR="008D2F79">
        <w:rPr>
          <w:rFonts w:ascii="Times New Roman" w:hAnsi="Times New Roman" w:cs="Times New Roman"/>
          <w:bCs/>
          <w:i/>
          <w:iCs/>
          <w:sz w:val="24"/>
          <w:szCs w:val="24"/>
        </w:rPr>
        <w:t>grafic</w:t>
      </w:r>
      <w:r w:rsidR="002C458B">
        <w:rPr>
          <w:rFonts w:ascii="Times New Roman" w:hAnsi="Times New Roman" w:cs="Times New Roman"/>
          <w:bCs/>
          <w:i/>
          <w:iCs/>
          <w:sz w:val="24"/>
          <w:szCs w:val="24"/>
        </w:rPr>
        <w:t xml:space="preserve"> </w:t>
      </w:r>
      <w:r>
        <w:rPr>
          <w:rFonts w:ascii="Times New Roman" w:hAnsi="Times New Roman" w:cs="Times New Roman"/>
          <w:bCs/>
          <w:i/>
          <w:iCs/>
          <w:sz w:val="24"/>
          <w:szCs w:val="24"/>
        </w:rPr>
        <w:t>astfel:</w:t>
      </w:r>
    </w:p>
    <w:p w:rsidR="008B147C" w:rsidRDefault="008B147C" w:rsidP="008B147C">
      <w:pPr>
        <w:pStyle w:val="ListParagraph"/>
        <w:spacing w:line="276" w:lineRule="auto"/>
        <w:ind w:left="0"/>
        <w:jc w:val="both"/>
        <w:rPr>
          <w:rFonts w:ascii="Times New Roman" w:hAnsi="Times New Roman" w:cs="Times New Roman"/>
          <w:bCs/>
          <w:i/>
          <w:iCs/>
          <w:sz w:val="24"/>
          <w:szCs w:val="24"/>
        </w:rPr>
      </w:pPr>
    </w:p>
    <w:p w:rsidR="00EF5ABB" w:rsidRDefault="00EF5ABB" w:rsidP="008B147C">
      <w:pPr>
        <w:pStyle w:val="ListParagraph"/>
        <w:spacing w:line="276" w:lineRule="auto"/>
        <w:ind w:left="0"/>
        <w:jc w:val="both"/>
        <w:rPr>
          <w:rFonts w:ascii="Times New Roman" w:hAnsi="Times New Roman" w:cs="Times New Roman"/>
          <w:bCs/>
          <w:i/>
          <w:iCs/>
          <w:sz w:val="24"/>
          <w:szCs w:val="24"/>
        </w:rPr>
      </w:pPr>
      <w:r>
        <w:rPr>
          <w:rFonts w:ascii="Times New Roman" w:hAnsi="Times New Roman" w:cs="Times New Roman"/>
          <w:noProof/>
          <w:sz w:val="24"/>
          <w:szCs w:val="24"/>
          <w:lang w:eastAsia="ro-RO"/>
        </w:rPr>
        <w:drawing>
          <wp:inline distT="0" distB="0" distL="0" distR="0" wp14:anchorId="1BF4473F" wp14:editId="055E0937">
            <wp:extent cx="5956935" cy="2759710"/>
            <wp:effectExtent l="0" t="0" r="5715" b="254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EF5ABB" w:rsidRDefault="00EF5ABB" w:rsidP="008B147C">
      <w:pPr>
        <w:pStyle w:val="ListParagraph"/>
        <w:spacing w:line="276" w:lineRule="auto"/>
        <w:ind w:left="0"/>
        <w:jc w:val="both"/>
        <w:rPr>
          <w:rFonts w:ascii="Times New Roman" w:hAnsi="Times New Roman" w:cs="Times New Roman"/>
          <w:bCs/>
          <w:i/>
          <w:iCs/>
          <w:sz w:val="24"/>
          <w:szCs w:val="24"/>
        </w:rPr>
      </w:pPr>
    </w:p>
    <w:p w:rsidR="008B147C" w:rsidRDefault="008B147C" w:rsidP="008B147C">
      <w:pPr>
        <w:pStyle w:val="ListParagraph"/>
        <w:spacing w:line="276" w:lineRule="auto"/>
        <w:ind w:left="0"/>
        <w:jc w:val="both"/>
        <w:rPr>
          <w:rFonts w:ascii="Times New Roman" w:hAnsi="Times New Roman" w:cs="Times New Roman"/>
          <w:i/>
          <w:sz w:val="24"/>
          <w:szCs w:val="24"/>
        </w:rPr>
      </w:pPr>
      <w:r>
        <w:rPr>
          <w:rFonts w:ascii="Times New Roman" w:hAnsi="Times New Roman" w:cs="Times New Roman"/>
          <w:noProof/>
          <w:sz w:val="24"/>
          <w:szCs w:val="24"/>
          <w:lang w:eastAsia="ro-RO"/>
        </w:rPr>
        <w:drawing>
          <wp:inline distT="0" distB="0" distL="0" distR="0">
            <wp:extent cx="5956935" cy="2759710"/>
            <wp:effectExtent l="0" t="0" r="5715" b="254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8B147C" w:rsidRDefault="008B147C" w:rsidP="008B147C">
      <w:pPr>
        <w:pStyle w:val="ListParagraph"/>
        <w:spacing w:line="276" w:lineRule="auto"/>
        <w:ind w:left="0"/>
        <w:jc w:val="both"/>
        <w:rPr>
          <w:rFonts w:ascii="Times New Roman" w:hAnsi="Times New Roman" w:cs="Times New Roman"/>
          <w:i/>
          <w:sz w:val="24"/>
          <w:szCs w:val="24"/>
        </w:rPr>
      </w:pPr>
    </w:p>
    <w:p w:rsidR="002A364C" w:rsidRPr="00A24314" w:rsidRDefault="00845852" w:rsidP="00A24314">
      <w:pPr>
        <w:pStyle w:val="ListParagraph"/>
        <w:spacing w:after="120" w:line="276" w:lineRule="auto"/>
        <w:ind w:left="0"/>
        <w:contextualSpacing w:val="0"/>
        <w:jc w:val="both"/>
        <w:rPr>
          <w:rFonts w:ascii="Times New Roman" w:hAnsi="Times New Roman" w:cs="Times New Roman"/>
          <w:sz w:val="24"/>
          <w:szCs w:val="24"/>
        </w:rPr>
      </w:pPr>
      <w:r w:rsidRPr="00A24314">
        <w:rPr>
          <w:rFonts w:ascii="Times New Roman" w:hAnsi="Times New Roman" w:cs="Times New Roman"/>
          <w:sz w:val="24"/>
          <w:szCs w:val="24"/>
        </w:rPr>
        <w:t>Stadiul implementării s</w:t>
      </w:r>
      <w:r w:rsidR="006636B5" w:rsidRPr="00A24314">
        <w:rPr>
          <w:rFonts w:ascii="Times New Roman" w:hAnsi="Times New Roman" w:cs="Times New Roman"/>
          <w:sz w:val="24"/>
          <w:szCs w:val="24"/>
        </w:rPr>
        <w:t>istemul</w:t>
      </w:r>
      <w:r w:rsidRPr="00A24314">
        <w:rPr>
          <w:rFonts w:ascii="Times New Roman" w:hAnsi="Times New Roman" w:cs="Times New Roman"/>
          <w:sz w:val="24"/>
          <w:szCs w:val="24"/>
        </w:rPr>
        <w:t>ui</w:t>
      </w:r>
      <w:r w:rsidR="006636B5" w:rsidRPr="00A24314">
        <w:rPr>
          <w:rFonts w:ascii="Times New Roman" w:hAnsi="Times New Roman" w:cs="Times New Roman"/>
          <w:sz w:val="24"/>
          <w:szCs w:val="24"/>
        </w:rPr>
        <w:t xml:space="preserve"> de control intern managerial </w:t>
      </w:r>
      <w:r w:rsidR="002A364C" w:rsidRPr="00A24314">
        <w:rPr>
          <w:rFonts w:ascii="Times New Roman" w:hAnsi="Times New Roman" w:cs="Times New Roman"/>
          <w:sz w:val="24"/>
          <w:szCs w:val="24"/>
        </w:rPr>
        <w:t xml:space="preserve">la nivelul celor </w:t>
      </w:r>
      <w:r w:rsidR="00A022DC" w:rsidRPr="00A24314">
        <w:rPr>
          <w:rFonts w:ascii="Times New Roman" w:hAnsi="Times New Roman" w:cs="Times New Roman"/>
          <w:sz w:val="24"/>
          <w:szCs w:val="24"/>
        </w:rPr>
        <w:t>5</w:t>
      </w:r>
      <w:r w:rsidR="009440A8" w:rsidRPr="00A24314">
        <w:rPr>
          <w:rFonts w:ascii="Times New Roman" w:hAnsi="Times New Roman" w:cs="Times New Roman"/>
          <w:sz w:val="24"/>
          <w:szCs w:val="24"/>
        </w:rPr>
        <w:t>0</w:t>
      </w:r>
      <w:r w:rsidR="002A364C" w:rsidRPr="00A24314">
        <w:rPr>
          <w:rFonts w:ascii="Times New Roman" w:hAnsi="Times New Roman" w:cs="Times New Roman"/>
          <w:sz w:val="24"/>
          <w:szCs w:val="24"/>
        </w:rPr>
        <w:t xml:space="preserve"> de or</w:t>
      </w:r>
      <w:r w:rsidR="00046915" w:rsidRPr="00A24314">
        <w:rPr>
          <w:rFonts w:ascii="Times New Roman" w:hAnsi="Times New Roman" w:cs="Times New Roman"/>
          <w:sz w:val="24"/>
          <w:szCs w:val="24"/>
        </w:rPr>
        <w:t>donatori principali de credite</w:t>
      </w:r>
      <w:r w:rsidR="002A364C" w:rsidRPr="00A24314">
        <w:rPr>
          <w:rFonts w:ascii="Times New Roman" w:hAnsi="Times New Roman" w:cs="Times New Roman"/>
          <w:sz w:val="24"/>
          <w:szCs w:val="24"/>
        </w:rPr>
        <w:t xml:space="preserve">, </w:t>
      </w:r>
      <w:r w:rsidR="006636B5" w:rsidRPr="00A24314">
        <w:rPr>
          <w:rFonts w:ascii="Times New Roman" w:hAnsi="Times New Roman" w:cs="Times New Roman"/>
          <w:sz w:val="24"/>
          <w:szCs w:val="24"/>
        </w:rPr>
        <w:t>la finele anului 201</w:t>
      </w:r>
      <w:r w:rsidR="009440A8" w:rsidRPr="00A24314">
        <w:rPr>
          <w:rFonts w:ascii="Times New Roman" w:hAnsi="Times New Roman" w:cs="Times New Roman"/>
          <w:sz w:val="24"/>
          <w:szCs w:val="24"/>
        </w:rPr>
        <w:t>6</w:t>
      </w:r>
      <w:r w:rsidR="006636B5" w:rsidRPr="00A24314">
        <w:rPr>
          <w:rFonts w:ascii="Times New Roman" w:hAnsi="Times New Roman" w:cs="Times New Roman"/>
          <w:sz w:val="24"/>
          <w:szCs w:val="24"/>
        </w:rPr>
        <w:t xml:space="preserve">, </w:t>
      </w:r>
      <w:r w:rsidR="007016D2" w:rsidRPr="00A24314">
        <w:rPr>
          <w:rFonts w:ascii="Times New Roman" w:hAnsi="Times New Roman" w:cs="Times New Roman"/>
          <w:sz w:val="24"/>
          <w:szCs w:val="24"/>
        </w:rPr>
        <w:t>se prezintă astfel:</w:t>
      </w:r>
    </w:p>
    <w:p w:rsidR="00A24314" w:rsidRDefault="009440A8" w:rsidP="00C7604C">
      <w:pPr>
        <w:pStyle w:val="ListParagraph"/>
        <w:numPr>
          <w:ilvl w:val="0"/>
          <w:numId w:val="1"/>
        </w:numPr>
        <w:spacing w:after="120" w:line="276" w:lineRule="auto"/>
        <w:contextualSpacing w:val="0"/>
        <w:jc w:val="both"/>
        <w:rPr>
          <w:rFonts w:ascii="Times New Roman" w:hAnsi="Times New Roman" w:cs="Times New Roman"/>
          <w:color w:val="000000" w:themeColor="text1"/>
          <w:sz w:val="24"/>
          <w:szCs w:val="24"/>
        </w:rPr>
      </w:pPr>
      <w:r w:rsidRPr="00A24314">
        <w:rPr>
          <w:rFonts w:ascii="Times New Roman" w:hAnsi="Times New Roman" w:cs="Times New Roman"/>
          <w:i/>
          <w:color w:val="000000" w:themeColor="text1"/>
          <w:sz w:val="24"/>
          <w:szCs w:val="24"/>
        </w:rPr>
        <w:t>24,00</w:t>
      </w:r>
      <w:r w:rsidR="009C0971" w:rsidRPr="00A24314">
        <w:rPr>
          <w:rFonts w:ascii="Times New Roman" w:hAnsi="Times New Roman" w:cs="Times New Roman"/>
          <w:i/>
          <w:color w:val="000000" w:themeColor="text1"/>
          <w:sz w:val="24"/>
          <w:szCs w:val="24"/>
        </w:rPr>
        <w:t xml:space="preserve"> </w:t>
      </w:r>
      <w:r w:rsidR="002A364C" w:rsidRPr="00A24314">
        <w:rPr>
          <w:rFonts w:ascii="Times New Roman" w:hAnsi="Times New Roman" w:cs="Times New Roman"/>
          <w:i/>
          <w:color w:val="000000" w:themeColor="text1"/>
          <w:sz w:val="24"/>
          <w:szCs w:val="24"/>
        </w:rPr>
        <w:t>%</w:t>
      </w:r>
      <w:r w:rsidR="00845852" w:rsidRPr="00A24314">
        <w:rPr>
          <w:rFonts w:ascii="Times New Roman" w:hAnsi="Times New Roman" w:cs="Times New Roman"/>
          <w:i/>
          <w:color w:val="000000" w:themeColor="text1"/>
          <w:sz w:val="24"/>
          <w:szCs w:val="24"/>
        </w:rPr>
        <w:t xml:space="preserve"> reprezintă</w:t>
      </w:r>
      <w:r w:rsidR="002A364C" w:rsidRPr="00A24314">
        <w:rPr>
          <w:rFonts w:ascii="Times New Roman" w:hAnsi="Times New Roman" w:cs="Times New Roman"/>
          <w:i/>
          <w:color w:val="000000" w:themeColor="text1"/>
          <w:sz w:val="24"/>
          <w:szCs w:val="24"/>
        </w:rPr>
        <w:t xml:space="preserve"> </w:t>
      </w:r>
      <w:r w:rsidRPr="00A24314">
        <w:rPr>
          <w:rFonts w:ascii="Times New Roman" w:hAnsi="Times New Roman" w:cs="Times New Roman"/>
          <w:i/>
          <w:color w:val="000000" w:themeColor="text1"/>
          <w:sz w:val="24"/>
          <w:szCs w:val="24"/>
        </w:rPr>
        <w:t>12</w:t>
      </w:r>
      <w:r w:rsidR="002A364C" w:rsidRPr="00A24314">
        <w:rPr>
          <w:rFonts w:ascii="Times New Roman" w:hAnsi="Times New Roman" w:cs="Times New Roman"/>
          <w:i/>
          <w:color w:val="000000" w:themeColor="text1"/>
          <w:sz w:val="24"/>
          <w:szCs w:val="24"/>
        </w:rPr>
        <w:t xml:space="preserve"> </w:t>
      </w:r>
      <w:r w:rsidR="00845852" w:rsidRPr="00A24314">
        <w:rPr>
          <w:rFonts w:ascii="Times New Roman" w:hAnsi="Times New Roman" w:cs="Times New Roman"/>
          <w:i/>
          <w:color w:val="000000" w:themeColor="text1"/>
          <w:sz w:val="24"/>
          <w:szCs w:val="24"/>
        </w:rPr>
        <w:t>entități</w:t>
      </w:r>
      <w:r w:rsidR="002A364C" w:rsidRPr="00A24314">
        <w:rPr>
          <w:rFonts w:ascii="Times New Roman" w:hAnsi="Times New Roman" w:cs="Times New Roman"/>
          <w:i/>
          <w:color w:val="000000" w:themeColor="text1"/>
          <w:sz w:val="24"/>
          <w:szCs w:val="24"/>
        </w:rPr>
        <w:t xml:space="preserve"> publice</w:t>
      </w:r>
      <w:r w:rsidR="00845852" w:rsidRPr="00A24314">
        <w:rPr>
          <w:rFonts w:ascii="Times New Roman" w:hAnsi="Times New Roman" w:cs="Times New Roman"/>
          <w:i/>
          <w:color w:val="000000" w:themeColor="text1"/>
          <w:sz w:val="24"/>
          <w:szCs w:val="24"/>
        </w:rPr>
        <w:t xml:space="preserve"> care </w:t>
      </w:r>
      <w:r w:rsidR="009C0971" w:rsidRPr="00A24314">
        <w:rPr>
          <w:rFonts w:ascii="Times New Roman" w:hAnsi="Times New Roman" w:cs="Times New Roman"/>
          <w:i/>
          <w:color w:val="000000" w:themeColor="text1"/>
          <w:sz w:val="24"/>
          <w:szCs w:val="24"/>
        </w:rPr>
        <w:t xml:space="preserve">au </w:t>
      </w:r>
      <w:r w:rsidR="00845852" w:rsidRPr="00A24314">
        <w:rPr>
          <w:rFonts w:ascii="Times New Roman" w:hAnsi="Times New Roman" w:cs="Times New Roman"/>
          <w:i/>
          <w:color w:val="000000" w:themeColor="text1"/>
          <w:sz w:val="24"/>
          <w:szCs w:val="24"/>
        </w:rPr>
        <w:t xml:space="preserve">raportat </w:t>
      </w:r>
      <w:r w:rsidR="009C0971" w:rsidRPr="00A24314">
        <w:rPr>
          <w:rFonts w:ascii="Times New Roman" w:hAnsi="Times New Roman" w:cs="Times New Roman"/>
          <w:i/>
          <w:color w:val="000000" w:themeColor="text1"/>
          <w:sz w:val="24"/>
          <w:szCs w:val="24"/>
        </w:rPr>
        <w:t xml:space="preserve">un sistem de control intern </w:t>
      </w:r>
      <w:r w:rsidR="002A364C" w:rsidRPr="00A24314">
        <w:rPr>
          <w:rFonts w:ascii="Times New Roman" w:hAnsi="Times New Roman" w:cs="Times New Roman"/>
          <w:i/>
          <w:color w:val="000000" w:themeColor="text1"/>
          <w:sz w:val="24"/>
          <w:szCs w:val="24"/>
        </w:rPr>
        <w:t xml:space="preserve">managerial </w:t>
      </w:r>
      <w:r w:rsidR="002A364C" w:rsidRPr="00A24314">
        <w:rPr>
          <w:rFonts w:ascii="Times New Roman" w:hAnsi="Times New Roman" w:cs="Times New Roman"/>
          <w:b/>
          <w:bCs/>
          <w:i/>
          <w:color w:val="000000" w:themeColor="text1"/>
          <w:sz w:val="24"/>
          <w:szCs w:val="24"/>
        </w:rPr>
        <w:t>conform</w:t>
      </w:r>
      <w:r w:rsidR="002A364C" w:rsidRPr="00A24314">
        <w:rPr>
          <w:rFonts w:ascii="Times New Roman" w:hAnsi="Times New Roman" w:cs="Times New Roman"/>
          <w:bCs/>
          <w:i/>
          <w:color w:val="000000" w:themeColor="text1"/>
          <w:sz w:val="24"/>
          <w:szCs w:val="24"/>
        </w:rPr>
        <w:t xml:space="preserve"> </w:t>
      </w:r>
      <w:r w:rsidR="002A364C" w:rsidRPr="00A24314">
        <w:rPr>
          <w:rFonts w:ascii="Times New Roman" w:hAnsi="Times New Roman" w:cs="Times New Roman"/>
          <w:i/>
          <w:color w:val="000000" w:themeColor="text1"/>
          <w:sz w:val="24"/>
          <w:szCs w:val="24"/>
        </w:rPr>
        <w:t>cu standardele</w:t>
      </w:r>
      <w:r w:rsidR="00C964D9" w:rsidRPr="00A24314">
        <w:rPr>
          <w:rFonts w:ascii="Times New Roman" w:hAnsi="Times New Roman" w:cs="Times New Roman"/>
          <w:i/>
          <w:color w:val="000000" w:themeColor="text1"/>
          <w:sz w:val="24"/>
          <w:szCs w:val="24"/>
        </w:rPr>
        <w:t xml:space="preserve"> de control intern managerial</w:t>
      </w:r>
      <w:r w:rsidR="00A24314" w:rsidRPr="00A24314">
        <w:rPr>
          <w:rFonts w:ascii="Times New Roman" w:hAnsi="Times New Roman" w:cs="Times New Roman"/>
          <w:color w:val="000000" w:themeColor="text1"/>
          <w:sz w:val="24"/>
          <w:szCs w:val="24"/>
        </w:rPr>
        <w:t>;</w:t>
      </w:r>
      <w:r w:rsidR="002A364C" w:rsidRPr="00A24314">
        <w:rPr>
          <w:rFonts w:ascii="Times New Roman" w:hAnsi="Times New Roman" w:cs="Times New Roman"/>
          <w:color w:val="000000" w:themeColor="text1"/>
          <w:sz w:val="24"/>
          <w:szCs w:val="24"/>
        </w:rPr>
        <w:t xml:space="preserve"> </w:t>
      </w:r>
      <w:r w:rsidR="00A24314" w:rsidRPr="00A24314">
        <w:rPr>
          <w:rFonts w:ascii="Times New Roman" w:hAnsi="Times New Roman" w:cs="Times New Roman"/>
          <w:color w:val="000000" w:themeColor="text1"/>
          <w:sz w:val="24"/>
          <w:szCs w:val="24"/>
        </w:rPr>
        <w:t>o</w:t>
      </w:r>
      <w:r w:rsidR="002A364C" w:rsidRPr="00A24314">
        <w:rPr>
          <w:rFonts w:ascii="Times New Roman" w:hAnsi="Times New Roman" w:cs="Times New Roman"/>
          <w:color w:val="000000" w:themeColor="text1"/>
          <w:sz w:val="24"/>
          <w:szCs w:val="24"/>
        </w:rPr>
        <w:t xml:space="preserve">rdonatorii principali de credite care au declarat că au un sistem </w:t>
      </w:r>
      <w:r w:rsidR="006636B5" w:rsidRPr="00A24314">
        <w:rPr>
          <w:rFonts w:ascii="Times New Roman" w:hAnsi="Times New Roman" w:cs="Times New Roman"/>
          <w:color w:val="000000" w:themeColor="text1"/>
          <w:sz w:val="24"/>
          <w:szCs w:val="24"/>
        </w:rPr>
        <w:t xml:space="preserve">de control intern managerial </w:t>
      </w:r>
      <w:r w:rsidR="002A364C" w:rsidRPr="00A24314">
        <w:rPr>
          <w:rFonts w:ascii="Times New Roman" w:hAnsi="Times New Roman" w:cs="Times New Roman"/>
          <w:color w:val="000000" w:themeColor="text1"/>
          <w:sz w:val="24"/>
          <w:szCs w:val="24"/>
        </w:rPr>
        <w:t>conform sunt</w:t>
      </w:r>
      <w:r w:rsidR="00845852" w:rsidRPr="00A24314">
        <w:rPr>
          <w:rFonts w:ascii="Times New Roman" w:hAnsi="Times New Roman" w:cs="Times New Roman"/>
          <w:color w:val="000000" w:themeColor="text1"/>
          <w:sz w:val="24"/>
          <w:szCs w:val="24"/>
        </w:rPr>
        <w:t xml:space="preserve"> următorii</w:t>
      </w:r>
      <w:r w:rsidR="002A364C" w:rsidRPr="00A24314">
        <w:rPr>
          <w:rFonts w:ascii="Times New Roman" w:hAnsi="Times New Roman" w:cs="Times New Roman"/>
          <w:color w:val="000000" w:themeColor="text1"/>
          <w:sz w:val="24"/>
          <w:szCs w:val="24"/>
        </w:rPr>
        <w:t>:</w:t>
      </w:r>
      <w:r w:rsidR="00283C12" w:rsidRPr="00A24314">
        <w:rPr>
          <w:color w:val="000000" w:themeColor="text1"/>
        </w:rPr>
        <w:t xml:space="preserve"> </w:t>
      </w:r>
      <w:r w:rsidR="00283C12" w:rsidRPr="00A24314">
        <w:rPr>
          <w:rFonts w:ascii="Times New Roman" w:hAnsi="Times New Roman" w:cs="Times New Roman"/>
          <w:color w:val="000000" w:themeColor="text1"/>
          <w:sz w:val="24"/>
          <w:szCs w:val="24"/>
        </w:rPr>
        <w:t>Curtea Constituțională, Consiliul Concurenţei,</w:t>
      </w:r>
      <w:r w:rsidR="00283C12" w:rsidRPr="00A24314">
        <w:rPr>
          <w:color w:val="000000" w:themeColor="text1"/>
        </w:rPr>
        <w:t xml:space="preserve"> </w:t>
      </w:r>
      <w:r w:rsidR="00283C12" w:rsidRPr="00A24314">
        <w:rPr>
          <w:rFonts w:ascii="Times New Roman" w:hAnsi="Times New Roman" w:cs="Times New Roman"/>
          <w:color w:val="000000" w:themeColor="text1"/>
          <w:sz w:val="24"/>
          <w:szCs w:val="24"/>
        </w:rPr>
        <w:t>Ministerul Afacerilor Interne, Ministerul Apărării Naţionale, Ministerul Finanțelor Publice, Agenția Națională de Integritate,</w:t>
      </w:r>
      <w:r w:rsidRPr="00A24314">
        <w:rPr>
          <w:rFonts w:ascii="Times New Roman" w:hAnsi="Times New Roman" w:cs="Times New Roman"/>
          <w:color w:val="000000" w:themeColor="text1"/>
          <w:sz w:val="24"/>
          <w:szCs w:val="24"/>
        </w:rPr>
        <w:t xml:space="preserve"> Serviciul de Informații Externe</w:t>
      </w:r>
      <w:r w:rsidR="00283C12" w:rsidRPr="00A24314">
        <w:rPr>
          <w:rFonts w:ascii="Times New Roman" w:hAnsi="Times New Roman" w:cs="Times New Roman"/>
          <w:color w:val="000000" w:themeColor="text1"/>
          <w:sz w:val="24"/>
          <w:szCs w:val="24"/>
        </w:rPr>
        <w:t xml:space="preserve">, Oficiul Naţional de Prevenire şi Combaterea Spălării Banilor, Oficiul Registrului Naţional al Informaţiilor Secrete de Stat, </w:t>
      </w:r>
      <w:r w:rsidR="00E718D4" w:rsidRPr="00A24314">
        <w:rPr>
          <w:rFonts w:ascii="Times New Roman" w:hAnsi="Times New Roman" w:cs="Times New Roman"/>
          <w:color w:val="000000" w:themeColor="text1"/>
          <w:sz w:val="24"/>
          <w:szCs w:val="24"/>
        </w:rPr>
        <w:t xml:space="preserve">Institutul Cultural Român, </w:t>
      </w:r>
      <w:r w:rsidR="00283C12" w:rsidRPr="00A24314">
        <w:rPr>
          <w:rFonts w:ascii="Times New Roman" w:hAnsi="Times New Roman" w:cs="Times New Roman"/>
          <w:color w:val="000000" w:themeColor="text1"/>
          <w:sz w:val="24"/>
          <w:szCs w:val="24"/>
        </w:rPr>
        <w:t>Autoritatea Naţională de Supraveghere a Prelucrării Datelor cu Caracter Personal, Consiliul Naţional de Soluţionare a Contestaţiilor;</w:t>
      </w:r>
    </w:p>
    <w:p w:rsidR="00F408E8" w:rsidRPr="00A24314" w:rsidRDefault="007D5FF3" w:rsidP="00C7604C">
      <w:pPr>
        <w:pStyle w:val="ListParagraph"/>
        <w:numPr>
          <w:ilvl w:val="0"/>
          <w:numId w:val="1"/>
        </w:numPr>
        <w:spacing w:after="120" w:line="276" w:lineRule="auto"/>
        <w:contextualSpacing w:val="0"/>
        <w:jc w:val="both"/>
        <w:rPr>
          <w:rFonts w:ascii="Times New Roman" w:hAnsi="Times New Roman" w:cs="Times New Roman"/>
          <w:color w:val="000000" w:themeColor="text1"/>
          <w:sz w:val="24"/>
          <w:szCs w:val="24"/>
        </w:rPr>
      </w:pPr>
      <w:r w:rsidRPr="00A24314">
        <w:rPr>
          <w:rFonts w:ascii="Times New Roman" w:hAnsi="Times New Roman" w:cs="Times New Roman"/>
          <w:i/>
          <w:color w:val="000000" w:themeColor="text1"/>
          <w:sz w:val="24"/>
          <w:szCs w:val="24"/>
        </w:rPr>
        <w:t>76,00</w:t>
      </w:r>
      <w:r w:rsidR="00845852" w:rsidRPr="00A24314">
        <w:rPr>
          <w:rFonts w:ascii="Times New Roman" w:hAnsi="Times New Roman" w:cs="Times New Roman"/>
          <w:i/>
          <w:color w:val="000000" w:themeColor="text1"/>
          <w:sz w:val="24"/>
          <w:szCs w:val="24"/>
        </w:rPr>
        <w:t>% reprezintă</w:t>
      </w:r>
      <w:r w:rsidR="002A364C" w:rsidRPr="00A24314">
        <w:rPr>
          <w:rFonts w:ascii="Times New Roman" w:hAnsi="Times New Roman" w:cs="Times New Roman"/>
          <w:i/>
          <w:color w:val="000000" w:themeColor="text1"/>
          <w:sz w:val="24"/>
          <w:szCs w:val="24"/>
        </w:rPr>
        <w:t xml:space="preserve"> majoritatea </w:t>
      </w:r>
      <w:r w:rsidR="00D410E9" w:rsidRPr="00A24314">
        <w:rPr>
          <w:rFonts w:ascii="Times New Roman" w:hAnsi="Times New Roman" w:cs="Times New Roman"/>
          <w:i/>
          <w:color w:val="000000" w:themeColor="text1"/>
          <w:sz w:val="24"/>
          <w:szCs w:val="24"/>
        </w:rPr>
        <w:t>entităților</w:t>
      </w:r>
      <w:r w:rsidR="002A364C" w:rsidRPr="00A24314">
        <w:rPr>
          <w:rFonts w:ascii="Times New Roman" w:hAnsi="Times New Roman" w:cs="Times New Roman"/>
          <w:i/>
          <w:color w:val="000000" w:themeColor="text1"/>
          <w:sz w:val="24"/>
          <w:szCs w:val="24"/>
        </w:rPr>
        <w:t xml:space="preserve"> publice, respectiv </w:t>
      </w:r>
      <w:r w:rsidR="00E718D4" w:rsidRPr="00A24314">
        <w:rPr>
          <w:rFonts w:ascii="Times New Roman" w:hAnsi="Times New Roman" w:cs="Times New Roman"/>
          <w:i/>
          <w:color w:val="000000" w:themeColor="text1"/>
          <w:sz w:val="24"/>
          <w:szCs w:val="24"/>
        </w:rPr>
        <w:t>3</w:t>
      </w:r>
      <w:r w:rsidRPr="00A24314">
        <w:rPr>
          <w:rFonts w:ascii="Times New Roman" w:hAnsi="Times New Roman" w:cs="Times New Roman"/>
          <w:i/>
          <w:color w:val="000000" w:themeColor="text1"/>
          <w:sz w:val="24"/>
          <w:szCs w:val="24"/>
        </w:rPr>
        <w:t>8</w:t>
      </w:r>
      <w:r w:rsidR="00845852" w:rsidRPr="00A24314">
        <w:rPr>
          <w:rFonts w:ascii="Times New Roman" w:hAnsi="Times New Roman" w:cs="Times New Roman"/>
          <w:i/>
          <w:color w:val="000000" w:themeColor="text1"/>
          <w:sz w:val="24"/>
          <w:szCs w:val="24"/>
        </w:rPr>
        <w:t xml:space="preserve"> de entități publice</w:t>
      </w:r>
      <w:r w:rsidR="00845852" w:rsidRPr="00A24314">
        <w:rPr>
          <w:rFonts w:ascii="Times New Roman" w:hAnsi="Times New Roman" w:cs="Times New Roman"/>
          <w:color w:val="000000" w:themeColor="text1"/>
          <w:sz w:val="24"/>
          <w:szCs w:val="24"/>
        </w:rPr>
        <w:t xml:space="preserve">, care au raportat </w:t>
      </w:r>
      <w:r w:rsidR="00C55530" w:rsidRPr="00A24314">
        <w:rPr>
          <w:rFonts w:ascii="Times New Roman" w:hAnsi="Times New Roman" w:cs="Times New Roman"/>
          <w:color w:val="000000" w:themeColor="text1"/>
          <w:sz w:val="24"/>
          <w:szCs w:val="24"/>
        </w:rPr>
        <w:t xml:space="preserve"> un sistem de control intern </w:t>
      </w:r>
      <w:r w:rsidR="002A364C" w:rsidRPr="00A24314">
        <w:rPr>
          <w:rFonts w:ascii="Times New Roman" w:hAnsi="Times New Roman" w:cs="Times New Roman"/>
          <w:color w:val="000000" w:themeColor="text1"/>
          <w:sz w:val="24"/>
          <w:szCs w:val="24"/>
        </w:rPr>
        <w:t xml:space="preserve">managerial </w:t>
      </w:r>
      <w:r w:rsidR="002A364C" w:rsidRPr="00A24314">
        <w:rPr>
          <w:rFonts w:ascii="Times New Roman" w:hAnsi="Times New Roman" w:cs="Times New Roman"/>
          <w:b/>
          <w:bCs/>
          <w:color w:val="000000" w:themeColor="text1"/>
          <w:sz w:val="24"/>
          <w:szCs w:val="24"/>
        </w:rPr>
        <w:t>parţial conform</w:t>
      </w:r>
      <w:r w:rsidR="002A364C" w:rsidRPr="00A24314">
        <w:rPr>
          <w:rFonts w:ascii="Times New Roman" w:hAnsi="Times New Roman" w:cs="Times New Roman"/>
          <w:bCs/>
          <w:color w:val="000000" w:themeColor="text1"/>
          <w:sz w:val="24"/>
          <w:szCs w:val="24"/>
        </w:rPr>
        <w:t xml:space="preserve"> </w:t>
      </w:r>
      <w:r w:rsidR="002A364C" w:rsidRPr="00A24314">
        <w:rPr>
          <w:rFonts w:ascii="Times New Roman" w:hAnsi="Times New Roman" w:cs="Times New Roman"/>
          <w:color w:val="000000" w:themeColor="text1"/>
          <w:sz w:val="24"/>
          <w:szCs w:val="24"/>
        </w:rPr>
        <w:t>cu standardele</w:t>
      </w:r>
      <w:r w:rsidR="00C964D9" w:rsidRPr="00A24314">
        <w:rPr>
          <w:rFonts w:ascii="Times New Roman" w:hAnsi="Times New Roman" w:cs="Times New Roman"/>
          <w:color w:val="000000" w:themeColor="text1"/>
          <w:sz w:val="24"/>
          <w:szCs w:val="24"/>
        </w:rPr>
        <w:t xml:space="preserve"> de control intern</w:t>
      </w:r>
      <w:r w:rsidR="002A364C" w:rsidRPr="00A24314">
        <w:rPr>
          <w:rFonts w:ascii="Times New Roman" w:hAnsi="Times New Roman" w:cs="Times New Roman"/>
          <w:color w:val="000000" w:themeColor="text1"/>
          <w:sz w:val="24"/>
          <w:szCs w:val="24"/>
        </w:rPr>
        <w:t xml:space="preserve">. </w:t>
      </w:r>
    </w:p>
    <w:p w:rsidR="00046915" w:rsidRPr="00A24314" w:rsidRDefault="00845852" w:rsidP="00A24314">
      <w:pPr>
        <w:spacing w:after="120" w:line="276" w:lineRule="auto"/>
        <w:jc w:val="both"/>
        <w:rPr>
          <w:rFonts w:ascii="Times New Roman" w:hAnsi="Times New Roman" w:cs="Times New Roman"/>
          <w:color w:val="000000" w:themeColor="text1"/>
          <w:sz w:val="24"/>
          <w:szCs w:val="24"/>
        </w:rPr>
      </w:pPr>
      <w:r w:rsidRPr="00A24314">
        <w:rPr>
          <w:rFonts w:ascii="Times New Roman" w:hAnsi="Times New Roman" w:cs="Times New Roman"/>
          <w:color w:val="000000" w:themeColor="text1"/>
          <w:sz w:val="24"/>
          <w:szCs w:val="24"/>
        </w:rPr>
        <w:t>Stadiul implementării s</w:t>
      </w:r>
      <w:r w:rsidR="00046915" w:rsidRPr="00A24314">
        <w:rPr>
          <w:rFonts w:ascii="Times New Roman" w:hAnsi="Times New Roman" w:cs="Times New Roman"/>
          <w:color w:val="000000" w:themeColor="text1"/>
          <w:sz w:val="24"/>
          <w:szCs w:val="24"/>
        </w:rPr>
        <w:t>istemul</w:t>
      </w:r>
      <w:r w:rsidRPr="00A24314">
        <w:rPr>
          <w:rFonts w:ascii="Times New Roman" w:hAnsi="Times New Roman" w:cs="Times New Roman"/>
          <w:color w:val="000000" w:themeColor="text1"/>
          <w:sz w:val="24"/>
          <w:szCs w:val="24"/>
        </w:rPr>
        <w:t>ui</w:t>
      </w:r>
      <w:r w:rsidR="00046915" w:rsidRPr="00A24314">
        <w:rPr>
          <w:rFonts w:ascii="Times New Roman" w:hAnsi="Times New Roman" w:cs="Times New Roman"/>
          <w:color w:val="000000" w:themeColor="text1"/>
          <w:sz w:val="24"/>
          <w:szCs w:val="24"/>
        </w:rPr>
        <w:t xml:space="preserve"> de control intern managerial la nivelul</w:t>
      </w:r>
      <w:r w:rsidR="008A0100" w:rsidRPr="00A24314">
        <w:rPr>
          <w:rFonts w:ascii="Times New Roman" w:hAnsi="Times New Roman" w:cs="Times New Roman"/>
          <w:color w:val="000000" w:themeColor="text1"/>
          <w:sz w:val="24"/>
          <w:szCs w:val="24"/>
        </w:rPr>
        <w:t xml:space="preserve"> entităților subordonate sau aflate în coordonarea ordonatorilor principali de credite</w:t>
      </w:r>
      <w:r w:rsidR="00046915" w:rsidRPr="00A24314">
        <w:rPr>
          <w:rFonts w:ascii="Times New Roman" w:hAnsi="Times New Roman" w:cs="Times New Roman"/>
          <w:color w:val="000000" w:themeColor="text1"/>
          <w:sz w:val="24"/>
          <w:szCs w:val="24"/>
        </w:rPr>
        <w:t xml:space="preserve">, la </w:t>
      </w:r>
      <w:r w:rsidRPr="00A24314">
        <w:rPr>
          <w:rFonts w:ascii="Times New Roman" w:hAnsi="Times New Roman" w:cs="Times New Roman"/>
          <w:color w:val="000000" w:themeColor="text1"/>
          <w:sz w:val="24"/>
          <w:szCs w:val="24"/>
        </w:rPr>
        <w:t>nivelul</w:t>
      </w:r>
      <w:r w:rsidR="00046915" w:rsidRPr="00A24314">
        <w:rPr>
          <w:rFonts w:ascii="Times New Roman" w:hAnsi="Times New Roman" w:cs="Times New Roman"/>
          <w:color w:val="000000" w:themeColor="text1"/>
          <w:sz w:val="24"/>
          <w:szCs w:val="24"/>
        </w:rPr>
        <w:t xml:space="preserve"> anului 201</w:t>
      </w:r>
      <w:r w:rsidR="007D5FF3" w:rsidRPr="00A24314">
        <w:rPr>
          <w:rFonts w:ascii="Times New Roman" w:hAnsi="Times New Roman" w:cs="Times New Roman"/>
          <w:color w:val="000000" w:themeColor="text1"/>
          <w:sz w:val="24"/>
          <w:szCs w:val="24"/>
        </w:rPr>
        <w:t>6</w:t>
      </w:r>
      <w:r w:rsidR="00046915" w:rsidRPr="00A24314">
        <w:rPr>
          <w:rFonts w:ascii="Times New Roman" w:hAnsi="Times New Roman" w:cs="Times New Roman"/>
          <w:color w:val="000000" w:themeColor="text1"/>
          <w:sz w:val="24"/>
          <w:szCs w:val="24"/>
        </w:rPr>
        <w:t xml:space="preserve">, </w:t>
      </w:r>
      <w:r w:rsidR="001B7741" w:rsidRPr="00A24314">
        <w:rPr>
          <w:rFonts w:ascii="Times New Roman" w:hAnsi="Times New Roman" w:cs="Times New Roman"/>
          <w:color w:val="000000" w:themeColor="text1"/>
          <w:sz w:val="24"/>
          <w:szCs w:val="24"/>
        </w:rPr>
        <w:t xml:space="preserve">comparativ cu anul 2015, </w:t>
      </w:r>
      <w:r w:rsidR="00046915" w:rsidRPr="00A24314">
        <w:rPr>
          <w:rFonts w:ascii="Times New Roman" w:hAnsi="Times New Roman" w:cs="Times New Roman"/>
          <w:color w:val="000000" w:themeColor="text1"/>
          <w:sz w:val="24"/>
          <w:szCs w:val="24"/>
        </w:rPr>
        <w:t>se prezintă astfel:</w:t>
      </w:r>
    </w:p>
    <w:p w:rsidR="001B7741" w:rsidRPr="00A24314" w:rsidRDefault="001B7741" w:rsidP="00A24314">
      <w:pPr>
        <w:spacing w:after="120" w:line="276" w:lineRule="auto"/>
        <w:ind w:firstLine="633"/>
        <w:jc w:val="both"/>
        <w:rPr>
          <w:rFonts w:ascii="Times New Roman" w:hAnsi="Times New Roman" w:cs="Times New Roman"/>
          <w:b/>
          <w:sz w:val="24"/>
          <w:szCs w:val="24"/>
        </w:rPr>
      </w:pPr>
      <w:r w:rsidRPr="00A24314">
        <w:rPr>
          <w:rFonts w:ascii="Times New Roman" w:hAnsi="Times New Roman" w:cs="Times New Roman"/>
          <w:b/>
          <w:sz w:val="24"/>
          <w:szCs w:val="24"/>
        </w:rPr>
        <w:t>Anul 2015</w:t>
      </w:r>
    </w:p>
    <w:p w:rsidR="001B7741" w:rsidRPr="00A24314" w:rsidRDefault="001B7741" w:rsidP="00C7604C">
      <w:pPr>
        <w:pStyle w:val="ListParagraph"/>
        <w:numPr>
          <w:ilvl w:val="0"/>
          <w:numId w:val="56"/>
        </w:numPr>
        <w:spacing w:after="120" w:line="276" w:lineRule="auto"/>
        <w:contextualSpacing w:val="0"/>
        <w:jc w:val="both"/>
        <w:rPr>
          <w:rFonts w:ascii="Times New Roman" w:hAnsi="Times New Roman" w:cs="Times New Roman"/>
          <w:color w:val="000000" w:themeColor="text1"/>
          <w:sz w:val="24"/>
          <w:szCs w:val="24"/>
        </w:rPr>
      </w:pPr>
      <w:r w:rsidRPr="00A24314">
        <w:rPr>
          <w:rFonts w:ascii="Times New Roman" w:hAnsi="Times New Roman" w:cs="Times New Roman"/>
          <w:b/>
          <w:color w:val="000000" w:themeColor="text1"/>
          <w:sz w:val="24"/>
          <w:szCs w:val="24"/>
        </w:rPr>
        <w:t>5</w:t>
      </w:r>
      <w:r w:rsidR="00A24314">
        <w:rPr>
          <w:rFonts w:ascii="Times New Roman" w:hAnsi="Times New Roman" w:cs="Times New Roman"/>
          <w:b/>
          <w:color w:val="000000" w:themeColor="text1"/>
          <w:sz w:val="24"/>
          <w:szCs w:val="24"/>
        </w:rPr>
        <w:t>1,</w:t>
      </w:r>
      <w:r w:rsidRPr="00A24314">
        <w:rPr>
          <w:rFonts w:ascii="Times New Roman" w:hAnsi="Times New Roman" w:cs="Times New Roman"/>
          <w:b/>
          <w:color w:val="000000" w:themeColor="text1"/>
          <w:sz w:val="24"/>
          <w:szCs w:val="24"/>
        </w:rPr>
        <w:t>93%</w:t>
      </w:r>
      <w:r w:rsidRPr="00A24314">
        <w:rPr>
          <w:rFonts w:ascii="Times New Roman" w:hAnsi="Times New Roman" w:cs="Times New Roman"/>
          <w:color w:val="000000" w:themeColor="text1"/>
          <w:sz w:val="24"/>
          <w:szCs w:val="24"/>
        </w:rPr>
        <w:t>, reprezentând 1.0</w:t>
      </w:r>
      <w:r w:rsidR="004E7AC4" w:rsidRPr="00A24314">
        <w:rPr>
          <w:rFonts w:ascii="Times New Roman" w:hAnsi="Times New Roman" w:cs="Times New Roman"/>
          <w:color w:val="000000" w:themeColor="text1"/>
          <w:sz w:val="24"/>
          <w:szCs w:val="24"/>
        </w:rPr>
        <w:t>90</w:t>
      </w:r>
      <w:r w:rsidR="00E11A3E" w:rsidRPr="00A24314">
        <w:rPr>
          <w:rFonts w:ascii="Times New Roman" w:hAnsi="Times New Roman" w:cs="Times New Roman"/>
          <w:color w:val="000000" w:themeColor="text1"/>
          <w:sz w:val="24"/>
          <w:szCs w:val="24"/>
        </w:rPr>
        <w:t xml:space="preserve"> entități</w:t>
      </w:r>
      <w:r w:rsidRPr="00A24314">
        <w:rPr>
          <w:rFonts w:ascii="Times New Roman" w:hAnsi="Times New Roman" w:cs="Times New Roman"/>
          <w:color w:val="000000" w:themeColor="text1"/>
          <w:sz w:val="24"/>
          <w:szCs w:val="24"/>
        </w:rPr>
        <w:t xml:space="preserve"> publice au un sistem de control intern managerial conform cu standardele; </w:t>
      </w:r>
    </w:p>
    <w:p w:rsidR="001B7741" w:rsidRPr="00A24314" w:rsidRDefault="00A24314" w:rsidP="00C7604C">
      <w:pPr>
        <w:pStyle w:val="ListParagraph"/>
        <w:numPr>
          <w:ilvl w:val="0"/>
          <w:numId w:val="56"/>
        </w:numPr>
        <w:spacing w:after="120" w:line="276" w:lineRule="auto"/>
        <w:contextualSpacing w:val="0"/>
        <w:jc w:val="both"/>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45,</w:t>
      </w:r>
      <w:r w:rsidR="001B7741" w:rsidRPr="00A24314">
        <w:rPr>
          <w:rFonts w:ascii="Times New Roman" w:hAnsi="Times New Roman" w:cs="Times New Roman"/>
          <w:b/>
          <w:color w:val="000000" w:themeColor="text1"/>
          <w:sz w:val="24"/>
          <w:szCs w:val="24"/>
        </w:rPr>
        <w:t>64%,</w:t>
      </w:r>
      <w:r w:rsidR="001B7741" w:rsidRPr="00A24314">
        <w:rPr>
          <w:rFonts w:ascii="Times New Roman" w:hAnsi="Times New Roman" w:cs="Times New Roman"/>
          <w:color w:val="000000" w:themeColor="text1"/>
          <w:sz w:val="24"/>
          <w:szCs w:val="24"/>
        </w:rPr>
        <w:t xml:space="preserve"> reprezentând 9</w:t>
      </w:r>
      <w:r w:rsidR="004E7AC4" w:rsidRPr="00A24314">
        <w:rPr>
          <w:rFonts w:ascii="Times New Roman" w:hAnsi="Times New Roman" w:cs="Times New Roman"/>
          <w:color w:val="000000" w:themeColor="text1"/>
          <w:sz w:val="24"/>
          <w:szCs w:val="24"/>
        </w:rPr>
        <w:t>58</w:t>
      </w:r>
      <w:r w:rsidR="00E11A3E" w:rsidRPr="00A24314">
        <w:rPr>
          <w:rFonts w:ascii="Times New Roman" w:hAnsi="Times New Roman" w:cs="Times New Roman"/>
          <w:color w:val="000000" w:themeColor="text1"/>
          <w:sz w:val="24"/>
          <w:szCs w:val="24"/>
        </w:rPr>
        <w:t xml:space="preserve"> entități</w:t>
      </w:r>
      <w:r w:rsidR="001B7741" w:rsidRPr="00A24314">
        <w:rPr>
          <w:rFonts w:ascii="Times New Roman" w:hAnsi="Times New Roman" w:cs="Times New Roman"/>
          <w:color w:val="000000" w:themeColor="text1"/>
          <w:sz w:val="24"/>
          <w:szCs w:val="24"/>
        </w:rPr>
        <w:t xml:space="preserve"> publice au un sistem de control intern managerial parțial conform cu standardele;</w:t>
      </w:r>
    </w:p>
    <w:p w:rsidR="001B7741" w:rsidRPr="00A24314" w:rsidRDefault="00A24314" w:rsidP="00C7604C">
      <w:pPr>
        <w:pStyle w:val="ListParagraph"/>
        <w:numPr>
          <w:ilvl w:val="0"/>
          <w:numId w:val="56"/>
        </w:numPr>
        <w:spacing w:after="120" w:line="276" w:lineRule="auto"/>
        <w:contextualSpacing w:val="0"/>
        <w:jc w:val="both"/>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2,</w:t>
      </w:r>
      <w:r w:rsidR="001B7741" w:rsidRPr="00A24314">
        <w:rPr>
          <w:rFonts w:ascii="Times New Roman" w:hAnsi="Times New Roman" w:cs="Times New Roman"/>
          <w:b/>
          <w:color w:val="000000" w:themeColor="text1"/>
          <w:sz w:val="24"/>
          <w:szCs w:val="24"/>
        </w:rPr>
        <w:t>43%,</w:t>
      </w:r>
      <w:r w:rsidR="001B7741" w:rsidRPr="00A24314">
        <w:rPr>
          <w:rFonts w:ascii="Times New Roman" w:hAnsi="Times New Roman" w:cs="Times New Roman"/>
          <w:color w:val="000000" w:themeColor="text1"/>
          <w:sz w:val="24"/>
          <w:szCs w:val="24"/>
        </w:rPr>
        <w:t xml:space="preserve"> reprezentând </w:t>
      </w:r>
      <w:r w:rsidR="00E11A3E" w:rsidRPr="00A24314">
        <w:rPr>
          <w:rFonts w:ascii="Times New Roman" w:hAnsi="Times New Roman" w:cs="Times New Roman"/>
          <w:color w:val="000000" w:themeColor="text1"/>
          <w:sz w:val="24"/>
          <w:szCs w:val="24"/>
        </w:rPr>
        <w:t>51 entități</w:t>
      </w:r>
      <w:r w:rsidR="001B7741" w:rsidRPr="00A24314">
        <w:rPr>
          <w:rFonts w:ascii="Times New Roman" w:hAnsi="Times New Roman" w:cs="Times New Roman"/>
          <w:color w:val="000000" w:themeColor="text1"/>
          <w:sz w:val="24"/>
          <w:szCs w:val="24"/>
        </w:rPr>
        <w:t xml:space="preserve"> publice au un sistem de control intern managerial neconform cu standardele.</w:t>
      </w:r>
    </w:p>
    <w:p w:rsidR="001B7741" w:rsidRPr="00A24314" w:rsidRDefault="001B7741" w:rsidP="00A24314">
      <w:pPr>
        <w:spacing w:after="120" w:line="276" w:lineRule="auto"/>
        <w:ind w:firstLine="568"/>
        <w:jc w:val="both"/>
        <w:rPr>
          <w:rFonts w:ascii="Times New Roman" w:hAnsi="Times New Roman" w:cs="Times New Roman"/>
          <w:b/>
          <w:color w:val="000000" w:themeColor="text1"/>
          <w:sz w:val="24"/>
          <w:szCs w:val="24"/>
        </w:rPr>
      </w:pPr>
      <w:r w:rsidRPr="00A24314">
        <w:rPr>
          <w:rFonts w:ascii="Times New Roman" w:hAnsi="Times New Roman" w:cs="Times New Roman"/>
          <w:b/>
          <w:color w:val="000000" w:themeColor="text1"/>
          <w:sz w:val="24"/>
          <w:szCs w:val="24"/>
        </w:rPr>
        <w:t>Anul 2016</w:t>
      </w:r>
    </w:p>
    <w:p w:rsidR="00E703E6" w:rsidRPr="00A24314" w:rsidRDefault="007D5FF3" w:rsidP="00C7604C">
      <w:pPr>
        <w:pStyle w:val="ListParagraph"/>
        <w:numPr>
          <w:ilvl w:val="0"/>
          <w:numId w:val="57"/>
        </w:numPr>
        <w:spacing w:after="120" w:line="276" w:lineRule="auto"/>
        <w:ind w:left="1418" w:hanging="425"/>
        <w:contextualSpacing w:val="0"/>
        <w:jc w:val="both"/>
        <w:rPr>
          <w:rFonts w:ascii="Times New Roman" w:hAnsi="Times New Roman" w:cs="Times New Roman"/>
          <w:color w:val="000000" w:themeColor="text1"/>
          <w:sz w:val="24"/>
          <w:szCs w:val="24"/>
        </w:rPr>
      </w:pPr>
      <w:r w:rsidRPr="00A24314">
        <w:rPr>
          <w:rFonts w:ascii="Times New Roman" w:hAnsi="Times New Roman" w:cs="Times New Roman"/>
          <w:b/>
          <w:color w:val="000000" w:themeColor="text1"/>
          <w:sz w:val="24"/>
          <w:szCs w:val="24"/>
        </w:rPr>
        <w:t>50,23</w:t>
      </w:r>
      <w:r w:rsidR="00046915" w:rsidRPr="00A24314">
        <w:rPr>
          <w:rFonts w:ascii="Times New Roman" w:hAnsi="Times New Roman" w:cs="Times New Roman"/>
          <w:b/>
          <w:color w:val="000000" w:themeColor="text1"/>
          <w:sz w:val="24"/>
          <w:szCs w:val="24"/>
        </w:rPr>
        <w:t>%,</w:t>
      </w:r>
      <w:r w:rsidR="00046915" w:rsidRPr="00A24314">
        <w:rPr>
          <w:rFonts w:ascii="Times New Roman" w:hAnsi="Times New Roman" w:cs="Times New Roman"/>
          <w:color w:val="000000" w:themeColor="text1"/>
          <w:sz w:val="24"/>
          <w:szCs w:val="24"/>
        </w:rPr>
        <w:t xml:space="preserve"> reprezentând </w:t>
      </w:r>
      <w:r w:rsidRPr="00A24314">
        <w:rPr>
          <w:rFonts w:ascii="Times New Roman" w:hAnsi="Times New Roman" w:cs="Times New Roman"/>
          <w:color w:val="000000" w:themeColor="text1"/>
          <w:sz w:val="24"/>
          <w:szCs w:val="24"/>
        </w:rPr>
        <w:t>1.003 entități</w:t>
      </w:r>
      <w:r w:rsidR="00046915" w:rsidRPr="00A24314">
        <w:rPr>
          <w:rFonts w:ascii="Times New Roman" w:hAnsi="Times New Roman" w:cs="Times New Roman"/>
          <w:color w:val="000000" w:themeColor="text1"/>
          <w:sz w:val="24"/>
          <w:szCs w:val="24"/>
        </w:rPr>
        <w:t xml:space="preserve"> publice au un sistem de control intern managerial </w:t>
      </w:r>
      <w:r w:rsidR="00046915" w:rsidRPr="00A24314">
        <w:rPr>
          <w:rFonts w:ascii="Times New Roman" w:hAnsi="Times New Roman" w:cs="Times New Roman"/>
          <w:bCs/>
          <w:color w:val="000000" w:themeColor="text1"/>
          <w:sz w:val="24"/>
          <w:szCs w:val="24"/>
        </w:rPr>
        <w:t xml:space="preserve">conform </w:t>
      </w:r>
      <w:r w:rsidR="00046915" w:rsidRPr="00A24314">
        <w:rPr>
          <w:rFonts w:ascii="Times New Roman" w:hAnsi="Times New Roman" w:cs="Times New Roman"/>
          <w:color w:val="000000" w:themeColor="text1"/>
          <w:sz w:val="24"/>
          <w:szCs w:val="24"/>
        </w:rPr>
        <w:t>cu standardele</w:t>
      </w:r>
      <w:r w:rsidR="000704F2" w:rsidRPr="00A24314">
        <w:rPr>
          <w:rFonts w:ascii="Times New Roman" w:hAnsi="Times New Roman" w:cs="Times New Roman"/>
          <w:color w:val="000000" w:themeColor="text1"/>
          <w:sz w:val="24"/>
          <w:szCs w:val="24"/>
        </w:rPr>
        <w:t>;</w:t>
      </w:r>
      <w:r w:rsidR="00046915" w:rsidRPr="00A24314">
        <w:rPr>
          <w:rFonts w:ascii="Times New Roman" w:hAnsi="Times New Roman" w:cs="Times New Roman"/>
          <w:color w:val="000000" w:themeColor="text1"/>
          <w:sz w:val="24"/>
          <w:szCs w:val="24"/>
        </w:rPr>
        <w:t xml:space="preserve"> </w:t>
      </w:r>
    </w:p>
    <w:p w:rsidR="00046915" w:rsidRPr="00A24314" w:rsidRDefault="001D02F1" w:rsidP="00C7604C">
      <w:pPr>
        <w:pStyle w:val="ListParagraph"/>
        <w:numPr>
          <w:ilvl w:val="0"/>
          <w:numId w:val="57"/>
        </w:numPr>
        <w:spacing w:after="120" w:line="276" w:lineRule="auto"/>
        <w:ind w:left="1418" w:hanging="425"/>
        <w:contextualSpacing w:val="0"/>
        <w:jc w:val="both"/>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49,</w:t>
      </w:r>
      <w:r w:rsidR="007D5FF3" w:rsidRPr="00A24314">
        <w:rPr>
          <w:rFonts w:ascii="Times New Roman" w:hAnsi="Times New Roman" w:cs="Times New Roman"/>
          <w:b/>
          <w:color w:val="000000" w:themeColor="text1"/>
          <w:sz w:val="24"/>
          <w:szCs w:val="24"/>
        </w:rPr>
        <w:t>0</w:t>
      </w:r>
      <w:r>
        <w:rPr>
          <w:rFonts w:ascii="Times New Roman" w:hAnsi="Times New Roman" w:cs="Times New Roman"/>
          <w:b/>
          <w:color w:val="000000" w:themeColor="text1"/>
          <w:sz w:val="24"/>
          <w:szCs w:val="24"/>
        </w:rPr>
        <w:t>2</w:t>
      </w:r>
      <w:r w:rsidR="00046915" w:rsidRPr="00A24314">
        <w:rPr>
          <w:rFonts w:ascii="Times New Roman" w:hAnsi="Times New Roman" w:cs="Times New Roman"/>
          <w:b/>
          <w:color w:val="000000" w:themeColor="text1"/>
          <w:sz w:val="24"/>
          <w:szCs w:val="24"/>
        </w:rPr>
        <w:t>%,</w:t>
      </w:r>
      <w:r w:rsidR="00046915" w:rsidRPr="00A24314">
        <w:rPr>
          <w:rFonts w:ascii="Times New Roman" w:hAnsi="Times New Roman" w:cs="Times New Roman"/>
          <w:color w:val="000000" w:themeColor="text1"/>
          <w:sz w:val="24"/>
          <w:szCs w:val="24"/>
        </w:rPr>
        <w:t xml:space="preserve"> reprezentând </w:t>
      </w:r>
      <w:r w:rsidR="000704F2" w:rsidRPr="00A24314">
        <w:rPr>
          <w:rFonts w:ascii="Times New Roman" w:hAnsi="Times New Roman" w:cs="Times New Roman"/>
          <w:color w:val="000000" w:themeColor="text1"/>
          <w:sz w:val="24"/>
          <w:szCs w:val="24"/>
        </w:rPr>
        <w:t>9</w:t>
      </w:r>
      <w:r w:rsidR="007D5FF3" w:rsidRPr="00A24314">
        <w:rPr>
          <w:rFonts w:ascii="Times New Roman" w:hAnsi="Times New Roman" w:cs="Times New Roman"/>
          <w:color w:val="000000" w:themeColor="text1"/>
          <w:sz w:val="24"/>
          <w:szCs w:val="24"/>
        </w:rPr>
        <w:t>79 entități</w:t>
      </w:r>
      <w:r w:rsidR="00E11A3E" w:rsidRPr="00A24314">
        <w:rPr>
          <w:rFonts w:ascii="Times New Roman" w:hAnsi="Times New Roman" w:cs="Times New Roman"/>
          <w:color w:val="000000" w:themeColor="text1"/>
          <w:sz w:val="24"/>
          <w:szCs w:val="24"/>
        </w:rPr>
        <w:t xml:space="preserve"> </w:t>
      </w:r>
      <w:r w:rsidR="00046915" w:rsidRPr="00A24314">
        <w:rPr>
          <w:rFonts w:ascii="Times New Roman" w:hAnsi="Times New Roman" w:cs="Times New Roman"/>
          <w:color w:val="000000" w:themeColor="text1"/>
          <w:sz w:val="24"/>
          <w:szCs w:val="24"/>
        </w:rPr>
        <w:t xml:space="preserve">publice </w:t>
      </w:r>
      <w:r w:rsidR="007D5FF3" w:rsidRPr="00A24314">
        <w:rPr>
          <w:rFonts w:ascii="Times New Roman" w:hAnsi="Times New Roman" w:cs="Times New Roman"/>
          <w:color w:val="000000" w:themeColor="text1"/>
          <w:sz w:val="24"/>
          <w:szCs w:val="24"/>
        </w:rPr>
        <w:t xml:space="preserve">au </w:t>
      </w:r>
      <w:r w:rsidR="00046915" w:rsidRPr="00A24314">
        <w:rPr>
          <w:rFonts w:ascii="Times New Roman" w:hAnsi="Times New Roman" w:cs="Times New Roman"/>
          <w:color w:val="000000" w:themeColor="text1"/>
          <w:sz w:val="24"/>
          <w:szCs w:val="24"/>
        </w:rPr>
        <w:t xml:space="preserve">un sistem de control intern managerial parțial </w:t>
      </w:r>
      <w:r w:rsidR="00046915" w:rsidRPr="00A24314">
        <w:rPr>
          <w:rFonts w:ascii="Times New Roman" w:hAnsi="Times New Roman" w:cs="Times New Roman"/>
          <w:bCs/>
          <w:color w:val="000000" w:themeColor="text1"/>
          <w:sz w:val="24"/>
          <w:szCs w:val="24"/>
        </w:rPr>
        <w:t xml:space="preserve">conform </w:t>
      </w:r>
      <w:r w:rsidR="00046915" w:rsidRPr="00A24314">
        <w:rPr>
          <w:rFonts w:ascii="Times New Roman" w:hAnsi="Times New Roman" w:cs="Times New Roman"/>
          <w:color w:val="000000" w:themeColor="text1"/>
          <w:sz w:val="24"/>
          <w:szCs w:val="24"/>
        </w:rPr>
        <w:t>cu standardele</w:t>
      </w:r>
      <w:r w:rsidR="000704F2" w:rsidRPr="00A24314">
        <w:rPr>
          <w:rFonts w:ascii="Times New Roman" w:hAnsi="Times New Roman" w:cs="Times New Roman"/>
          <w:color w:val="000000" w:themeColor="text1"/>
          <w:sz w:val="24"/>
          <w:szCs w:val="24"/>
        </w:rPr>
        <w:t>;</w:t>
      </w:r>
    </w:p>
    <w:p w:rsidR="000704F2" w:rsidRPr="00A24314" w:rsidRDefault="007D5FF3" w:rsidP="00C7604C">
      <w:pPr>
        <w:pStyle w:val="ListParagraph"/>
        <w:numPr>
          <w:ilvl w:val="0"/>
          <w:numId w:val="57"/>
        </w:numPr>
        <w:spacing w:after="120" w:line="276" w:lineRule="auto"/>
        <w:ind w:left="1418" w:hanging="425"/>
        <w:contextualSpacing w:val="0"/>
        <w:jc w:val="both"/>
        <w:rPr>
          <w:rFonts w:ascii="Times New Roman" w:hAnsi="Times New Roman" w:cs="Times New Roman"/>
          <w:color w:val="000000" w:themeColor="text1"/>
          <w:sz w:val="24"/>
          <w:szCs w:val="24"/>
        </w:rPr>
      </w:pPr>
      <w:r w:rsidRPr="00A24314">
        <w:rPr>
          <w:rFonts w:ascii="Times New Roman" w:hAnsi="Times New Roman" w:cs="Times New Roman"/>
          <w:b/>
          <w:color w:val="000000" w:themeColor="text1"/>
          <w:sz w:val="24"/>
          <w:szCs w:val="24"/>
        </w:rPr>
        <w:t>0,75</w:t>
      </w:r>
      <w:r w:rsidR="000704F2" w:rsidRPr="00A24314">
        <w:rPr>
          <w:rFonts w:ascii="Times New Roman" w:hAnsi="Times New Roman" w:cs="Times New Roman"/>
          <w:b/>
          <w:color w:val="000000" w:themeColor="text1"/>
          <w:sz w:val="24"/>
          <w:szCs w:val="24"/>
        </w:rPr>
        <w:t>%,</w:t>
      </w:r>
      <w:r w:rsidR="000704F2" w:rsidRPr="00A24314">
        <w:rPr>
          <w:rFonts w:ascii="Times New Roman" w:hAnsi="Times New Roman" w:cs="Times New Roman"/>
          <w:color w:val="000000" w:themeColor="text1"/>
          <w:sz w:val="24"/>
          <w:szCs w:val="24"/>
        </w:rPr>
        <w:t xml:space="preserve"> reprezentând </w:t>
      </w:r>
      <w:r w:rsidRPr="00A24314">
        <w:rPr>
          <w:rFonts w:ascii="Times New Roman" w:hAnsi="Times New Roman" w:cs="Times New Roman"/>
          <w:color w:val="000000" w:themeColor="text1"/>
          <w:sz w:val="24"/>
          <w:szCs w:val="24"/>
        </w:rPr>
        <w:t>15</w:t>
      </w:r>
      <w:r w:rsidR="000704F2" w:rsidRPr="00A24314">
        <w:rPr>
          <w:rFonts w:ascii="Times New Roman" w:hAnsi="Times New Roman" w:cs="Times New Roman"/>
          <w:color w:val="000000" w:themeColor="text1"/>
          <w:sz w:val="24"/>
          <w:szCs w:val="24"/>
        </w:rPr>
        <w:t xml:space="preserve"> entități publice au un sistem de control intern managerial ne</w:t>
      </w:r>
      <w:r w:rsidR="000704F2" w:rsidRPr="00A24314">
        <w:rPr>
          <w:rFonts w:ascii="Times New Roman" w:hAnsi="Times New Roman" w:cs="Times New Roman"/>
          <w:bCs/>
          <w:color w:val="000000" w:themeColor="text1"/>
          <w:sz w:val="24"/>
          <w:szCs w:val="24"/>
        </w:rPr>
        <w:t xml:space="preserve">conform </w:t>
      </w:r>
      <w:r w:rsidR="000704F2" w:rsidRPr="00A24314">
        <w:rPr>
          <w:rFonts w:ascii="Times New Roman" w:hAnsi="Times New Roman" w:cs="Times New Roman"/>
          <w:color w:val="000000" w:themeColor="text1"/>
          <w:sz w:val="24"/>
          <w:szCs w:val="24"/>
        </w:rPr>
        <w:t>cu standardele.</w:t>
      </w:r>
    </w:p>
    <w:p w:rsidR="00EE6692" w:rsidRDefault="00EE6692" w:rsidP="00EE6692">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inline distT="0" distB="0" distL="0" distR="0" wp14:anchorId="126B4983" wp14:editId="38EFD220">
            <wp:extent cx="5956935" cy="2759710"/>
            <wp:effectExtent l="0" t="0" r="5715" b="2540"/>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EE6692" w:rsidRDefault="00EE6692" w:rsidP="0068681F">
      <w:pPr>
        <w:spacing w:line="276" w:lineRule="auto"/>
        <w:jc w:val="center"/>
        <w:rPr>
          <w:rFonts w:ascii="Times New Roman" w:hAnsi="Times New Roman" w:cs="Times New Roman"/>
          <w:sz w:val="24"/>
          <w:szCs w:val="24"/>
        </w:rPr>
      </w:pPr>
      <w:r>
        <w:rPr>
          <w:rFonts w:ascii="Times New Roman" w:hAnsi="Times New Roman" w:cs="Times New Roman"/>
          <w:noProof/>
          <w:sz w:val="24"/>
          <w:szCs w:val="24"/>
          <w:lang w:eastAsia="ro-RO"/>
        </w:rPr>
        <w:drawing>
          <wp:inline distT="0" distB="0" distL="0" distR="0" wp14:anchorId="1AAD46FC" wp14:editId="0488FF07">
            <wp:extent cx="5956935" cy="2759710"/>
            <wp:effectExtent l="0" t="0" r="5715" b="254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EE6692" w:rsidRPr="00EE6692" w:rsidRDefault="00EE6692" w:rsidP="00EE6692">
      <w:pPr>
        <w:spacing w:line="276" w:lineRule="auto"/>
        <w:jc w:val="both"/>
        <w:rPr>
          <w:rFonts w:ascii="Times New Roman" w:hAnsi="Times New Roman" w:cs="Times New Roman"/>
          <w:sz w:val="24"/>
          <w:szCs w:val="24"/>
        </w:rPr>
      </w:pPr>
    </w:p>
    <w:p w:rsidR="00F2349F" w:rsidRPr="00A24314" w:rsidRDefault="00F2349F" w:rsidP="0068681F">
      <w:pPr>
        <w:spacing w:line="276" w:lineRule="auto"/>
        <w:jc w:val="both"/>
        <w:rPr>
          <w:rFonts w:ascii="Times New Roman" w:hAnsi="Times New Roman" w:cs="Times New Roman"/>
          <w:sz w:val="24"/>
          <w:szCs w:val="24"/>
        </w:rPr>
      </w:pPr>
      <w:r w:rsidRPr="00A24314">
        <w:rPr>
          <w:rFonts w:ascii="Times New Roman" w:hAnsi="Times New Roman" w:cs="Times New Roman"/>
          <w:sz w:val="24"/>
          <w:szCs w:val="24"/>
        </w:rPr>
        <w:t>Din Anexa nr. 3 la Raport, rezultă că peste 50% din totalul entităților publice subordonate sau în coordonare au implementat sistemul de contol intern managerial în conformitate cu cadrul de reglementare în domeniu.</w:t>
      </w:r>
    </w:p>
    <w:p w:rsidR="00A24314" w:rsidRPr="00A24314" w:rsidRDefault="00A24314" w:rsidP="00A24314">
      <w:pPr>
        <w:tabs>
          <w:tab w:val="left" w:pos="630"/>
          <w:tab w:val="left" w:pos="720"/>
        </w:tabs>
        <w:spacing w:line="276" w:lineRule="auto"/>
        <w:jc w:val="both"/>
        <w:rPr>
          <w:rFonts w:ascii="Times New Roman" w:hAnsi="Times New Roman" w:cs="Times New Roman"/>
          <w:sz w:val="24"/>
          <w:szCs w:val="24"/>
        </w:rPr>
      </w:pPr>
    </w:p>
    <w:p w:rsidR="00A44850" w:rsidRPr="00A24314" w:rsidRDefault="00A44850" w:rsidP="00A24314">
      <w:pPr>
        <w:tabs>
          <w:tab w:val="left" w:pos="630"/>
          <w:tab w:val="left" w:pos="720"/>
        </w:tabs>
        <w:spacing w:after="120" w:line="276" w:lineRule="auto"/>
        <w:jc w:val="both"/>
        <w:rPr>
          <w:rFonts w:ascii="Times New Roman" w:hAnsi="Times New Roman" w:cs="Times New Roman"/>
          <w:color w:val="000000" w:themeColor="text1"/>
          <w:sz w:val="24"/>
          <w:szCs w:val="24"/>
        </w:rPr>
      </w:pPr>
      <w:r w:rsidRPr="00A24314">
        <w:rPr>
          <w:rFonts w:ascii="Times New Roman" w:hAnsi="Times New Roman" w:cs="Times New Roman"/>
          <w:color w:val="000000" w:themeColor="text1"/>
          <w:sz w:val="24"/>
          <w:szCs w:val="24"/>
        </w:rPr>
        <w:t xml:space="preserve">Analizând comparativ informaţiile raportate de ordonatorii principali de credite, centralizate în tabelul de mai sus, se desprind următoarele concluzii: </w:t>
      </w:r>
    </w:p>
    <w:p w:rsidR="005D148A" w:rsidRPr="00A24314" w:rsidRDefault="00373308" w:rsidP="00A24314">
      <w:pPr>
        <w:spacing w:after="120" w:line="276" w:lineRule="auto"/>
        <w:jc w:val="both"/>
        <w:rPr>
          <w:rFonts w:ascii="Times New Roman" w:hAnsi="Times New Roman" w:cs="Times New Roman"/>
          <w:b/>
          <w:color w:val="000000" w:themeColor="text1"/>
          <w:sz w:val="24"/>
          <w:szCs w:val="24"/>
        </w:rPr>
      </w:pPr>
      <w:r w:rsidRPr="00A24314">
        <w:rPr>
          <w:rFonts w:ascii="Times New Roman" w:hAnsi="Times New Roman" w:cs="Times New Roman"/>
          <w:b/>
          <w:color w:val="000000" w:themeColor="text1"/>
          <w:sz w:val="24"/>
          <w:szCs w:val="24"/>
        </w:rPr>
        <w:t>Conformitatea sistemului de control intern managerial</w:t>
      </w:r>
    </w:p>
    <w:p w:rsidR="005D148A" w:rsidRPr="00A24314" w:rsidRDefault="00A44850" w:rsidP="00C7604C">
      <w:pPr>
        <w:pStyle w:val="ListParagraph"/>
        <w:numPr>
          <w:ilvl w:val="0"/>
          <w:numId w:val="3"/>
        </w:numPr>
        <w:spacing w:after="120" w:line="276" w:lineRule="auto"/>
        <w:contextualSpacing w:val="0"/>
        <w:jc w:val="both"/>
        <w:rPr>
          <w:rFonts w:ascii="Times New Roman" w:hAnsi="Times New Roman" w:cs="Times New Roman"/>
          <w:color w:val="000000" w:themeColor="text1"/>
          <w:sz w:val="24"/>
          <w:szCs w:val="24"/>
        </w:rPr>
      </w:pPr>
      <w:r w:rsidRPr="00A24314">
        <w:rPr>
          <w:rFonts w:ascii="Times New Roman" w:hAnsi="Times New Roman" w:cs="Times New Roman"/>
          <w:color w:val="000000" w:themeColor="text1"/>
          <w:sz w:val="24"/>
          <w:szCs w:val="24"/>
        </w:rPr>
        <w:t>marea majoritatea a ordonatorilor principali de credite au un sistem de control intern managerial parţial conform</w:t>
      </w:r>
      <w:r w:rsidR="00E15B5F" w:rsidRPr="00A24314">
        <w:rPr>
          <w:rFonts w:ascii="Times New Roman" w:hAnsi="Times New Roman" w:cs="Times New Roman"/>
          <w:color w:val="000000" w:themeColor="text1"/>
          <w:sz w:val="24"/>
          <w:szCs w:val="24"/>
        </w:rPr>
        <w:t>,</w:t>
      </w:r>
      <w:r w:rsidR="000D274D" w:rsidRPr="00A24314">
        <w:rPr>
          <w:rFonts w:ascii="Times New Roman" w:hAnsi="Times New Roman" w:cs="Times New Roman"/>
          <w:color w:val="000000" w:themeColor="text1"/>
          <w:sz w:val="24"/>
          <w:szCs w:val="24"/>
        </w:rPr>
        <w:t xml:space="preserve"> la fel ca şi în anul 201</w:t>
      </w:r>
      <w:r w:rsidR="007652D4" w:rsidRPr="00A24314">
        <w:rPr>
          <w:rFonts w:ascii="Times New Roman" w:hAnsi="Times New Roman" w:cs="Times New Roman"/>
          <w:color w:val="000000" w:themeColor="text1"/>
          <w:sz w:val="24"/>
          <w:szCs w:val="24"/>
        </w:rPr>
        <w:t>5</w:t>
      </w:r>
      <w:r w:rsidRPr="00A24314">
        <w:rPr>
          <w:rFonts w:ascii="Times New Roman" w:hAnsi="Times New Roman" w:cs="Times New Roman"/>
          <w:color w:val="000000" w:themeColor="text1"/>
          <w:sz w:val="24"/>
          <w:szCs w:val="24"/>
        </w:rPr>
        <w:t xml:space="preserve">; </w:t>
      </w:r>
    </w:p>
    <w:p w:rsidR="005D148A" w:rsidRPr="00A24314" w:rsidRDefault="00373308" w:rsidP="00A24314">
      <w:pPr>
        <w:spacing w:after="120" w:line="276" w:lineRule="auto"/>
        <w:jc w:val="both"/>
        <w:rPr>
          <w:rFonts w:ascii="Times New Roman" w:hAnsi="Times New Roman" w:cs="Times New Roman"/>
          <w:color w:val="000000" w:themeColor="text1"/>
          <w:sz w:val="24"/>
          <w:szCs w:val="24"/>
        </w:rPr>
      </w:pPr>
      <w:r w:rsidRPr="00A24314">
        <w:rPr>
          <w:rFonts w:ascii="Times New Roman" w:hAnsi="Times New Roman" w:cs="Times New Roman"/>
          <w:b/>
          <w:color w:val="000000" w:themeColor="text1"/>
          <w:sz w:val="24"/>
          <w:szCs w:val="24"/>
        </w:rPr>
        <w:t>Dezvoltarea sistemului de control intern managerial</w:t>
      </w:r>
    </w:p>
    <w:p w:rsidR="00ED4C2A" w:rsidRPr="00C71D30" w:rsidRDefault="004522EC" w:rsidP="00C7604C">
      <w:pPr>
        <w:pStyle w:val="ListParagraph"/>
        <w:numPr>
          <w:ilvl w:val="0"/>
          <w:numId w:val="3"/>
        </w:numPr>
        <w:spacing w:after="120" w:line="276" w:lineRule="auto"/>
        <w:contextualSpacing w:val="0"/>
        <w:jc w:val="both"/>
        <w:rPr>
          <w:rFonts w:ascii="Times New Roman" w:hAnsi="Times New Roman" w:cs="Times New Roman"/>
          <w:sz w:val="24"/>
          <w:szCs w:val="24"/>
        </w:rPr>
      </w:pPr>
      <w:r w:rsidRPr="00A24314">
        <w:rPr>
          <w:rFonts w:ascii="Times New Roman" w:hAnsi="Times New Roman" w:cs="Times New Roman"/>
          <w:color w:val="000000" w:themeColor="text1"/>
          <w:sz w:val="24"/>
          <w:szCs w:val="24"/>
        </w:rPr>
        <w:t>există</w:t>
      </w:r>
      <w:r w:rsidR="00A44850" w:rsidRPr="00A24314">
        <w:rPr>
          <w:rFonts w:ascii="Times New Roman" w:hAnsi="Times New Roman" w:cs="Times New Roman"/>
          <w:color w:val="000000" w:themeColor="text1"/>
          <w:sz w:val="24"/>
          <w:szCs w:val="24"/>
        </w:rPr>
        <w:t xml:space="preserve"> ordonatori principali de credite care </w:t>
      </w:r>
      <w:r w:rsidR="009B2B7E" w:rsidRPr="00A24314">
        <w:rPr>
          <w:rFonts w:ascii="Times New Roman" w:hAnsi="Times New Roman" w:cs="Times New Roman"/>
          <w:color w:val="000000" w:themeColor="text1"/>
          <w:sz w:val="24"/>
          <w:szCs w:val="24"/>
        </w:rPr>
        <w:t>au</w:t>
      </w:r>
      <w:r w:rsidR="00A44850" w:rsidRPr="00A24314">
        <w:rPr>
          <w:rFonts w:ascii="Times New Roman" w:hAnsi="Times New Roman" w:cs="Times New Roman"/>
          <w:color w:val="000000" w:themeColor="text1"/>
          <w:sz w:val="24"/>
          <w:szCs w:val="24"/>
        </w:rPr>
        <w:t xml:space="preserve"> înregistrat regrese</w:t>
      </w:r>
      <w:r w:rsidRPr="00A24314">
        <w:rPr>
          <w:rFonts w:ascii="Times New Roman" w:hAnsi="Times New Roman" w:cs="Times New Roman"/>
          <w:color w:val="000000" w:themeColor="text1"/>
          <w:sz w:val="24"/>
          <w:szCs w:val="24"/>
        </w:rPr>
        <w:t>, prin comparaţie cu anul 201</w:t>
      </w:r>
      <w:r w:rsidR="007652D4" w:rsidRPr="00A24314">
        <w:rPr>
          <w:rFonts w:ascii="Times New Roman" w:hAnsi="Times New Roman" w:cs="Times New Roman"/>
          <w:color w:val="000000" w:themeColor="text1"/>
          <w:sz w:val="24"/>
          <w:szCs w:val="24"/>
        </w:rPr>
        <w:t>5</w:t>
      </w:r>
      <w:r w:rsidRPr="00A24314">
        <w:rPr>
          <w:rFonts w:ascii="Times New Roman" w:hAnsi="Times New Roman" w:cs="Times New Roman"/>
          <w:color w:val="000000" w:themeColor="text1"/>
          <w:sz w:val="24"/>
          <w:szCs w:val="24"/>
        </w:rPr>
        <w:t xml:space="preserve">, </w:t>
      </w:r>
      <w:r w:rsidR="00C75216" w:rsidRPr="00A24314">
        <w:rPr>
          <w:rFonts w:ascii="Times New Roman" w:hAnsi="Times New Roman" w:cs="Times New Roman"/>
          <w:color w:val="000000" w:themeColor="text1"/>
          <w:sz w:val="24"/>
          <w:szCs w:val="24"/>
        </w:rPr>
        <w:t xml:space="preserve">trecând de la un sistem de control intern managerial </w:t>
      </w:r>
      <w:r w:rsidR="00C75216" w:rsidRPr="00A24314">
        <w:rPr>
          <w:rFonts w:ascii="Times New Roman" w:hAnsi="Times New Roman" w:cs="Times New Roman"/>
          <w:i/>
          <w:color w:val="000000" w:themeColor="text1"/>
          <w:sz w:val="24"/>
          <w:szCs w:val="24"/>
        </w:rPr>
        <w:t>conform</w:t>
      </w:r>
      <w:r w:rsidR="00C75216" w:rsidRPr="00A24314">
        <w:rPr>
          <w:rFonts w:ascii="Times New Roman" w:hAnsi="Times New Roman" w:cs="Times New Roman"/>
          <w:color w:val="000000" w:themeColor="text1"/>
          <w:sz w:val="24"/>
          <w:szCs w:val="24"/>
        </w:rPr>
        <w:t xml:space="preserve"> la un sistem de control intern managerial </w:t>
      </w:r>
      <w:r w:rsidR="00C75216" w:rsidRPr="00A24314">
        <w:rPr>
          <w:rFonts w:ascii="Times New Roman" w:hAnsi="Times New Roman" w:cs="Times New Roman"/>
          <w:i/>
          <w:color w:val="000000" w:themeColor="text1"/>
          <w:sz w:val="24"/>
          <w:szCs w:val="24"/>
        </w:rPr>
        <w:t>parţial conform</w:t>
      </w:r>
      <w:r w:rsidRPr="00A24314">
        <w:rPr>
          <w:rFonts w:ascii="Times New Roman" w:hAnsi="Times New Roman" w:cs="Times New Roman"/>
          <w:i/>
          <w:color w:val="000000" w:themeColor="text1"/>
          <w:sz w:val="24"/>
          <w:szCs w:val="24"/>
        </w:rPr>
        <w:t xml:space="preserve">, </w:t>
      </w:r>
      <w:r w:rsidRPr="00A24314">
        <w:rPr>
          <w:rFonts w:ascii="Times New Roman" w:hAnsi="Times New Roman" w:cs="Times New Roman"/>
          <w:color w:val="000000" w:themeColor="text1"/>
          <w:sz w:val="24"/>
          <w:szCs w:val="24"/>
        </w:rPr>
        <w:t>respectiv</w:t>
      </w:r>
      <w:r w:rsidR="009B2B7E" w:rsidRPr="00A24314">
        <w:rPr>
          <w:rFonts w:ascii="Times New Roman" w:hAnsi="Times New Roman" w:cs="Times New Roman"/>
          <w:color w:val="000000" w:themeColor="text1"/>
          <w:sz w:val="24"/>
          <w:szCs w:val="24"/>
        </w:rPr>
        <w:t xml:space="preserve">: </w:t>
      </w:r>
      <w:r w:rsidR="00661029" w:rsidRPr="00A24314">
        <w:rPr>
          <w:rFonts w:ascii="Times New Roman" w:hAnsi="Times New Roman" w:cs="Times New Roman"/>
          <w:color w:val="000000" w:themeColor="text1"/>
          <w:sz w:val="24"/>
          <w:szCs w:val="24"/>
        </w:rPr>
        <w:t>Consiliul Superior al Magistraturii și Agenţia Naţională de Presă Agerpres.</w:t>
      </w:r>
      <w:r w:rsidR="00ED4C2A" w:rsidRPr="00C71D30">
        <w:rPr>
          <w:rFonts w:ascii="Times New Roman" w:hAnsi="Times New Roman" w:cs="Times New Roman"/>
          <w:sz w:val="24"/>
          <w:szCs w:val="24"/>
        </w:rPr>
        <w:br w:type="page"/>
      </w:r>
    </w:p>
    <w:p w:rsidR="00ED4C2A" w:rsidRPr="007E0545" w:rsidRDefault="00C71D30" w:rsidP="00A24314">
      <w:pPr>
        <w:spacing w:after="120" w:line="276" w:lineRule="auto"/>
        <w:jc w:val="both"/>
        <w:rPr>
          <w:rFonts w:ascii="Times New Roman" w:hAnsi="Times New Roman" w:cs="Times New Roman"/>
          <w:b/>
          <w:sz w:val="24"/>
          <w:szCs w:val="24"/>
        </w:rPr>
      </w:pPr>
      <w:r>
        <w:rPr>
          <w:rFonts w:ascii="Times New Roman" w:hAnsi="Times New Roman" w:cs="Times New Roman"/>
          <w:b/>
          <w:sz w:val="24"/>
          <w:szCs w:val="24"/>
        </w:rPr>
        <w:t>Furnizarea unei asigurări rezonabile</w:t>
      </w:r>
    </w:p>
    <w:p w:rsidR="002A364C" w:rsidRPr="00A24314" w:rsidRDefault="00372784" w:rsidP="00C7604C">
      <w:pPr>
        <w:pStyle w:val="ListParagraph"/>
        <w:numPr>
          <w:ilvl w:val="0"/>
          <w:numId w:val="58"/>
        </w:numPr>
        <w:spacing w:after="120" w:line="276" w:lineRule="auto"/>
        <w:ind w:left="709" w:hanging="284"/>
        <w:contextualSpacing w:val="0"/>
        <w:jc w:val="both"/>
        <w:rPr>
          <w:rFonts w:ascii="Times New Roman" w:hAnsi="Times New Roman" w:cs="Times New Roman"/>
          <w:color w:val="000000" w:themeColor="text1"/>
          <w:sz w:val="24"/>
          <w:szCs w:val="24"/>
        </w:rPr>
      </w:pPr>
      <w:r w:rsidRPr="00A24314">
        <w:rPr>
          <w:rFonts w:ascii="Times New Roman" w:hAnsi="Times New Roman" w:cs="Times New Roman"/>
          <w:color w:val="000000" w:themeColor="text1"/>
          <w:sz w:val="24"/>
          <w:szCs w:val="24"/>
        </w:rPr>
        <w:t>In anul 2015</w:t>
      </w:r>
      <w:r w:rsidRPr="00A24314">
        <w:rPr>
          <w:rFonts w:ascii="Times New Roman" w:hAnsi="Times New Roman" w:cs="Times New Roman"/>
          <w:i/>
          <w:color w:val="000000" w:themeColor="text1"/>
          <w:sz w:val="24"/>
          <w:szCs w:val="24"/>
        </w:rPr>
        <w:t xml:space="preserve"> - </w:t>
      </w:r>
      <w:r w:rsidR="00FF6B1B" w:rsidRPr="00A24314">
        <w:rPr>
          <w:rFonts w:ascii="Times New Roman" w:hAnsi="Times New Roman" w:cs="Times New Roman"/>
          <w:i/>
          <w:color w:val="000000" w:themeColor="text1"/>
          <w:sz w:val="24"/>
          <w:szCs w:val="24"/>
        </w:rPr>
        <w:t xml:space="preserve">30 </w:t>
      </w:r>
      <w:r w:rsidR="002A364C" w:rsidRPr="00A24314">
        <w:rPr>
          <w:rFonts w:ascii="Times New Roman" w:hAnsi="Times New Roman" w:cs="Times New Roman"/>
          <w:i/>
          <w:color w:val="000000" w:themeColor="text1"/>
          <w:sz w:val="24"/>
          <w:szCs w:val="24"/>
        </w:rPr>
        <w:t xml:space="preserve">de ordonatori principali de credite, reprezentând </w:t>
      </w:r>
      <w:r w:rsidR="00FF6B1B" w:rsidRPr="00A24314">
        <w:rPr>
          <w:rFonts w:ascii="Times New Roman" w:hAnsi="Times New Roman" w:cs="Times New Roman"/>
          <w:i/>
          <w:color w:val="000000" w:themeColor="text1"/>
          <w:sz w:val="24"/>
          <w:szCs w:val="24"/>
        </w:rPr>
        <w:t>57,69</w:t>
      </w:r>
      <w:r w:rsidR="002A364C" w:rsidRPr="00A24314">
        <w:rPr>
          <w:rFonts w:ascii="Times New Roman" w:hAnsi="Times New Roman" w:cs="Times New Roman"/>
          <w:i/>
          <w:color w:val="000000" w:themeColor="text1"/>
          <w:sz w:val="24"/>
          <w:szCs w:val="24"/>
        </w:rPr>
        <w:t>%,</w:t>
      </w:r>
      <w:r w:rsidR="002A364C" w:rsidRPr="00A24314">
        <w:rPr>
          <w:rFonts w:ascii="Times New Roman" w:hAnsi="Times New Roman" w:cs="Times New Roman"/>
          <w:color w:val="000000" w:themeColor="text1"/>
          <w:sz w:val="24"/>
          <w:szCs w:val="24"/>
        </w:rPr>
        <w:t xml:space="preserve"> dispun</w:t>
      </w:r>
      <w:r w:rsidR="004C61ED" w:rsidRPr="00A24314">
        <w:rPr>
          <w:rFonts w:ascii="Times New Roman" w:hAnsi="Times New Roman" w:cs="Times New Roman"/>
          <w:color w:val="000000" w:themeColor="text1"/>
          <w:sz w:val="24"/>
          <w:szCs w:val="24"/>
        </w:rPr>
        <w:t xml:space="preserve"> de un sistem de control intern </w:t>
      </w:r>
      <w:r w:rsidR="002A364C" w:rsidRPr="00A24314">
        <w:rPr>
          <w:rFonts w:ascii="Times New Roman" w:hAnsi="Times New Roman" w:cs="Times New Roman"/>
          <w:color w:val="000000" w:themeColor="text1"/>
          <w:sz w:val="24"/>
          <w:szCs w:val="24"/>
        </w:rPr>
        <w:t xml:space="preserve">managerial care </w:t>
      </w:r>
      <w:r w:rsidR="002A364C" w:rsidRPr="00A24314">
        <w:rPr>
          <w:rFonts w:ascii="Times New Roman" w:hAnsi="Times New Roman" w:cs="Times New Roman"/>
          <w:i/>
          <w:iCs/>
          <w:color w:val="000000" w:themeColor="text1"/>
          <w:sz w:val="24"/>
          <w:szCs w:val="24"/>
        </w:rPr>
        <w:t xml:space="preserve">permite </w:t>
      </w:r>
      <w:r w:rsidR="002A364C" w:rsidRPr="00A24314">
        <w:rPr>
          <w:rFonts w:ascii="Times New Roman" w:hAnsi="Times New Roman" w:cs="Times New Roman"/>
          <w:color w:val="000000" w:themeColor="text1"/>
          <w:sz w:val="24"/>
          <w:szCs w:val="24"/>
        </w:rPr>
        <w:t xml:space="preserve">conducerii să furnizeze o asigurare rezonabilă că fondurile publice alocate au fost utilizate în condiţii de legalitate, regularitate, eficacitate, eficienţă şi economicitate, </w:t>
      </w:r>
      <w:r w:rsidR="00FF6B1B" w:rsidRPr="00A24314">
        <w:rPr>
          <w:rFonts w:ascii="Times New Roman" w:hAnsi="Times New Roman" w:cs="Times New Roman"/>
          <w:i/>
          <w:color w:val="000000" w:themeColor="text1"/>
          <w:sz w:val="24"/>
          <w:szCs w:val="24"/>
        </w:rPr>
        <w:t>22</w:t>
      </w:r>
      <w:r w:rsidR="002A364C" w:rsidRPr="00A24314">
        <w:rPr>
          <w:rFonts w:ascii="Times New Roman" w:hAnsi="Times New Roman" w:cs="Times New Roman"/>
          <w:i/>
          <w:color w:val="000000" w:themeColor="text1"/>
          <w:sz w:val="24"/>
          <w:szCs w:val="24"/>
        </w:rPr>
        <w:t xml:space="preserve"> de ordonatori principali de credite, reprezentând </w:t>
      </w:r>
      <w:r w:rsidR="00FF6B1B" w:rsidRPr="00A24314">
        <w:rPr>
          <w:rFonts w:ascii="Times New Roman" w:hAnsi="Times New Roman" w:cs="Times New Roman"/>
          <w:i/>
          <w:color w:val="000000" w:themeColor="text1"/>
          <w:sz w:val="24"/>
          <w:szCs w:val="24"/>
        </w:rPr>
        <w:t>42,31</w:t>
      </w:r>
      <w:r w:rsidR="002A364C" w:rsidRPr="00A24314">
        <w:rPr>
          <w:rFonts w:ascii="Times New Roman" w:hAnsi="Times New Roman" w:cs="Times New Roman"/>
          <w:i/>
          <w:color w:val="000000" w:themeColor="text1"/>
          <w:sz w:val="24"/>
          <w:szCs w:val="24"/>
        </w:rPr>
        <w:t>%</w:t>
      </w:r>
      <w:r w:rsidR="002A364C" w:rsidRPr="00A24314">
        <w:rPr>
          <w:rFonts w:ascii="Times New Roman" w:hAnsi="Times New Roman" w:cs="Times New Roman"/>
          <w:color w:val="000000" w:themeColor="text1"/>
          <w:sz w:val="24"/>
          <w:szCs w:val="24"/>
        </w:rPr>
        <w:t xml:space="preserve">, dispun de un sistem care </w:t>
      </w:r>
      <w:r w:rsidR="002A364C" w:rsidRPr="00A24314">
        <w:rPr>
          <w:rFonts w:ascii="Times New Roman" w:hAnsi="Times New Roman" w:cs="Times New Roman"/>
          <w:i/>
          <w:iCs/>
          <w:color w:val="000000" w:themeColor="text1"/>
          <w:sz w:val="24"/>
          <w:szCs w:val="24"/>
        </w:rPr>
        <w:t xml:space="preserve">permite parţial </w:t>
      </w:r>
      <w:r w:rsidR="000113AC" w:rsidRPr="00A24314">
        <w:rPr>
          <w:rFonts w:ascii="Times New Roman" w:hAnsi="Times New Roman" w:cs="Times New Roman"/>
          <w:color w:val="000000" w:themeColor="text1"/>
          <w:sz w:val="24"/>
          <w:szCs w:val="24"/>
        </w:rPr>
        <w:t>o astfel de asigurare</w:t>
      </w:r>
      <w:r w:rsidR="002A364C" w:rsidRPr="00A24314">
        <w:rPr>
          <w:rFonts w:ascii="Times New Roman" w:hAnsi="Times New Roman" w:cs="Times New Roman"/>
          <w:color w:val="000000" w:themeColor="text1"/>
          <w:sz w:val="24"/>
          <w:szCs w:val="24"/>
        </w:rPr>
        <w:t xml:space="preserve"> şi niciun ordonator de credite nu a raportat că sistemul </w:t>
      </w:r>
      <w:r w:rsidR="002A364C" w:rsidRPr="00A24314">
        <w:rPr>
          <w:rFonts w:ascii="Times New Roman" w:hAnsi="Times New Roman" w:cs="Times New Roman"/>
          <w:i/>
          <w:iCs/>
          <w:color w:val="000000" w:themeColor="text1"/>
          <w:sz w:val="24"/>
          <w:szCs w:val="24"/>
        </w:rPr>
        <w:t xml:space="preserve">nu permite </w:t>
      </w:r>
      <w:r w:rsidR="002A364C" w:rsidRPr="00A24314">
        <w:rPr>
          <w:rFonts w:ascii="Times New Roman" w:hAnsi="Times New Roman" w:cs="Times New Roman"/>
          <w:color w:val="000000" w:themeColor="text1"/>
          <w:sz w:val="24"/>
          <w:szCs w:val="24"/>
        </w:rPr>
        <w:t xml:space="preserve">conducerii furnizarea unei asigurări rezonabile; </w:t>
      </w:r>
    </w:p>
    <w:p w:rsidR="00372784" w:rsidRPr="00A24314" w:rsidRDefault="00372784" w:rsidP="00C7604C">
      <w:pPr>
        <w:pStyle w:val="ListParagraph"/>
        <w:numPr>
          <w:ilvl w:val="0"/>
          <w:numId w:val="58"/>
        </w:numPr>
        <w:spacing w:after="120" w:line="276" w:lineRule="auto"/>
        <w:ind w:left="709" w:hanging="284"/>
        <w:contextualSpacing w:val="0"/>
        <w:jc w:val="both"/>
        <w:rPr>
          <w:rFonts w:ascii="Times New Roman" w:hAnsi="Times New Roman" w:cs="Times New Roman"/>
          <w:color w:val="000000" w:themeColor="text1"/>
          <w:sz w:val="24"/>
          <w:szCs w:val="24"/>
        </w:rPr>
      </w:pPr>
      <w:r w:rsidRPr="00A24314">
        <w:rPr>
          <w:rFonts w:ascii="Times New Roman" w:hAnsi="Times New Roman" w:cs="Times New Roman"/>
          <w:color w:val="000000" w:themeColor="text1"/>
          <w:sz w:val="24"/>
          <w:szCs w:val="24"/>
        </w:rPr>
        <w:t>In anul 2016</w:t>
      </w:r>
      <w:r w:rsidRPr="00A24314">
        <w:rPr>
          <w:rFonts w:ascii="Times New Roman" w:hAnsi="Times New Roman" w:cs="Times New Roman"/>
          <w:i/>
          <w:color w:val="000000" w:themeColor="text1"/>
          <w:sz w:val="24"/>
          <w:szCs w:val="24"/>
        </w:rPr>
        <w:t xml:space="preserve"> – 26 de ordonatori principali de credite, reprezentând 52 %,</w:t>
      </w:r>
      <w:r w:rsidRPr="00A24314">
        <w:rPr>
          <w:rFonts w:ascii="Times New Roman" w:hAnsi="Times New Roman" w:cs="Times New Roman"/>
          <w:color w:val="000000" w:themeColor="text1"/>
          <w:sz w:val="24"/>
          <w:szCs w:val="24"/>
        </w:rPr>
        <w:t xml:space="preserve"> dispun de un sistem de control intern managerial care </w:t>
      </w:r>
      <w:r w:rsidRPr="00A24314">
        <w:rPr>
          <w:rFonts w:ascii="Times New Roman" w:hAnsi="Times New Roman" w:cs="Times New Roman"/>
          <w:i/>
          <w:iCs/>
          <w:color w:val="000000" w:themeColor="text1"/>
          <w:sz w:val="24"/>
          <w:szCs w:val="24"/>
        </w:rPr>
        <w:t xml:space="preserve">permite </w:t>
      </w:r>
      <w:r w:rsidRPr="00A24314">
        <w:rPr>
          <w:rFonts w:ascii="Times New Roman" w:hAnsi="Times New Roman" w:cs="Times New Roman"/>
          <w:color w:val="000000" w:themeColor="text1"/>
          <w:sz w:val="24"/>
          <w:szCs w:val="24"/>
        </w:rPr>
        <w:t xml:space="preserve">conducerii să furnizeze o asigurare rezonabilă că fondurile publice alocate au fost utilizate în condiţii de legalitate, regularitate, eficacitate, eficienţă şi economicitate, </w:t>
      </w:r>
      <w:r w:rsidRPr="00A24314">
        <w:rPr>
          <w:rFonts w:ascii="Times New Roman" w:hAnsi="Times New Roman" w:cs="Times New Roman"/>
          <w:i/>
          <w:color w:val="000000" w:themeColor="text1"/>
          <w:sz w:val="24"/>
          <w:szCs w:val="24"/>
        </w:rPr>
        <w:t>24 de ordonatori principali de credite, reprezentând 48,00%,</w:t>
      </w:r>
      <w:r w:rsidRPr="00A24314">
        <w:rPr>
          <w:rFonts w:ascii="Times New Roman" w:hAnsi="Times New Roman" w:cs="Times New Roman"/>
          <w:color w:val="000000" w:themeColor="text1"/>
          <w:sz w:val="24"/>
          <w:szCs w:val="24"/>
        </w:rPr>
        <w:t xml:space="preserve"> dispun de un sistem care </w:t>
      </w:r>
      <w:r w:rsidRPr="00A24314">
        <w:rPr>
          <w:rFonts w:ascii="Times New Roman" w:hAnsi="Times New Roman" w:cs="Times New Roman"/>
          <w:i/>
          <w:iCs/>
          <w:color w:val="000000" w:themeColor="text1"/>
          <w:sz w:val="24"/>
          <w:szCs w:val="24"/>
        </w:rPr>
        <w:t xml:space="preserve">permite parţial </w:t>
      </w:r>
      <w:r w:rsidRPr="00A24314">
        <w:rPr>
          <w:rFonts w:ascii="Times New Roman" w:hAnsi="Times New Roman" w:cs="Times New Roman"/>
          <w:color w:val="000000" w:themeColor="text1"/>
          <w:sz w:val="24"/>
          <w:szCs w:val="24"/>
        </w:rPr>
        <w:t xml:space="preserve">o astfel de asigurare şi niciun ordonator de credite nu a raportat că sistemul </w:t>
      </w:r>
      <w:r w:rsidRPr="00A24314">
        <w:rPr>
          <w:rFonts w:ascii="Times New Roman" w:hAnsi="Times New Roman" w:cs="Times New Roman"/>
          <w:i/>
          <w:iCs/>
          <w:color w:val="000000" w:themeColor="text1"/>
          <w:sz w:val="24"/>
          <w:szCs w:val="24"/>
        </w:rPr>
        <w:t xml:space="preserve">nu permite </w:t>
      </w:r>
      <w:r w:rsidRPr="00A24314">
        <w:rPr>
          <w:rFonts w:ascii="Times New Roman" w:hAnsi="Times New Roman" w:cs="Times New Roman"/>
          <w:color w:val="000000" w:themeColor="text1"/>
          <w:sz w:val="24"/>
          <w:szCs w:val="24"/>
        </w:rPr>
        <w:t>conducerii furnizarea unei asigurări rezonabile, așa cum rezultă din g</w:t>
      </w:r>
      <w:r w:rsidR="00555820">
        <w:rPr>
          <w:rFonts w:ascii="Times New Roman" w:hAnsi="Times New Roman" w:cs="Times New Roman"/>
          <w:color w:val="000000" w:themeColor="text1"/>
          <w:sz w:val="24"/>
          <w:szCs w:val="24"/>
        </w:rPr>
        <w:t>raficul de mai jos.</w:t>
      </w:r>
      <w:r w:rsidRPr="00A24314">
        <w:rPr>
          <w:rFonts w:ascii="Times New Roman" w:hAnsi="Times New Roman" w:cs="Times New Roman"/>
          <w:color w:val="000000" w:themeColor="text1"/>
          <w:sz w:val="24"/>
          <w:szCs w:val="24"/>
        </w:rPr>
        <w:t xml:space="preserve"> </w:t>
      </w:r>
    </w:p>
    <w:p w:rsidR="00F529FE" w:rsidRPr="00F529FE" w:rsidRDefault="00F529FE" w:rsidP="00115E6B">
      <w:pPr>
        <w:spacing w:line="276" w:lineRule="auto"/>
        <w:ind w:left="360" w:hanging="76"/>
        <w:jc w:val="both"/>
        <w:rPr>
          <w:rFonts w:ascii="Times New Roman" w:hAnsi="Times New Roman" w:cs="Times New Roman"/>
          <w:sz w:val="24"/>
          <w:szCs w:val="24"/>
        </w:rPr>
      </w:pPr>
      <w:r>
        <w:rPr>
          <w:rFonts w:ascii="Times New Roman" w:hAnsi="Times New Roman" w:cs="Times New Roman"/>
          <w:noProof/>
          <w:sz w:val="24"/>
          <w:szCs w:val="24"/>
          <w:lang w:eastAsia="ro-RO"/>
        </w:rPr>
        <w:drawing>
          <wp:inline distT="0" distB="0" distL="0" distR="0" wp14:anchorId="7336092B" wp14:editId="7B0AA0B7">
            <wp:extent cx="5956935" cy="2347415"/>
            <wp:effectExtent l="0" t="0" r="5715" b="15240"/>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115E6B" w:rsidRPr="00115E6B" w:rsidRDefault="00115E6B" w:rsidP="00115E6B">
      <w:pPr>
        <w:spacing w:line="276" w:lineRule="auto"/>
        <w:ind w:left="426" w:hanging="142"/>
        <w:rPr>
          <w:rFonts w:ascii="Times New Roman" w:hAnsi="Times New Roman" w:cs="Times New Roman"/>
          <w:sz w:val="24"/>
          <w:szCs w:val="24"/>
        </w:rPr>
      </w:pPr>
      <w:r>
        <w:rPr>
          <w:rFonts w:ascii="Times New Roman" w:hAnsi="Times New Roman" w:cs="Times New Roman"/>
          <w:noProof/>
          <w:sz w:val="24"/>
          <w:szCs w:val="24"/>
          <w:lang w:eastAsia="ro-RO"/>
        </w:rPr>
        <w:drawing>
          <wp:inline distT="0" distB="0" distL="0" distR="0" wp14:anchorId="396B10BB" wp14:editId="5B6D97A5">
            <wp:extent cx="5956935" cy="2552131"/>
            <wp:effectExtent l="0" t="0" r="5715" b="635"/>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A06F62" w:rsidRPr="007E0545" w:rsidRDefault="00A06F62" w:rsidP="00A06F62">
      <w:pPr>
        <w:spacing w:after="240" w:line="276" w:lineRule="auto"/>
        <w:jc w:val="both"/>
        <w:rPr>
          <w:rFonts w:ascii="Times New Roman" w:hAnsi="Times New Roman" w:cs="Times New Roman"/>
          <w:b/>
          <w:sz w:val="24"/>
          <w:szCs w:val="24"/>
        </w:rPr>
      </w:pPr>
      <w:r>
        <w:rPr>
          <w:rFonts w:ascii="Times New Roman" w:hAnsi="Times New Roman" w:cs="Times New Roman"/>
          <w:b/>
          <w:sz w:val="24"/>
          <w:szCs w:val="24"/>
        </w:rPr>
        <w:t>Mecanisme de autocontrol</w:t>
      </w:r>
    </w:p>
    <w:p w:rsidR="002A364C" w:rsidRPr="005164A5" w:rsidRDefault="000F5F68" w:rsidP="00C7604C">
      <w:pPr>
        <w:pStyle w:val="ListParagraph"/>
        <w:numPr>
          <w:ilvl w:val="0"/>
          <w:numId w:val="59"/>
        </w:numPr>
        <w:spacing w:after="120" w:line="276" w:lineRule="auto"/>
        <w:ind w:left="714" w:hanging="357"/>
        <w:contextualSpacing w:val="0"/>
        <w:jc w:val="both"/>
        <w:rPr>
          <w:rFonts w:ascii="Times New Roman" w:hAnsi="Times New Roman" w:cs="Times New Roman"/>
          <w:color w:val="000000" w:themeColor="text1"/>
          <w:sz w:val="24"/>
          <w:szCs w:val="24"/>
        </w:rPr>
      </w:pPr>
      <w:r w:rsidRPr="005164A5">
        <w:rPr>
          <w:rFonts w:ascii="Times New Roman" w:hAnsi="Times New Roman" w:cs="Times New Roman"/>
          <w:color w:val="000000" w:themeColor="text1"/>
          <w:sz w:val="24"/>
          <w:szCs w:val="24"/>
        </w:rPr>
        <w:t>În anul 2015</w:t>
      </w:r>
      <w:r w:rsidRPr="005164A5">
        <w:rPr>
          <w:rFonts w:ascii="Times New Roman" w:hAnsi="Times New Roman" w:cs="Times New Roman"/>
          <w:i/>
          <w:color w:val="000000" w:themeColor="text1"/>
          <w:sz w:val="24"/>
          <w:szCs w:val="24"/>
        </w:rPr>
        <w:t xml:space="preserve"> </w:t>
      </w:r>
      <w:r w:rsidR="002A364C" w:rsidRPr="005164A5">
        <w:rPr>
          <w:rFonts w:ascii="Times New Roman" w:hAnsi="Times New Roman" w:cs="Times New Roman"/>
          <w:color w:val="000000" w:themeColor="text1"/>
          <w:sz w:val="24"/>
          <w:szCs w:val="24"/>
        </w:rPr>
        <w:t>pentru un număr de</w:t>
      </w:r>
      <w:r w:rsidR="002A364C" w:rsidRPr="005164A5">
        <w:rPr>
          <w:rFonts w:ascii="Times New Roman" w:hAnsi="Times New Roman" w:cs="Times New Roman"/>
          <w:i/>
          <w:color w:val="000000" w:themeColor="text1"/>
          <w:sz w:val="24"/>
          <w:szCs w:val="24"/>
        </w:rPr>
        <w:t xml:space="preserve"> </w:t>
      </w:r>
      <w:r w:rsidR="00FF6B1B" w:rsidRPr="005164A5">
        <w:rPr>
          <w:rFonts w:ascii="Times New Roman" w:hAnsi="Times New Roman" w:cs="Times New Roman"/>
          <w:i/>
          <w:color w:val="000000" w:themeColor="text1"/>
          <w:sz w:val="24"/>
          <w:szCs w:val="24"/>
        </w:rPr>
        <w:t>31</w:t>
      </w:r>
      <w:r w:rsidR="002A364C" w:rsidRPr="005164A5">
        <w:rPr>
          <w:rFonts w:ascii="Times New Roman" w:hAnsi="Times New Roman" w:cs="Times New Roman"/>
          <w:i/>
          <w:color w:val="000000" w:themeColor="text1"/>
          <w:sz w:val="24"/>
          <w:szCs w:val="24"/>
        </w:rPr>
        <w:t xml:space="preserve"> de ordonatori principali de credite, reprezentând </w:t>
      </w:r>
      <w:r w:rsidR="005C34B4" w:rsidRPr="005164A5">
        <w:rPr>
          <w:rFonts w:ascii="Times New Roman" w:hAnsi="Times New Roman" w:cs="Times New Roman"/>
          <w:i/>
          <w:color w:val="000000" w:themeColor="text1"/>
          <w:sz w:val="24"/>
          <w:szCs w:val="24"/>
        </w:rPr>
        <w:t>59,62</w:t>
      </w:r>
      <w:r w:rsidR="00F02381" w:rsidRPr="005164A5">
        <w:rPr>
          <w:rFonts w:ascii="Times New Roman" w:hAnsi="Times New Roman" w:cs="Times New Roman"/>
          <w:i/>
          <w:color w:val="000000" w:themeColor="text1"/>
          <w:sz w:val="24"/>
          <w:szCs w:val="24"/>
        </w:rPr>
        <w:t>%,</w:t>
      </w:r>
      <w:r w:rsidR="00F02381" w:rsidRPr="005164A5">
        <w:rPr>
          <w:rFonts w:ascii="Times New Roman" w:hAnsi="Times New Roman" w:cs="Times New Roman"/>
          <w:color w:val="000000" w:themeColor="text1"/>
          <w:sz w:val="24"/>
          <w:szCs w:val="24"/>
        </w:rPr>
        <w:t xml:space="preserve"> sistemul de control intern </w:t>
      </w:r>
      <w:r w:rsidR="002A364C" w:rsidRPr="005164A5">
        <w:rPr>
          <w:rFonts w:ascii="Times New Roman" w:hAnsi="Times New Roman" w:cs="Times New Roman"/>
          <w:color w:val="000000" w:themeColor="text1"/>
          <w:sz w:val="24"/>
          <w:szCs w:val="24"/>
        </w:rPr>
        <w:t xml:space="preserve">managerial </w:t>
      </w:r>
      <w:r w:rsidR="002A364C" w:rsidRPr="005164A5">
        <w:rPr>
          <w:rFonts w:ascii="Times New Roman" w:hAnsi="Times New Roman" w:cs="Times New Roman"/>
          <w:i/>
          <w:iCs/>
          <w:color w:val="000000" w:themeColor="text1"/>
          <w:sz w:val="24"/>
          <w:szCs w:val="24"/>
        </w:rPr>
        <w:t xml:space="preserve">cuprinde </w:t>
      </w:r>
      <w:r w:rsidR="00E51050" w:rsidRPr="005164A5">
        <w:rPr>
          <w:rFonts w:ascii="Times New Roman" w:hAnsi="Times New Roman" w:cs="Times New Roman"/>
          <w:color w:val="000000" w:themeColor="text1"/>
          <w:sz w:val="24"/>
          <w:szCs w:val="24"/>
        </w:rPr>
        <w:t>mecanisme de autocontrol iar</w:t>
      </w:r>
      <w:r w:rsidR="002A364C" w:rsidRPr="005164A5">
        <w:rPr>
          <w:rFonts w:ascii="Times New Roman" w:hAnsi="Times New Roman" w:cs="Times New Roman"/>
          <w:color w:val="000000" w:themeColor="text1"/>
          <w:sz w:val="24"/>
          <w:szCs w:val="24"/>
        </w:rPr>
        <w:t xml:space="preserve"> pentru un număr de </w:t>
      </w:r>
      <w:r w:rsidR="005C34B4" w:rsidRPr="005164A5">
        <w:rPr>
          <w:rFonts w:ascii="Times New Roman" w:hAnsi="Times New Roman" w:cs="Times New Roman"/>
          <w:i/>
          <w:color w:val="000000" w:themeColor="text1"/>
          <w:sz w:val="24"/>
          <w:szCs w:val="24"/>
        </w:rPr>
        <w:t>21</w:t>
      </w:r>
      <w:r w:rsidR="002A364C" w:rsidRPr="005164A5">
        <w:rPr>
          <w:rFonts w:ascii="Times New Roman" w:hAnsi="Times New Roman" w:cs="Times New Roman"/>
          <w:i/>
          <w:color w:val="000000" w:themeColor="text1"/>
          <w:sz w:val="24"/>
          <w:szCs w:val="24"/>
        </w:rPr>
        <w:t xml:space="preserve"> de ordonatori principali de credite</w:t>
      </w:r>
      <w:r w:rsidR="002A364C" w:rsidRPr="005164A5">
        <w:rPr>
          <w:rFonts w:ascii="Times New Roman" w:hAnsi="Times New Roman" w:cs="Times New Roman"/>
          <w:color w:val="000000" w:themeColor="text1"/>
          <w:sz w:val="24"/>
          <w:szCs w:val="24"/>
        </w:rPr>
        <w:t xml:space="preserve">, </w:t>
      </w:r>
      <w:r w:rsidR="002A364C" w:rsidRPr="005164A5">
        <w:rPr>
          <w:rFonts w:ascii="Times New Roman" w:hAnsi="Times New Roman" w:cs="Times New Roman"/>
          <w:i/>
          <w:color w:val="000000" w:themeColor="text1"/>
          <w:sz w:val="24"/>
          <w:szCs w:val="24"/>
        </w:rPr>
        <w:t xml:space="preserve">reprezentând </w:t>
      </w:r>
      <w:r w:rsidR="00F94781" w:rsidRPr="005164A5">
        <w:rPr>
          <w:rFonts w:ascii="Times New Roman" w:hAnsi="Times New Roman" w:cs="Times New Roman"/>
          <w:i/>
          <w:color w:val="000000" w:themeColor="text1"/>
          <w:sz w:val="24"/>
          <w:szCs w:val="24"/>
        </w:rPr>
        <w:t>40</w:t>
      </w:r>
      <w:r w:rsidR="005C34B4" w:rsidRPr="005164A5">
        <w:rPr>
          <w:rFonts w:ascii="Times New Roman" w:hAnsi="Times New Roman" w:cs="Times New Roman"/>
          <w:i/>
          <w:color w:val="000000" w:themeColor="text1"/>
          <w:sz w:val="24"/>
          <w:szCs w:val="24"/>
        </w:rPr>
        <w:t>,38</w:t>
      </w:r>
      <w:r w:rsidR="002A364C" w:rsidRPr="005164A5">
        <w:rPr>
          <w:rFonts w:ascii="Times New Roman" w:hAnsi="Times New Roman" w:cs="Times New Roman"/>
          <w:i/>
          <w:color w:val="000000" w:themeColor="text1"/>
          <w:sz w:val="24"/>
          <w:szCs w:val="24"/>
        </w:rPr>
        <w:t>%,</w:t>
      </w:r>
      <w:r w:rsidR="002A364C" w:rsidRPr="005164A5">
        <w:rPr>
          <w:rFonts w:ascii="Times New Roman" w:hAnsi="Times New Roman" w:cs="Times New Roman"/>
          <w:color w:val="000000" w:themeColor="text1"/>
          <w:sz w:val="24"/>
          <w:szCs w:val="24"/>
        </w:rPr>
        <w:t xml:space="preserve"> sistemul </w:t>
      </w:r>
      <w:r w:rsidR="002A364C" w:rsidRPr="005164A5">
        <w:rPr>
          <w:rFonts w:ascii="Times New Roman" w:hAnsi="Times New Roman" w:cs="Times New Roman"/>
          <w:i/>
          <w:iCs/>
          <w:color w:val="000000" w:themeColor="text1"/>
          <w:sz w:val="24"/>
          <w:szCs w:val="24"/>
        </w:rPr>
        <w:t xml:space="preserve">cuprinde parţial </w:t>
      </w:r>
      <w:r w:rsidR="002A364C" w:rsidRPr="005164A5">
        <w:rPr>
          <w:rFonts w:ascii="Times New Roman" w:hAnsi="Times New Roman" w:cs="Times New Roman"/>
          <w:color w:val="000000" w:themeColor="text1"/>
          <w:sz w:val="24"/>
          <w:szCs w:val="24"/>
        </w:rPr>
        <w:t>astfel de mecanisme</w:t>
      </w:r>
      <w:r w:rsidR="002A364C" w:rsidRPr="005164A5">
        <w:rPr>
          <w:rFonts w:ascii="Times New Roman" w:hAnsi="Times New Roman" w:cs="Times New Roman"/>
          <w:i/>
          <w:iCs/>
          <w:color w:val="000000" w:themeColor="text1"/>
          <w:sz w:val="24"/>
          <w:szCs w:val="24"/>
        </w:rPr>
        <w:t xml:space="preserve"> </w:t>
      </w:r>
      <w:r w:rsidR="002A364C" w:rsidRPr="005164A5">
        <w:rPr>
          <w:rFonts w:ascii="Times New Roman" w:hAnsi="Times New Roman" w:cs="Times New Roman"/>
          <w:color w:val="000000" w:themeColor="text1"/>
          <w:sz w:val="24"/>
          <w:szCs w:val="24"/>
        </w:rPr>
        <w:t xml:space="preserve">și niciun ordonator principal de credite nu a declarat că sistemul </w:t>
      </w:r>
      <w:r w:rsidR="002A364C" w:rsidRPr="005164A5">
        <w:rPr>
          <w:rFonts w:ascii="Times New Roman" w:hAnsi="Times New Roman" w:cs="Times New Roman"/>
          <w:i/>
          <w:iCs/>
          <w:color w:val="000000" w:themeColor="text1"/>
          <w:sz w:val="24"/>
          <w:szCs w:val="24"/>
        </w:rPr>
        <w:t xml:space="preserve">nu cuprinde </w:t>
      </w:r>
      <w:r w:rsidR="002A364C" w:rsidRPr="005164A5">
        <w:rPr>
          <w:rFonts w:ascii="Times New Roman" w:hAnsi="Times New Roman" w:cs="Times New Roman"/>
          <w:color w:val="000000" w:themeColor="text1"/>
          <w:sz w:val="24"/>
          <w:szCs w:val="24"/>
        </w:rPr>
        <w:t xml:space="preserve">mecanisme de autocontrol; </w:t>
      </w:r>
    </w:p>
    <w:p w:rsidR="000F5F68" w:rsidRPr="005164A5" w:rsidRDefault="000F5F68" w:rsidP="00C7604C">
      <w:pPr>
        <w:pStyle w:val="ListParagraph"/>
        <w:numPr>
          <w:ilvl w:val="0"/>
          <w:numId w:val="59"/>
        </w:numPr>
        <w:spacing w:before="120" w:after="120" w:line="276" w:lineRule="auto"/>
        <w:ind w:left="714" w:hanging="357"/>
        <w:contextualSpacing w:val="0"/>
        <w:jc w:val="both"/>
        <w:rPr>
          <w:rFonts w:ascii="Times New Roman" w:hAnsi="Times New Roman" w:cs="Times New Roman"/>
          <w:color w:val="000000" w:themeColor="text1"/>
          <w:sz w:val="24"/>
          <w:szCs w:val="24"/>
        </w:rPr>
      </w:pPr>
      <w:r w:rsidRPr="005164A5">
        <w:rPr>
          <w:rFonts w:ascii="Times New Roman" w:hAnsi="Times New Roman" w:cs="Times New Roman"/>
          <w:color w:val="000000" w:themeColor="text1"/>
          <w:sz w:val="24"/>
          <w:szCs w:val="24"/>
        </w:rPr>
        <w:t>În anul 2016</w:t>
      </w:r>
      <w:r w:rsidRPr="005164A5">
        <w:rPr>
          <w:rFonts w:ascii="Times New Roman" w:hAnsi="Times New Roman" w:cs="Times New Roman"/>
          <w:i/>
          <w:color w:val="000000" w:themeColor="text1"/>
          <w:sz w:val="24"/>
          <w:szCs w:val="24"/>
        </w:rPr>
        <w:t xml:space="preserve"> </w:t>
      </w:r>
      <w:r w:rsidRPr="005164A5">
        <w:rPr>
          <w:rFonts w:ascii="Times New Roman" w:hAnsi="Times New Roman" w:cs="Times New Roman"/>
          <w:color w:val="000000" w:themeColor="text1"/>
          <w:sz w:val="24"/>
          <w:szCs w:val="24"/>
        </w:rPr>
        <w:t>pentru un număr de</w:t>
      </w:r>
      <w:r w:rsidRPr="005164A5">
        <w:rPr>
          <w:rFonts w:ascii="Times New Roman" w:hAnsi="Times New Roman" w:cs="Times New Roman"/>
          <w:i/>
          <w:color w:val="000000" w:themeColor="text1"/>
          <w:sz w:val="24"/>
          <w:szCs w:val="24"/>
        </w:rPr>
        <w:t xml:space="preserve"> 27 de ordonatori principali de credite, reprezentând 54,00%,</w:t>
      </w:r>
      <w:r w:rsidRPr="005164A5">
        <w:rPr>
          <w:rFonts w:ascii="Times New Roman" w:hAnsi="Times New Roman" w:cs="Times New Roman"/>
          <w:color w:val="000000" w:themeColor="text1"/>
          <w:sz w:val="24"/>
          <w:szCs w:val="24"/>
        </w:rPr>
        <w:t xml:space="preserve"> sistemul de control intern managerial </w:t>
      </w:r>
      <w:r w:rsidRPr="005164A5">
        <w:rPr>
          <w:rFonts w:ascii="Times New Roman" w:hAnsi="Times New Roman" w:cs="Times New Roman"/>
          <w:i/>
          <w:iCs/>
          <w:color w:val="000000" w:themeColor="text1"/>
          <w:sz w:val="24"/>
          <w:szCs w:val="24"/>
        </w:rPr>
        <w:t xml:space="preserve">cuprinde </w:t>
      </w:r>
      <w:r w:rsidRPr="005164A5">
        <w:rPr>
          <w:rFonts w:ascii="Times New Roman" w:hAnsi="Times New Roman" w:cs="Times New Roman"/>
          <w:color w:val="000000" w:themeColor="text1"/>
          <w:sz w:val="24"/>
          <w:szCs w:val="24"/>
        </w:rPr>
        <w:t xml:space="preserve">mecanisme de autocontrol iar pentru un număr de </w:t>
      </w:r>
      <w:r w:rsidRPr="005164A5">
        <w:rPr>
          <w:rFonts w:ascii="Times New Roman" w:hAnsi="Times New Roman" w:cs="Times New Roman"/>
          <w:i/>
          <w:color w:val="000000" w:themeColor="text1"/>
          <w:sz w:val="24"/>
          <w:szCs w:val="24"/>
        </w:rPr>
        <w:t>23 de ordonatori principali de credite</w:t>
      </w:r>
      <w:r w:rsidRPr="005164A5">
        <w:rPr>
          <w:rFonts w:ascii="Times New Roman" w:hAnsi="Times New Roman" w:cs="Times New Roman"/>
          <w:color w:val="000000" w:themeColor="text1"/>
          <w:sz w:val="24"/>
          <w:szCs w:val="24"/>
        </w:rPr>
        <w:t xml:space="preserve">, </w:t>
      </w:r>
      <w:r w:rsidRPr="005164A5">
        <w:rPr>
          <w:rFonts w:ascii="Times New Roman" w:hAnsi="Times New Roman" w:cs="Times New Roman"/>
          <w:i/>
          <w:color w:val="000000" w:themeColor="text1"/>
          <w:sz w:val="24"/>
          <w:szCs w:val="24"/>
        </w:rPr>
        <w:t>reprezentând 46,00%,</w:t>
      </w:r>
      <w:r w:rsidRPr="005164A5">
        <w:rPr>
          <w:rFonts w:ascii="Times New Roman" w:hAnsi="Times New Roman" w:cs="Times New Roman"/>
          <w:color w:val="000000" w:themeColor="text1"/>
          <w:sz w:val="24"/>
          <w:szCs w:val="24"/>
        </w:rPr>
        <w:t xml:space="preserve"> sistemul </w:t>
      </w:r>
      <w:r w:rsidRPr="005164A5">
        <w:rPr>
          <w:rFonts w:ascii="Times New Roman" w:hAnsi="Times New Roman" w:cs="Times New Roman"/>
          <w:i/>
          <w:iCs/>
          <w:color w:val="000000" w:themeColor="text1"/>
          <w:sz w:val="24"/>
          <w:szCs w:val="24"/>
        </w:rPr>
        <w:t xml:space="preserve">cuprinde parţial </w:t>
      </w:r>
      <w:r w:rsidRPr="005164A5">
        <w:rPr>
          <w:rFonts w:ascii="Times New Roman" w:hAnsi="Times New Roman" w:cs="Times New Roman"/>
          <w:color w:val="000000" w:themeColor="text1"/>
          <w:sz w:val="24"/>
          <w:szCs w:val="24"/>
        </w:rPr>
        <w:t>astfel de mecanisme</w:t>
      </w:r>
      <w:r w:rsidRPr="005164A5">
        <w:rPr>
          <w:rFonts w:ascii="Times New Roman" w:hAnsi="Times New Roman" w:cs="Times New Roman"/>
          <w:i/>
          <w:iCs/>
          <w:color w:val="000000" w:themeColor="text1"/>
          <w:sz w:val="24"/>
          <w:szCs w:val="24"/>
        </w:rPr>
        <w:t xml:space="preserve"> </w:t>
      </w:r>
      <w:r w:rsidRPr="005164A5">
        <w:rPr>
          <w:rFonts w:ascii="Times New Roman" w:hAnsi="Times New Roman" w:cs="Times New Roman"/>
          <w:color w:val="000000" w:themeColor="text1"/>
          <w:sz w:val="24"/>
          <w:szCs w:val="24"/>
        </w:rPr>
        <w:t xml:space="preserve">și niciun ordonator principal de credite nu a declarat că sistemul </w:t>
      </w:r>
      <w:r w:rsidRPr="005164A5">
        <w:rPr>
          <w:rFonts w:ascii="Times New Roman" w:hAnsi="Times New Roman" w:cs="Times New Roman"/>
          <w:i/>
          <w:iCs/>
          <w:color w:val="000000" w:themeColor="text1"/>
          <w:sz w:val="24"/>
          <w:szCs w:val="24"/>
        </w:rPr>
        <w:t xml:space="preserve">nu cuprinde </w:t>
      </w:r>
      <w:r w:rsidRPr="005164A5">
        <w:rPr>
          <w:rFonts w:ascii="Times New Roman" w:hAnsi="Times New Roman" w:cs="Times New Roman"/>
          <w:color w:val="000000" w:themeColor="text1"/>
          <w:sz w:val="24"/>
          <w:szCs w:val="24"/>
        </w:rPr>
        <w:t>mecanisme de autocontrol, așa cum r</w:t>
      </w:r>
      <w:r w:rsidR="00450919">
        <w:rPr>
          <w:rFonts w:ascii="Times New Roman" w:hAnsi="Times New Roman" w:cs="Times New Roman"/>
          <w:color w:val="000000" w:themeColor="text1"/>
          <w:sz w:val="24"/>
          <w:szCs w:val="24"/>
        </w:rPr>
        <w:t>ezultă din graficul de mai jos.</w:t>
      </w:r>
    </w:p>
    <w:p w:rsidR="00A06F62" w:rsidRDefault="00A06F62" w:rsidP="00A06F62">
      <w:pPr>
        <w:pStyle w:val="ListParagraph"/>
        <w:spacing w:before="120" w:line="276" w:lineRule="auto"/>
        <w:ind w:left="284"/>
        <w:jc w:val="both"/>
        <w:rPr>
          <w:rFonts w:ascii="Times New Roman" w:hAnsi="Times New Roman" w:cs="Times New Roman"/>
          <w:color w:val="FF0000"/>
          <w:sz w:val="24"/>
          <w:szCs w:val="24"/>
        </w:rPr>
      </w:pPr>
    </w:p>
    <w:p w:rsidR="005F6767" w:rsidRDefault="005F6767" w:rsidP="005164A5">
      <w:pPr>
        <w:spacing w:line="276" w:lineRule="auto"/>
        <w:ind w:left="360" w:firstLine="66"/>
        <w:jc w:val="right"/>
        <w:rPr>
          <w:rFonts w:ascii="Times New Roman" w:hAnsi="Times New Roman" w:cs="Times New Roman"/>
          <w:color w:val="FF0000"/>
          <w:sz w:val="24"/>
          <w:szCs w:val="24"/>
        </w:rPr>
      </w:pPr>
      <w:r>
        <w:rPr>
          <w:rFonts w:ascii="Times New Roman" w:hAnsi="Times New Roman" w:cs="Times New Roman"/>
          <w:noProof/>
          <w:sz w:val="24"/>
          <w:szCs w:val="24"/>
          <w:lang w:eastAsia="ro-RO"/>
        </w:rPr>
        <w:drawing>
          <wp:inline distT="0" distB="0" distL="0" distR="0" wp14:anchorId="3689FE12" wp14:editId="66E4C9D6">
            <wp:extent cx="5956935" cy="2346960"/>
            <wp:effectExtent l="0" t="0" r="5715" b="1524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A62EA4" w:rsidRPr="005F6767" w:rsidRDefault="005F6767" w:rsidP="005164A5">
      <w:pPr>
        <w:spacing w:line="276" w:lineRule="auto"/>
        <w:ind w:right="1" w:firstLine="426"/>
        <w:jc w:val="right"/>
        <w:rPr>
          <w:rFonts w:ascii="Times New Roman" w:hAnsi="Times New Roman" w:cs="Times New Roman"/>
          <w:sz w:val="24"/>
          <w:szCs w:val="24"/>
        </w:rPr>
      </w:pPr>
      <w:r>
        <w:rPr>
          <w:rFonts w:ascii="Times New Roman" w:hAnsi="Times New Roman" w:cs="Times New Roman"/>
          <w:noProof/>
          <w:sz w:val="24"/>
          <w:szCs w:val="24"/>
          <w:lang w:eastAsia="ro-RO"/>
        </w:rPr>
        <w:drawing>
          <wp:inline distT="0" distB="0" distL="0" distR="0" wp14:anchorId="4226A00A" wp14:editId="5ED6817D">
            <wp:extent cx="5956935" cy="2552131"/>
            <wp:effectExtent l="0" t="0" r="5715" b="63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4F6F8C" w:rsidRPr="007E0545" w:rsidRDefault="007E0545" w:rsidP="00A06F62">
      <w:pPr>
        <w:rPr>
          <w:rFonts w:ascii="Times New Roman" w:hAnsi="Times New Roman" w:cs="Times New Roman"/>
          <w:b/>
          <w:sz w:val="24"/>
          <w:szCs w:val="24"/>
        </w:rPr>
      </w:pPr>
      <w:r>
        <w:rPr>
          <w:rFonts w:ascii="Times New Roman" w:hAnsi="Times New Roman" w:cs="Times New Roman"/>
          <w:b/>
          <w:sz w:val="24"/>
          <w:szCs w:val="24"/>
        </w:rPr>
        <w:br w:type="page"/>
        <w:t>Creșterea efic</w:t>
      </w:r>
      <w:r w:rsidR="00A06F62">
        <w:rPr>
          <w:rFonts w:ascii="Times New Roman" w:hAnsi="Times New Roman" w:cs="Times New Roman"/>
          <w:b/>
          <w:sz w:val="24"/>
          <w:szCs w:val="24"/>
        </w:rPr>
        <w:t>acității</w:t>
      </w:r>
      <w:r>
        <w:rPr>
          <w:rFonts w:ascii="Times New Roman" w:hAnsi="Times New Roman" w:cs="Times New Roman"/>
          <w:b/>
          <w:sz w:val="24"/>
          <w:szCs w:val="24"/>
        </w:rPr>
        <w:t xml:space="preserve"> sistemului de control intern managerial</w:t>
      </w:r>
    </w:p>
    <w:p w:rsidR="005F247F" w:rsidRPr="002276EC" w:rsidRDefault="005F247F" w:rsidP="00C7604C">
      <w:pPr>
        <w:pStyle w:val="ListParagraph"/>
        <w:numPr>
          <w:ilvl w:val="0"/>
          <w:numId w:val="60"/>
        </w:numPr>
        <w:tabs>
          <w:tab w:val="left" w:pos="567"/>
        </w:tabs>
        <w:spacing w:after="120" w:line="276" w:lineRule="auto"/>
        <w:ind w:left="567" w:hanging="210"/>
        <w:contextualSpacing w:val="0"/>
        <w:jc w:val="both"/>
        <w:rPr>
          <w:rFonts w:ascii="Times New Roman" w:hAnsi="Times New Roman" w:cs="Times New Roman"/>
          <w:color w:val="000000" w:themeColor="text1"/>
          <w:sz w:val="24"/>
          <w:szCs w:val="24"/>
        </w:rPr>
      </w:pPr>
      <w:r w:rsidRPr="002276EC">
        <w:rPr>
          <w:rFonts w:ascii="Times New Roman" w:hAnsi="Times New Roman" w:cs="Times New Roman"/>
          <w:color w:val="000000" w:themeColor="text1"/>
          <w:sz w:val="24"/>
          <w:szCs w:val="24"/>
        </w:rPr>
        <w:t xml:space="preserve">În anul 2015 </w:t>
      </w:r>
      <w:r w:rsidR="002A364C" w:rsidRPr="002276EC">
        <w:rPr>
          <w:rFonts w:ascii="Times New Roman" w:hAnsi="Times New Roman" w:cs="Times New Roman"/>
          <w:color w:val="000000" w:themeColor="text1"/>
          <w:sz w:val="24"/>
          <w:szCs w:val="24"/>
        </w:rPr>
        <w:t xml:space="preserve">punerea în practică a măsurilor privind creşterea eficacităţii sistemului de </w:t>
      </w:r>
      <w:r w:rsidRPr="002276EC">
        <w:rPr>
          <w:rFonts w:ascii="Times New Roman" w:hAnsi="Times New Roman" w:cs="Times New Roman"/>
          <w:color w:val="000000" w:themeColor="text1"/>
          <w:sz w:val="24"/>
          <w:szCs w:val="24"/>
        </w:rPr>
        <w:t xml:space="preserve">  </w:t>
      </w:r>
      <w:r w:rsidR="002A364C" w:rsidRPr="002276EC">
        <w:rPr>
          <w:rFonts w:ascii="Times New Roman" w:hAnsi="Times New Roman" w:cs="Times New Roman"/>
          <w:color w:val="000000" w:themeColor="text1"/>
          <w:sz w:val="24"/>
          <w:szCs w:val="24"/>
        </w:rPr>
        <w:t>control intern</w:t>
      </w:r>
      <w:r w:rsidR="00F94781" w:rsidRPr="002276EC">
        <w:rPr>
          <w:rFonts w:ascii="Times New Roman" w:hAnsi="Times New Roman" w:cs="Times New Roman"/>
          <w:color w:val="000000" w:themeColor="text1"/>
          <w:sz w:val="24"/>
          <w:szCs w:val="24"/>
        </w:rPr>
        <w:t xml:space="preserve"> </w:t>
      </w:r>
      <w:r w:rsidR="002A364C" w:rsidRPr="002276EC">
        <w:rPr>
          <w:rFonts w:ascii="Times New Roman" w:hAnsi="Times New Roman" w:cs="Times New Roman"/>
          <w:color w:val="000000" w:themeColor="text1"/>
          <w:sz w:val="24"/>
          <w:szCs w:val="24"/>
        </w:rPr>
        <w:t xml:space="preserve">managerial </w:t>
      </w:r>
      <w:r w:rsidR="002A364C" w:rsidRPr="002276EC">
        <w:rPr>
          <w:rFonts w:ascii="Times New Roman" w:hAnsi="Times New Roman" w:cs="Times New Roman"/>
          <w:i/>
          <w:iCs/>
          <w:color w:val="000000" w:themeColor="text1"/>
          <w:sz w:val="24"/>
          <w:szCs w:val="24"/>
        </w:rPr>
        <w:t xml:space="preserve">are </w:t>
      </w:r>
      <w:r w:rsidR="002A364C" w:rsidRPr="002276EC">
        <w:rPr>
          <w:rFonts w:ascii="Times New Roman" w:hAnsi="Times New Roman" w:cs="Times New Roman"/>
          <w:color w:val="000000" w:themeColor="text1"/>
          <w:sz w:val="24"/>
          <w:szCs w:val="24"/>
        </w:rPr>
        <w:t xml:space="preserve">la bază evaluarea riscurilor la un număr de </w:t>
      </w:r>
      <w:r w:rsidR="005C34B4" w:rsidRPr="002276EC">
        <w:rPr>
          <w:rFonts w:ascii="Times New Roman" w:hAnsi="Times New Roman" w:cs="Times New Roman"/>
          <w:i/>
          <w:color w:val="000000" w:themeColor="text1"/>
          <w:sz w:val="24"/>
          <w:szCs w:val="24"/>
        </w:rPr>
        <w:t>49</w:t>
      </w:r>
      <w:r w:rsidR="002A364C" w:rsidRPr="002276EC">
        <w:rPr>
          <w:rFonts w:ascii="Times New Roman" w:hAnsi="Times New Roman" w:cs="Times New Roman"/>
          <w:i/>
          <w:color w:val="000000" w:themeColor="text1"/>
          <w:sz w:val="24"/>
          <w:szCs w:val="24"/>
        </w:rPr>
        <w:t xml:space="preserve"> de ordonatori principali de credite, reprezentând </w:t>
      </w:r>
      <w:r w:rsidR="00F94781" w:rsidRPr="002276EC">
        <w:rPr>
          <w:rFonts w:ascii="Times New Roman" w:hAnsi="Times New Roman" w:cs="Times New Roman"/>
          <w:i/>
          <w:color w:val="000000" w:themeColor="text1"/>
          <w:sz w:val="24"/>
          <w:szCs w:val="24"/>
        </w:rPr>
        <w:t>94</w:t>
      </w:r>
      <w:r w:rsidR="005C34B4" w:rsidRPr="002276EC">
        <w:rPr>
          <w:rFonts w:ascii="Times New Roman" w:hAnsi="Times New Roman" w:cs="Times New Roman"/>
          <w:i/>
          <w:color w:val="000000" w:themeColor="text1"/>
          <w:sz w:val="24"/>
          <w:szCs w:val="24"/>
        </w:rPr>
        <w:t>,23</w:t>
      </w:r>
      <w:r w:rsidR="002A364C" w:rsidRPr="002276EC">
        <w:rPr>
          <w:rFonts w:ascii="Times New Roman" w:hAnsi="Times New Roman" w:cs="Times New Roman"/>
          <w:color w:val="000000" w:themeColor="text1"/>
          <w:sz w:val="24"/>
          <w:szCs w:val="24"/>
        </w:rPr>
        <w:t xml:space="preserve">%, şi </w:t>
      </w:r>
      <w:r w:rsidR="002A364C" w:rsidRPr="002276EC">
        <w:rPr>
          <w:rFonts w:ascii="Times New Roman" w:hAnsi="Times New Roman" w:cs="Times New Roman"/>
          <w:i/>
          <w:iCs/>
          <w:color w:val="000000" w:themeColor="text1"/>
          <w:sz w:val="24"/>
          <w:szCs w:val="24"/>
        </w:rPr>
        <w:t xml:space="preserve">nu are </w:t>
      </w:r>
      <w:r w:rsidR="002A364C" w:rsidRPr="002276EC">
        <w:rPr>
          <w:rFonts w:ascii="Times New Roman" w:hAnsi="Times New Roman" w:cs="Times New Roman"/>
          <w:color w:val="000000" w:themeColor="text1"/>
          <w:sz w:val="24"/>
          <w:szCs w:val="24"/>
        </w:rPr>
        <w:t xml:space="preserve">la bază evaluarea riscurilor, la un număr de </w:t>
      </w:r>
      <w:r w:rsidR="00F94781" w:rsidRPr="002276EC">
        <w:rPr>
          <w:rFonts w:ascii="Times New Roman" w:hAnsi="Times New Roman" w:cs="Times New Roman"/>
          <w:i/>
          <w:color w:val="000000" w:themeColor="text1"/>
          <w:sz w:val="24"/>
          <w:szCs w:val="24"/>
        </w:rPr>
        <w:t>3</w:t>
      </w:r>
      <w:r w:rsidR="002A364C" w:rsidRPr="002276EC">
        <w:rPr>
          <w:rFonts w:ascii="Times New Roman" w:hAnsi="Times New Roman" w:cs="Times New Roman"/>
          <w:i/>
          <w:color w:val="000000" w:themeColor="text1"/>
          <w:sz w:val="24"/>
          <w:szCs w:val="24"/>
        </w:rPr>
        <w:t xml:space="preserve"> ordonatori principali de credite, reprezentând </w:t>
      </w:r>
      <w:r w:rsidR="005C34B4" w:rsidRPr="002276EC">
        <w:rPr>
          <w:rFonts w:ascii="Times New Roman" w:hAnsi="Times New Roman" w:cs="Times New Roman"/>
          <w:i/>
          <w:color w:val="000000" w:themeColor="text1"/>
          <w:sz w:val="24"/>
          <w:szCs w:val="24"/>
        </w:rPr>
        <w:t>5,77</w:t>
      </w:r>
      <w:r w:rsidRPr="002276EC">
        <w:rPr>
          <w:rFonts w:ascii="Times New Roman" w:hAnsi="Times New Roman" w:cs="Times New Roman"/>
          <w:color w:val="000000" w:themeColor="text1"/>
          <w:sz w:val="24"/>
          <w:szCs w:val="24"/>
        </w:rPr>
        <w:t>.</w:t>
      </w:r>
    </w:p>
    <w:p w:rsidR="005F247F" w:rsidRPr="002276EC" w:rsidRDefault="005F247F" w:rsidP="00C7604C">
      <w:pPr>
        <w:pStyle w:val="ListParagraph"/>
        <w:numPr>
          <w:ilvl w:val="0"/>
          <w:numId w:val="60"/>
        </w:numPr>
        <w:tabs>
          <w:tab w:val="left" w:pos="567"/>
        </w:tabs>
        <w:spacing w:after="120" w:line="276" w:lineRule="auto"/>
        <w:ind w:left="567" w:hanging="210"/>
        <w:contextualSpacing w:val="0"/>
        <w:jc w:val="both"/>
        <w:rPr>
          <w:rFonts w:ascii="Times New Roman" w:hAnsi="Times New Roman" w:cs="Times New Roman"/>
          <w:color w:val="000000" w:themeColor="text1"/>
          <w:sz w:val="24"/>
          <w:szCs w:val="24"/>
        </w:rPr>
      </w:pPr>
      <w:r w:rsidRPr="002276EC">
        <w:rPr>
          <w:rFonts w:ascii="Times New Roman" w:hAnsi="Times New Roman" w:cs="Times New Roman"/>
          <w:color w:val="000000" w:themeColor="text1"/>
          <w:sz w:val="24"/>
          <w:szCs w:val="24"/>
        </w:rPr>
        <w:t xml:space="preserve">În anul 2016 punerea în practică a măsurilor privind creşterea eficacităţii sistemului de control intern managerial are la bază evaluarea riscurilor la un număr de </w:t>
      </w:r>
      <w:r w:rsidRPr="002276EC">
        <w:rPr>
          <w:rFonts w:ascii="Times New Roman" w:hAnsi="Times New Roman" w:cs="Times New Roman"/>
          <w:i/>
          <w:color w:val="000000" w:themeColor="text1"/>
          <w:sz w:val="24"/>
          <w:szCs w:val="24"/>
        </w:rPr>
        <w:t>48 de ordonatori principali de credite, reprezentând 96,00%</w:t>
      </w:r>
      <w:r w:rsidRPr="002276EC">
        <w:rPr>
          <w:rFonts w:ascii="Times New Roman" w:hAnsi="Times New Roman" w:cs="Times New Roman"/>
          <w:color w:val="000000" w:themeColor="text1"/>
          <w:sz w:val="24"/>
          <w:szCs w:val="24"/>
        </w:rPr>
        <w:t xml:space="preserve">, şi </w:t>
      </w:r>
      <w:r w:rsidRPr="002276EC">
        <w:rPr>
          <w:rFonts w:ascii="Times New Roman" w:hAnsi="Times New Roman" w:cs="Times New Roman"/>
          <w:i/>
          <w:color w:val="000000" w:themeColor="text1"/>
          <w:sz w:val="24"/>
          <w:szCs w:val="24"/>
        </w:rPr>
        <w:t>nu are</w:t>
      </w:r>
      <w:r w:rsidRPr="002276EC">
        <w:rPr>
          <w:rFonts w:ascii="Times New Roman" w:hAnsi="Times New Roman" w:cs="Times New Roman"/>
          <w:color w:val="000000" w:themeColor="text1"/>
          <w:sz w:val="24"/>
          <w:szCs w:val="24"/>
        </w:rPr>
        <w:t xml:space="preserve"> la bază evaluarea riscurilor, la un număr de </w:t>
      </w:r>
      <w:r w:rsidRPr="002276EC">
        <w:rPr>
          <w:rFonts w:ascii="Times New Roman" w:hAnsi="Times New Roman" w:cs="Times New Roman"/>
          <w:i/>
          <w:color w:val="000000" w:themeColor="text1"/>
          <w:sz w:val="24"/>
          <w:szCs w:val="24"/>
        </w:rPr>
        <w:t>2 ordonatori principali de credite, reprezentând 4,00%,</w:t>
      </w:r>
      <w:r w:rsidRPr="002276EC">
        <w:rPr>
          <w:rFonts w:ascii="Times New Roman" w:hAnsi="Times New Roman" w:cs="Times New Roman"/>
          <w:color w:val="000000" w:themeColor="text1"/>
          <w:sz w:val="24"/>
          <w:szCs w:val="24"/>
        </w:rPr>
        <w:t xml:space="preserve"> așa cum rezultă din graficul de mai jos:</w:t>
      </w:r>
    </w:p>
    <w:p w:rsidR="005F6767" w:rsidRDefault="005F6767" w:rsidP="005F6767">
      <w:pPr>
        <w:pStyle w:val="ListParagraph"/>
        <w:tabs>
          <w:tab w:val="left" w:pos="567"/>
        </w:tabs>
        <w:spacing w:line="276" w:lineRule="auto"/>
        <w:jc w:val="both"/>
        <w:rPr>
          <w:rFonts w:ascii="Times New Roman" w:hAnsi="Times New Roman" w:cs="Times New Roman"/>
          <w:color w:val="FF0000"/>
          <w:sz w:val="24"/>
          <w:szCs w:val="24"/>
        </w:rPr>
      </w:pPr>
    </w:p>
    <w:p w:rsidR="005F6767" w:rsidRDefault="005F6767" w:rsidP="005F6767">
      <w:pPr>
        <w:pStyle w:val="ListParagraph"/>
        <w:tabs>
          <w:tab w:val="left" w:pos="567"/>
        </w:tabs>
        <w:spacing w:line="276" w:lineRule="auto"/>
        <w:ind w:hanging="436"/>
        <w:jc w:val="both"/>
        <w:rPr>
          <w:rFonts w:ascii="Times New Roman" w:hAnsi="Times New Roman" w:cs="Times New Roman"/>
          <w:color w:val="FF0000"/>
          <w:sz w:val="24"/>
          <w:szCs w:val="24"/>
        </w:rPr>
      </w:pPr>
      <w:r>
        <w:rPr>
          <w:rFonts w:ascii="Times New Roman" w:hAnsi="Times New Roman" w:cs="Times New Roman"/>
          <w:noProof/>
          <w:sz w:val="24"/>
          <w:szCs w:val="24"/>
          <w:lang w:eastAsia="ro-RO"/>
        </w:rPr>
        <w:drawing>
          <wp:inline distT="0" distB="0" distL="0" distR="0" wp14:anchorId="1F379DCE" wp14:editId="33ADAF3E">
            <wp:extent cx="5956935" cy="2346960"/>
            <wp:effectExtent l="0" t="0" r="5715" b="15240"/>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5F6767" w:rsidRDefault="005F6767" w:rsidP="002276EC"/>
    <w:p w:rsidR="005F6767" w:rsidRPr="005F6767" w:rsidRDefault="005F6767" w:rsidP="005F6767">
      <w:pPr>
        <w:tabs>
          <w:tab w:val="left" w:pos="567"/>
        </w:tabs>
        <w:spacing w:line="276" w:lineRule="auto"/>
        <w:ind w:firstLine="284"/>
        <w:jc w:val="both"/>
        <w:rPr>
          <w:rFonts w:ascii="Times New Roman" w:hAnsi="Times New Roman" w:cs="Times New Roman"/>
          <w:color w:val="FF0000"/>
          <w:sz w:val="24"/>
          <w:szCs w:val="24"/>
        </w:rPr>
      </w:pPr>
      <w:r>
        <w:rPr>
          <w:rFonts w:ascii="Times New Roman" w:hAnsi="Times New Roman" w:cs="Times New Roman"/>
          <w:noProof/>
          <w:sz w:val="24"/>
          <w:szCs w:val="24"/>
          <w:lang w:eastAsia="ro-RO"/>
        </w:rPr>
        <w:drawing>
          <wp:inline distT="0" distB="0" distL="0" distR="0" wp14:anchorId="613EA020" wp14:editId="3A91DEA4">
            <wp:extent cx="5956935" cy="2552131"/>
            <wp:effectExtent l="0" t="0" r="5715" b="635"/>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5F6767" w:rsidRDefault="005F6767" w:rsidP="005F6767">
      <w:pPr>
        <w:pStyle w:val="ListParagraph"/>
        <w:tabs>
          <w:tab w:val="left" w:pos="567"/>
        </w:tabs>
        <w:spacing w:line="276" w:lineRule="auto"/>
        <w:jc w:val="both"/>
        <w:rPr>
          <w:rFonts w:ascii="Times New Roman" w:hAnsi="Times New Roman" w:cs="Times New Roman"/>
          <w:color w:val="FF0000"/>
          <w:sz w:val="24"/>
          <w:szCs w:val="24"/>
        </w:rPr>
      </w:pPr>
    </w:p>
    <w:p w:rsidR="005F6767" w:rsidRDefault="005F6767" w:rsidP="005F6767">
      <w:pPr>
        <w:pStyle w:val="ListParagraph"/>
        <w:tabs>
          <w:tab w:val="left" w:pos="567"/>
        </w:tabs>
        <w:spacing w:line="276" w:lineRule="auto"/>
        <w:jc w:val="both"/>
        <w:rPr>
          <w:rFonts w:ascii="Times New Roman" w:hAnsi="Times New Roman" w:cs="Times New Roman"/>
          <w:color w:val="FF0000"/>
          <w:sz w:val="24"/>
          <w:szCs w:val="24"/>
        </w:rPr>
      </w:pPr>
    </w:p>
    <w:p w:rsidR="00A06F62" w:rsidRPr="00A06F62" w:rsidRDefault="00ED4C2A" w:rsidP="00A06F62">
      <w:pPr>
        <w:spacing w:line="276" w:lineRule="auto"/>
        <w:jc w:val="both"/>
        <w:rPr>
          <w:rFonts w:ascii="Times New Roman" w:hAnsi="Times New Roman" w:cs="Times New Roman"/>
          <w:sz w:val="24"/>
          <w:szCs w:val="24"/>
        </w:rPr>
      </w:pPr>
      <w:r>
        <w:rPr>
          <w:rFonts w:ascii="Times New Roman" w:hAnsi="Times New Roman" w:cs="Times New Roman"/>
          <w:b/>
          <w:sz w:val="24"/>
          <w:szCs w:val="24"/>
        </w:rPr>
        <w:t>Registru</w:t>
      </w:r>
      <w:r w:rsidR="00C71D30">
        <w:rPr>
          <w:rFonts w:ascii="Times New Roman" w:hAnsi="Times New Roman" w:cs="Times New Roman"/>
          <w:b/>
          <w:sz w:val="24"/>
          <w:szCs w:val="24"/>
        </w:rPr>
        <w:t>l</w:t>
      </w:r>
      <w:r w:rsidR="00A06F62">
        <w:rPr>
          <w:rFonts w:ascii="Times New Roman" w:hAnsi="Times New Roman" w:cs="Times New Roman"/>
          <w:b/>
          <w:sz w:val="24"/>
          <w:szCs w:val="24"/>
        </w:rPr>
        <w:t xml:space="preserve"> de riscuri</w:t>
      </w:r>
    </w:p>
    <w:p w:rsidR="001B7741" w:rsidRPr="002276EC" w:rsidRDefault="00F877C3" w:rsidP="00C7604C">
      <w:pPr>
        <w:pStyle w:val="ListParagraph"/>
        <w:numPr>
          <w:ilvl w:val="0"/>
          <w:numId w:val="61"/>
        </w:numPr>
        <w:spacing w:after="120" w:line="276" w:lineRule="auto"/>
        <w:contextualSpacing w:val="0"/>
        <w:jc w:val="both"/>
        <w:rPr>
          <w:rFonts w:ascii="Times New Roman" w:hAnsi="Times New Roman" w:cs="Times New Roman"/>
          <w:color w:val="000000" w:themeColor="text1"/>
          <w:sz w:val="24"/>
          <w:szCs w:val="24"/>
        </w:rPr>
      </w:pPr>
      <w:r w:rsidRPr="002276EC">
        <w:rPr>
          <w:rFonts w:ascii="Times New Roman" w:hAnsi="Times New Roman" w:cs="Times New Roman"/>
          <w:color w:val="000000" w:themeColor="text1"/>
          <w:sz w:val="24"/>
          <w:szCs w:val="24"/>
        </w:rPr>
        <w:t xml:space="preserve">În anul 2015 </w:t>
      </w:r>
      <w:r w:rsidR="005C34B4" w:rsidRPr="002276EC">
        <w:rPr>
          <w:rFonts w:ascii="Times New Roman" w:hAnsi="Times New Roman" w:cs="Times New Roman"/>
          <w:color w:val="000000" w:themeColor="text1"/>
          <w:sz w:val="24"/>
          <w:szCs w:val="24"/>
        </w:rPr>
        <w:t xml:space="preserve">pentru un număr de 43 de ordonatori principali de credite, reprezentând 82,69%, </w:t>
      </w:r>
      <w:r w:rsidR="005C34B4" w:rsidRPr="002276EC">
        <w:rPr>
          <w:rFonts w:ascii="Times New Roman" w:hAnsi="Times New Roman" w:cs="Times New Roman"/>
          <w:i/>
          <w:color w:val="000000" w:themeColor="text1"/>
          <w:sz w:val="24"/>
          <w:szCs w:val="24"/>
        </w:rPr>
        <w:t>Registrul de riscuri</w:t>
      </w:r>
      <w:r w:rsidR="00E51050" w:rsidRPr="002276EC">
        <w:rPr>
          <w:rFonts w:ascii="Times New Roman" w:hAnsi="Times New Roman" w:cs="Times New Roman"/>
          <w:color w:val="000000" w:themeColor="text1"/>
          <w:sz w:val="24"/>
          <w:szCs w:val="24"/>
        </w:rPr>
        <w:t xml:space="preserve"> este actualizat, iar</w:t>
      </w:r>
      <w:r w:rsidR="005C34B4" w:rsidRPr="002276EC">
        <w:rPr>
          <w:rFonts w:ascii="Times New Roman" w:hAnsi="Times New Roman" w:cs="Times New Roman"/>
          <w:color w:val="000000" w:themeColor="text1"/>
          <w:sz w:val="24"/>
          <w:szCs w:val="24"/>
        </w:rPr>
        <w:t xml:space="preserve"> pentru un număr de 9 de ordonatori principali de credite, reprezentând 17,31%, </w:t>
      </w:r>
      <w:r w:rsidR="005C34B4" w:rsidRPr="002276EC">
        <w:rPr>
          <w:rFonts w:ascii="Times New Roman" w:hAnsi="Times New Roman" w:cs="Times New Roman"/>
          <w:i/>
          <w:color w:val="000000" w:themeColor="text1"/>
          <w:sz w:val="24"/>
          <w:szCs w:val="24"/>
        </w:rPr>
        <w:t>Registrul de riscuri</w:t>
      </w:r>
      <w:r w:rsidR="005C34B4" w:rsidRPr="002276EC">
        <w:rPr>
          <w:rFonts w:ascii="Times New Roman" w:hAnsi="Times New Roman" w:cs="Times New Roman"/>
          <w:color w:val="000000" w:themeColor="text1"/>
          <w:sz w:val="24"/>
          <w:szCs w:val="24"/>
        </w:rPr>
        <w:t xml:space="preserve"> nu este actualizat</w:t>
      </w:r>
      <w:r w:rsidR="001B7741" w:rsidRPr="002276EC">
        <w:rPr>
          <w:rFonts w:ascii="Times New Roman" w:hAnsi="Times New Roman" w:cs="Times New Roman"/>
          <w:color w:val="000000" w:themeColor="text1"/>
          <w:sz w:val="24"/>
          <w:szCs w:val="24"/>
        </w:rPr>
        <w:t>.</w:t>
      </w:r>
    </w:p>
    <w:p w:rsidR="001B7741" w:rsidRPr="002276EC" w:rsidRDefault="001B7741" w:rsidP="00C7604C">
      <w:pPr>
        <w:pStyle w:val="ListParagraph"/>
        <w:numPr>
          <w:ilvl w:val="0"/>
          <w:numId w:val="61"/>
        </w:numPr>
        <w:spacing w:after="120" w:line="276" w:lineRule="auto"/>
        <w:contextualSpacing w:val="0"/>
        <w:jc w:val="both"/>
        <w:rPr>
          <w:rFonts w:ascii="Times New Roman" w:hAnsi="Times New Roman" w:cs="Times New Roman"/>
          <w:color w:val="000000" w:themeColor="text1"/>
          <w:sz w:val="24"/>
          <w:szCs w:val="24"/>
        </w:rPr>
      </w:pPr>
      <w:r w:rsidRPr="002276EC">
        <w:rPr>
          <w:rFonts w:ascii="Times New Roman" w:hAnsi="Times New Roman" w:cs="Times New Roman"/>
          <w:color w:val="000000" w:themeColor="text1"/>
          <w:sz w:val="24"/>
          <w:szCs w:val="24"/>
        </w:rPr>
        <w:t>În anul 2016 pentru un număr de 4</w:t>
      </w:r>
      <w:r w:rsidR="000A28FD" w:rsidRPr="002276EC">
        <w:rPr>
          <w:rFonts w:ascii="Times New Roman" w:hAnsi="Times New Roman" w:cs="Times New Roman"/>
          <w:color w:val="000000" w:themeColor="text1"/>
          <w:sz w:val="24"/>
          <w:szCs w:val="24"/>
        </w:rPr>
        <w:t>0</w:t>
      </w:r>
      <w:r w:rsidRPr="002276EC">
        <w:rPr>
          <w:rFonts w:ascii="Times New Roman" w:hAnsi="Times New Roman" w:cs="Times New Roman"/>
          <w:color w:val="000000" w:themeColor="text1"/>
          <w:sz w:val="24"/>
          <w:szCs w:val="24"/>
        </w:rPr>
        <w:t xml:space="preserve"> de ordonatori principali de credite, reprezentând </w:t>
      </w:r>
      <w:r w:rsidR="000A28FD" w:rsidRPr="002276EC">
        <w:rPr>
          <w:rFonts w:ascii="Times New Roman" w:hAnsi="Times New Roman" w:cs="Times New Roman"/>
          <w:color w:val="000000" w:themeColor="text1"/>
          <w:sz w:val="24"/>
          <w:szCs w:val="24"/>
        </w:rPr>
        <w:t>80,00</w:t>
      </w:r>
      <w:r w:rsidRPr="002276EC">
        <w:rPr>
          <w:rFonts w:ascii="Times New Roman" w:hAnsi="Times New Roman" w:cs="Times New Roman"/>
          <w:color w:val="000000" w:themeColor="text1"/>
          <w:sz w:val="24"/>
          <w:szCs w:val="24"/>
        </w:rPr>
        <w:t xml:space="preserve">%, Registrul de riscuri este actualizat, iar pentru un număr de </w:t>
      </w:r>
      <w:r w:rsidR="000A28FD" w:rsidRPr="002276EC">
        <w:rPr>
          <w:rFonts w:ascii="Times New Roman" w:hAnsi="Times New Roman" w:cs="Times New Roman"/>
          <w:color w:val="000000" w:themeColor="text1"/>
          <w:sz w:val="24"/>
          <w:szCs w:val="24"/>
        </w:rPr>
        <w:t>10</w:t>
      </w:r>
      <w:r w:rsidRPr="002276EC">
        <w:rPr>
          <w:rFonts w:ascii="Times New Roman" w:hAnsi="Times New Roman" w:cs="Times New Roman"/>
          <w:color w:val="000000" w:themeColor="text1"/>
          <w:sz w:val="24"/>
          <w:szCs w:val="24"/>
        </w:rPr>
        <w:t xml:space="preserve"> de ordonatori principali de credite, reprezentând </w:t>
      </w:r>
      <w:r w:rsidR="000A28FD" w:rsidRPr="002276EC">
        <w:rPr>
          <w:rFonts w:ascii="Times New Roman" w:hAnsi="Times New Roman" w:cs="Times New Roman"/>
          <w:color w:val="000000" w:themeColor="text1"/>
          <w:sz w:val="24"/>
          <w:szCs w:val="24"/>
        </w:rPr>
        <w:t>20,00</w:t>
      </w:r>
      <w:r w:rsidRPr="002276EC">
        <w:rPr>
          <w:rFonts w:ascii="Times New Roman" w:hAnsi="Times New Roman" w:cs="Times New Roman"/>
          <w:color w:val="000000" w:themeColor="text1"/>
          <w:sz w:val="24"/>
          <w:szCs w:val="24"/>
        </w:rPr>
        <w:t>%, Registrul de riscuri nu este actualizat,  așa cum rezultă din graficul de mai jos:</w:t>
      </w:r>
    </w:p>
    <w:p w:rsidR="00A06F62" w:rsidRPr="00A06F62" w:rsidRDefault="00A06F62" w:rsidP="00A06F62">
      <w:pPr>
        <w:pStyle w:val="ListParagraph"/>
        <w:rPr>
          <w:rFonts w:ascii="Times New Roman" w:hAnsi="Times New Roman" w:cs="Times New Roman"/>
          <w:color w:val="FF0000"/>
          <w:sz w:val="24"/>
          <w:szCs w:val="24"/>
        </w:rPr>
      </w:pPr>
    </w:p>
    <w:p w:rsidR="00A06F62" w:rsidRDefault="00A06F62" w:rsidP="00A06F62">
      <w:pPr>
        <w:spacing w:line="276" w:lineRule="auto"/>
        <w:ind w:firstLine="284"/>
        <w:jc w:val="both"/>
        <w:rPr>
          <w:rFonts w:ascii="Times New Roman" w:hAnsi="Times New Roman" w:cs="Times New Roman"/>
          <w:color w:val="FF0000"/>
          <w:sz w:val="24"/>
          <w:szCs w:val="24"/>
        </w:rPr>
      </w:pPr>
      <w:r>
        <w:rPr>
          <w:rFonts w:ascii="Times New Roman" w:hAnsi="Times New Roman" w:cs="Times New Roman"/>
          <w:noProof/>
          <w:sz w:val="24"/>
          <w:szCs w:val="24"/>
          <w:lang w:eastAsia="ro-RO"/>
        </w:rPr>
        <w:drawing>
          <wp:inline distT="0" distB="0" distL="0" distR="0" wp14:anchorId="6D82A7D7" wp14:editId="486DD1B3">
            <wp:extent cx="5956935" cy="2346960"/>
            <wp:effectExtent l="0" t="0" r="5715" b="1524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A06F62" w:rsidRDefault="00A06F62" w:rsidP="00A06F62">
      <w:pPr>
        <w:spacing w:line="276" w:lineRule="auto"/>
        <w:jc w:val="both"/>
        <w:rPr>
          <w:rFonts w:ascii="Times New Roman" w:hAnsi="Times New Roman" w:cs="Times New Roman"/>
          <w:color w:val="FF0000"/>
          <w:sz w:val="24"/>
          <w:szCs w:val="24"/>
        </w:rPr>
      </w:pPr>
    </w:p>
    <w:p w:rsidR="001060CA" w:rsidRPr="00005649" w:rsidRDefault="00A06F62" w:rsidP="00005649">
      <w:pPr>
        <w:spacing w:line="276" w:lineRule="auto"/>
        <w:ind w:firstLine="284"/>
        <w:jc w:val="both"/>
        <w:rPr>
          <w:rFonts w:ascii="Times New Roman" w:hAnsi="Times New Roman" w:cs="Times New Roman"/>
          <w:color w:val="FF0000"/>
          <w:sz w:val="24"/>
          <w:szCs w:val="24"/>
        </w:rPr>
      </w:pPr>
      <w:r>
        <w:rPr>
          <w:rFonts w:ascii="Times New Roman" w:hAnsi="Times New Roman" w:cs="Times New Roman"/>
          <w:noProof/>
          <w:sz w:val="24"/>
          <w:szCs w:val="24"/>
          <w:lang w:eastAsia="ro-RO"/>
        </w:rPr>
        <w:drawing>
          <wp:inline distT="0" distB="0" distL="0" distR="0" wp14:anchorId="173D06AA" wp14:editId="1B3576F6">
            <wp:extent cx="5956935" cy="2552131"/>
            <wp:effectExtent l="0" t="0" r="5715" b="63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005649" w:rsidRDefault="00005649">
      <w:pPr>
        <w:rPr>
          <w:rFonts w:ascii="Times New Roman" w:hAnsi="Times New Roman" w:cs="Times New Roman"/>
          <w:b/>
          <w:sz w:val="24"/>
          <w:szCs w:val="24"/>
        </w:rPr>
      </w:pPr>
      <w:r>
        <w:rPr>
          <w:rFonts w:ascii="Times New Roman" w:hAnsi="Times New Roman" w:cs="Times New Roman"/>
          <w:b/>
          <w:sz w:val="24"/>
          <w:szCs w:val="24"/>
        </w:rPr>
        <w:br w:type="page"/>
      </w:r>
    </w:p>
    <w:p w:rsidR="00005649" w:rsidRPr="00005649" w:rsidRDefault="00005649" w:rsidP="00005649">
      <w:pPr>
        <w:spacing w:line="276" w:lineRule="auto"/>
        <w:jc w:val="both"/>
        <w:rPr>
          <w:rFonts w:ascii="Times New Roman" w:hAnsi="Times New Roman" w:cs="Times New Roman"/>
          <w:sz w:val="24"/>
          <w:szCs w:val="24"/>
        </w:rPr>
      </w:pPr>
      <w:r>
        <w:rPr>
          <w:rFonts w:ascii="Times New Roman" w:hAnsi="Times New Roman" w:cs="Times New Roman"/>
          <w:b/>
          <w:sz w:val="24"/>
          <w:szCs w:val="24"/>
        </w:rPr>
        <w:t>Proceduri</w:t>
      </w:r>
    </w:p>
    <w:p w:rsidR="001060CA" w:rsidRPr="002276EC" w:rsidRDefault="008979AA" w:rsidP="00C7604C">
      <w:pPr>
        <w:pStyle w:val="ListParagraph"/>
        <w:numPr>
          <w:ilvl w:val="0"/>
          <w:numId w:val="62"/>
        </w:numPr>
        <w:spacing w:after="120" w:line="276" w:lineRule="auto"/>
        <w:contextualSpacing w:val="0"/>
        <w:jc w:val="both"/>
        <w:rPr>
          <w:rFonts w:ascii="Times New Roman" w:hAnsi="Times New Roman" w:cs="Times New Roman"/>
          <w:color w:val="000000" w:themeColor="text1"/>
          <w:sz w:val="24"/>
          <w:szCs w:val="24"/>
        </w:rPr>
      </w:pPr>
      <w:r w:rsidRPr="002276EC">
        <w:rPr>
          <w:rFonts w:ascii="Times New Roman" w:hAnsi="Times New Roman" w:cs="Times New Roman"/>
          <w:color w:val="000000" w:themeColor="text1"/>
          <w:sz w:val="24"/>
          <w:szCs w:val="24"/>
        </w:rPr>
        <w:t xml:space="preserve">În anul 2015 </w:t>
      </w:r>
      <w:r w:rsidR="005C34B4" w:rsidRPr="002276EC">
        <w:rPr>
          <w:rFonts w:ascii="Times New Roman" w:hAnsi="Times New Roman" w:cs="Times New Roman"/>
          <w:color w:val="000000" w:themeColor="text1"/>
          <w:sz w:val="24"/>
          <w:szCs w:val="24"/>
        </w:rPr>
        <w:t>pentru un număr de</w:t>
      </w:r>
      <w:r w:rsidR="001060CA" w:rsidRPr="002276EC">
        <w:rPr>
          <w:rFonts w:ascii="Times New Roman" w:hAnsi="Times New Roman" w:cs="Times New Roman"/>
          <w:color w:val="000000" w:themeColor="text1"/>
          <w:sz w:val="24"/>
          <w:szCs w:val="24"/>
        </w:rPr>
        <w:t xml:space="preserve"> 47</w:t>
      </w:r>
      <w:r w:rsidR="005C34B4" w:rsidRPr="002276EC">
        <w:rPr>
          <w:rFonts w:ascii="Times New Roman" w:hAnsi="Times New Roman" w:cs="Times New Roman"/>
          <w:color w:val="000000" w:themeColor="text1"/>
          <w:sz w:val="24"/>
          <w:szCs w:val="24"/>
        </w:rPr>
        <w:t xml:space="preserve"> de ordonatori principali de credite, reprezentând </w:t>
      </w:r>
      <w:r w:rsidR="001060CA" w:rsidRPr="002276EC">
        <w:rPr>
          <w:rFonts w:ascii="Times New Roman" w:hAnsi="Times New Roman" w:cs="Times New Roman"/>
          <w:color w:val="000000" w:themeColor="text1"/>
          <w:sz w:val="24"/>
          <w:szCs w:val="24"/>
        </w:rPr>
        <w:t>90,38</w:t>
      </w:r>
      <w:r w:rsidR="005C34B4" w:rsidRPr="002276EC">
        <w:rPr>
          <w:rFonts w:ascii="Times New Roman" w:hAnsi="Times New Roman" w:cs="Times New Roman"/>
          <w:color w:val="000000" w:themeColor="text1"/>
          <w:sz w:val="24"/>
          <w:szCs w:val="24"/>
        </w:rPr>
        <w:t>%, proc</w:t>
      </w:r>
      <w:r w:rsidR="00E51050" w:rsidRPr="002276EC">
        <w:rPr>
          <w:rFonts w:ascii="Times New Roman" w:hAnsi="Times New Roman" w:cs="Times New Roman"/>
          <w:color w:val="000000" w:themeColor="text1"/>
          <w:sz w:val="24"/>
          <w:szCs w:val="24"/>
        </w:rPr>
        <w:t xml:space="preserve">edurile sunt actualizate anual, iar </w:t>
      </w:r>
      <w:r w:rsidR="005C34B4" w:rsidRPr="002276EC">
        <w:rPr>
          <w:rFonts w:ascii="Times New Roman" w:hAnsi="Times New Roman" w:cs="Times New Roman"/>
          <w:color w:val="000000" w:themeColor="text1"/>
          <w:sz w:val="24"/>
          <w:szCs w:val="24"/>
        </w:rPr>
        <w:t>pentru un număr de 5 de ordonatori principali de credite, reprezentând 9,62 %, procedurile  nu sunt actualizate anual</w:t>
      </w:r>
      <w:r w:rsidRPr="002276EC">
        <w:rPr>
          <w:rFonts w:ascii="Times New Roman" w:hAnsi="Times New Roman" w:cs="Times New Roman"/>
          <w:color w:val="000000" w:themeColor="text1"/>
          <w:sz w:val="24"/>
          <w:szCs w:val="24"/>
        </w:rPr>
        <w:t>;</w:t>
      </w:r>
    </w:p>
    <w:p w:rsidR="008979AA" w:rsidRPr="002276EC" w:rsidRDefault="008979AA" w:rsidP="00C7604C">
      <w:pPr>
        <w:pStyle w:val="ListParagraph"/>
        <w:numPr>
          <w:ilvl w:val="0"/>
          <w:numId w:val="62"/>
        </w:numPr>
        <w:spacing w:after="120"/>
        <w:contextualSpacing w:val="0"/>
        <w:jc w:val="both"/>
        <w:rPr>
          <w:rFonts w:ascii="Times New Roman" w:hAnsi="Times New Roman" w:cs="Times New Roman"/>
          <w:color w:val="000000" w:themeColor="text1"/>
          <w:sz w:val="24"/>
          <w:szCs w:val="24"/>
        </w:rPr>
      </w:pPr>
      <w:r w:rsidRPr="002276EC">
        <w:rPr>
          <w:rFonts w:ascii="Times New Roman" w:hAnsi="Times New Roman" w:cs="Times New Roman"/>
          <w:color w:val="000000" w:themeColor="text1"/>
          <w:sz w:val="24"/>
          <w:szCs w:val="24"/>
        </w:rPr>
        <w:t>În anul 201</w:t>
      </w:r>
      <w:r w:rsidR="0012091D" w:rsidRPr="002276EC">
        <w:rPr>
          <w:rFonts w:ascii="Times New Roman" w:hAnsi="Times New Roman" w:cs="Times New Roman"/>
          <w:color w:val="000000" w:themeColor="text1"/>
          <w:sz w:val="24"/>
          <w:szCs w:val="24"/>
        </w:rPr>
        <w:t>6</w:t>
      </w:r>
      <w:r w:rsidRPr="002276EC">
        <w:rPr>
          <w:rFonts w:ascii="Times New Roman" w:hAnsi="Times New Roman" w:cs="Times New Roman"/>
          <w:color w:val="000000" w:themeColor="text1"/>
          <w:sz w:val="24"/>
          <w:szCs w:val="24"/>
        </w:rPr>
        <w:t xml:space="preserve"> pentru un număr de 50 de ordonatori principali de credite, reprezentând 100,00%, procedurile sunt actualizate anual, așa cum rezultă din graficul de mai jos: </w:t>
      </w:r>
    </w:p>
    <w:p w:rsidR="001060CA" w:rsidRPr="002276EC" w:rsidRDefault="001060CA" w:rsidP="002276EC">
      <w:pPr>
        <w:pStyle w:val="ListParagraph"/>
        <w:spacing w:after="120" w:line="276" w:lineRule="auto"/>
        <w:ind w:left="567"/>
        <w:contextualSpacing w:val="0"/>
        <w:jc w:val="both"/>
        <w:rPr>
          <w:rFonts w:ascii="Times New Roman" w:hAnsi="Times New Roman" w:cs="Times New Roman"/>
          <w:noProof/>
          <w:color w:val="000000" w:themeColor="text1"/>
          <w:sz w:val="24"/>
          <w:szCs w:val="24"/>
          <w:lang w:eastAsia="ro-RO"/>
        </w:rPr>
      </w:pPr>
    </w:p>
    <w:p w:rsidR="00005649" w:rsidRDefault="00005649" w:rsidP="00005649">
      <w:pPr>
        <w:spacing w:line="276" w:lineRule="auto"/>
        <w:ind w:firstLine="284"/>
        <w:jc w:val="both"/>
        <w:rPr>
          <w:rFonts w:ascii="Times New Roman" w:hAnsi="Times New Roman" w:cs="Times New Roman"/>
          <w:noProof/>
          <w:sz w:val="24"/>
          <w:szCs w:val="24"/>
          <w:lang w:eastAsia="ro-RO"/>
        </w:rPr>
      </w:pPr>
      <w:r>
        <w:rPr>
          <w:rFonts w:ascii="Times New Roman" w:hAnsi="Times New Roman" w:cs="Times New Roman"/>
          <w:noProof/>
          <w:sz w:val="24"/>
          <w:szCs w:val="24"/>
          <w:lang w:eastAsia="ro-RO"/>
        </w:rPr>
        <w:drawing>
          <wp:inline distT="0" distB="0" distL="0" distR="0" wp14:anchorId="608E65E6" wp14:editId="51E81CFE">
            <wp:extent cx="5956935" cy="2346960"/>
            <wp:effectExtent l="0" t="0" r="5715" b="1524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005649" w:rsidRDefault="00005649" w:rsidP="00005649">
      <w:pPr>
        <w:spacing w:line="276" w:lineRule="auto"/>
        <w:jc w:val="both"/>
        <w:rPr>
          <w:rFonts w:ascii="Times New Roman" w:hAnsi="Times New Roman" w:cs="Times New Roman"/>
          <w:noProof/>
          <w:sz w:val="24"/>
          <w:szCs w:val="24"/>
          <w:lang w:eastAsia="ro-RO"/>
        </w:rPr>
      </w:pPr>
    </w:p>
    <w:p w:rsidR="00005649" w:rsidRDefault="00005649" w:rsidP="00005649">
      <w:pPr>
        <w:spacing w:line="276" w:lineRule="auto"/>
        <w:jc w:val="right"/>
        <w:rPr>
          <w:rFonts w:ascii="Times New Roman" w:hAnsi="Times New Roman" w:cs="Times New Roman"/>
          <w:noProof/>
          <w:sz w:val="24"/>
          <w:szCs w:val="24"/>
          <w:lang w:eastAsia="ro-RO"/>
        </w:rPr>
      </w:pPr>
      <w:r>
        <w:rPr>
          <w:rFonts w:ascii="Times New Roman" w:hAnsi="Times New Roman" w:cs="Times New Roman"/>
          <w:noProof/>
          <w:sz w:val="24"/>
          <w:szCs w:val="24"/>
          <w:lang w:eastAsia="ro-RO"/>
        </w:rPr>
        <w:drawing>
          <wp:inline distT="0" distB="0" distL="0" distR="0" wp14:anchorId="6A5B172F" wp14:editId="439558B7">
            <wp:extent cx="5956935" cy="2552131"/>
            <wp:effectExtent l="0" t="0" r="5715" b="635"/>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005649" w:rsidRPr="00005649" w:rsidRDefault="00005649" w:rsidP="00005649">
      <w:pPr>
        <w:spacing w:line="276" w:lineRule="auto"/>
        <w:jc w:val="both"/>
        <w:rPr>
          <w:rFonts w:ascii="Times New Roman" w:hAnsi="Times New Roman" w:cs="Times New Roman"/>
          <w:noProof/>
          <w:sz w:val="24"/>
          <w:szCs w:val="24"/>
          <w:lang w:eastAsia="ro-RO"/>
        </w:rPr>
      </w:pPr>
    </w:p>
    <w:p w:rsidR="00005649" w:rsidRDefault="00005649" w:rsidP="00602BDC">
      <w:pPr>
        <w:pStyle w:val="ListParagraph"/>
        <w:spacing w:line="276" w:lineRule="auto"/>
        <w:ind w:left="567"/>
        <w:jc w:val="both"/>
        <w:rPr>
          <w:rFonts w:ascii="Times New Roman" w:hAnsi="Times New Roman" w:cs="Times New Roman"/>
          <w:noProof/>
          <w:sz w:val="24"/>
          <w:szCs w:val="24"/>
          <w:lang w:eastAsia="ro-RO"/>
        </w:rPr>
      </w:pPr>
    </w:p>
    <w:p w:rsidR="00005649" w:rsidRDefault="00005649" w:rsidP="00602BDC">
      <w:pPr>
        <w:pStyle w:val="ListParagraph"/>
        <w:spacing w:line="276" w:lineRule="auto"/>
        <w:ind w:left="567"/>
        <w:jc w:val="both"/>
        <w:rPr>
          <w:rFonts w:ascii="Times New Roman" w:hAnsi="Times New Roman" w:cs="Times New Roman"/>
          <w:noProof/>
          <w:sz w:val="24"/>
          <w:szCs w:val="24"/>
          <w:lang w:eastAsia="ro-RO"/>
        </w:rPr>
      </w:pPr>
    </w:p>
    <w:p w:rsidR="00005649" w:rsidRDefault="00005649" w:rsidP="00602BDC">
      <w:pPr>
        <w:pStyle w:val="ListParagraph"/>
        <w:spacing w:line="276" w:lineRule="auto"/>
        <w:ind w:left="567"/>
        <w:jc w:val="both"/>
        <w:rPr>
          <w:rFonts w:ascii="Times New Roman" w:hAnsi="Times New Roman" w:cs="Times New Roman"/>
          <w:noProof/>
          <w:sz w:val="24"/>
          <w:szCs w:val="24"/>
          <w:lang w:eastAsia="ro-RO"/>
        </w:rPr>
      </w:pPr>
    </w:p>
    <w:p w:rsidR="00005649" w:rsidRPr="00C71D30" w:rsidRDefault="00C71D30" w:rsidP="00C71D30">
      <w:pPr>
        <w:spacing w:line="276" w:lineRule="auto"/>
        <w:jc w:val="both"/>
        <w:rPr>
          <w:rFonts w:ascii="Times New Roman" w:hAnsi="Times New Roman" w:cs="Times New Roman"/>
          <w:noProof/>
          <w:sz w:val="24"/>
          <w:szCs w:val="24"/>
          <w:lang w:eastAsia="ro-RO"/>
        </w:rPr>
      </w:pPr>
      <w:r>
        <w:rPr>
          <w:rFonts w:ascii="Times New Roman" w:hAnsi="Times New Roman" w:cs="Times New Roman"/>
          <w:b/>
          <w:sz w:val="24"/>
          <w:szCs w:val="24"/>
        </w:rPr>
        <w:t>Perfecționarea profesională în domeniul SCIM</w:t>
      </w:r>
    </w:p>
    <w:p w:rsidR="00C71D30" w:rsidRPr="00C71D30" w:rsidRDefault="00C71D30" w:rsidP="00C71D30">
      <w:pPr>
        <w:pStyle w:val="ListParagraph"/>
        <w:spacing w:line="276" w:lineRule="auto"/>
        <w:jc w:val="both"/>
        <w:rPr>
          <w:rFonts w:ascii="Times New Roman" w:hAnsi="Times New Roman" w:cs="Times New Roman"/>
          <w:sz w:val="24"/>
          <w:szCs w:val="24"/>
        </w:rPr>
      </w:pPr>
    </w:p>
    <w:p w:rsidR="005C34B4" w:rsidRPr="002276EC" w:rsidRDefault="008979AA" w:rsidP="00C7604C">
      <w:pPr>
        <w:pStyle w:val="ListParagraph"/>
        <w:numPr>
          <w:ilvl w:val="0"/>
          <w:numId w:val="63"/>
        </w:numPr>
        <w:spacing w:after="120" w:line="276" w:lineRule="auto"/>
        <w:contextualSpacing w:val="0"/>
        <w:jc w:val="both"/>
        <w:rPr>
          <w:rFonts w:ascii="Times New Roman" w:hAnsi="Times New Roman" w:cs="Times New Roman"/>
          <w:color w:val="000000" w:themeColor="text1"/>
          <w:sz w:val="24"/>
          <w:szCs w:val="24"/>
        </w:rPr>
      </w:pPr>
      <w:r w:rsidRPr="002276EC">
        <w:rPr>
          <w:rFonts w:ascii="Times New Roman" w:hAnsi="Times New Roman" w:cs="Times New Roman"/>
          <w:color w:val="000000" w:themeColor="text1"/>
          <w:sz w:val="24"/>
          <w:szCs w:val="24"/>
        </w:rPr>
        <w:t xml:space="preserve">În anul 2015 </w:t>
      </w:r>
      <w:r w:rsidR="005C34B4" w:rsidRPr="002276EC">
        <w:rPr>
          <w:rFonts w:ascii="Times New Roman" w:hAnsi="Times New Roman" w:cs="Times New Roman"/>
          <w:color w:val="000000" w:themeColor="text1"/>
          <w:sz w:val="24"/>
          <w:szCs w:val="24"/>
        </w:rPr>
        <w:t xml:space="preserve">pentru un număr de 44 de ordonatori principali de credite, reprezentând 84,62%, </w:t>
      </w:r>
      <w:r w:rsidR="005C34B4" w:rsidRPr="002276EC">
        <w:rPr>
          <w:rFonts w:ascii="Times New Roman" w:hAnsi="Times New Roman" w:cs="Times New Roman"/>
          <w:i/>
          <w:color w:val="000000" w:themeColor="text1"/>
          <w:sz w:val="24"/>
          <w:szCs w:val="24"/>
        </w:rPr>
        <w:t>Programul de dezvoltare a sistemului de control intern managerial</w:t>
      </w:r>
      <w:r w:rsidR="005C34B4" w:rsidRPr="002276EC">
        <w:rPr>
          <w:rFonts w:ascii="Times New Roman" w:hAnsi="Times New Roman" w:cs="Times New Roman"/>
          <w:color w:val="000000" w:themeColor="text1"/>
          <w:sz w:val="24"/>
          <w:szCs w:val="24"/>
        </w:rPr>
        <w:t xml:space="preserve"> cuprinde acțiun</w:t>
      </w:r>
      <w:r w:rsidR="00E51050" w:rsidRPr="002276EC">
        <w:rPr>
          <w:rFonts w:ascii="Times New Roman" w:hAnsi="Times New Roman" w:cs="Times New Roman"/>
          <w:color w:val="000000" w:themeColor="text1"/>
          <w:sz w:val="24"/>
          <w:szCs w:val="24"/>
        </w:rPr>
        <w:t>i de perfecționare profesională, iar</w:t>
      </w:r>
      <w:r w:rsidR="005C34B4" w:rsidRPr="002276EC">
        <w:rPr>
          <w:rFonts w:ascii="Times New Roman" w:hAnsi="Times New Roman" w:cs="Times New Roman"/>
          <w:color w:val="000000" w:themeColor="text1"/>
          <w:sz w:val="24"/>
          <w:szCs w:val="24"/>
        </w:rPr>
        <w:t xml:space="preserve"> pentru un număr de 8 de ordonatori principali de credite, reprezentând 15,38 %, </w:t>
      </w:r>
      <w:r w:rsidR="005C34B4" w:rsidRPr="002276EC">
        <w:rPr>
          <w:rFonts w:ascii="Times New Roman" w:hAnsi="Times New Roman" w:cs="Times New Roman"/>
          <w:i/>
          <w:color w:val="000000" w:themeColor="text1"/>
          <w:sz w:val="24"/>
          <w:szCs w:val="24"/>
        </w:rPr>
        <w:t>Programul de dezvoltare a sistemului de control intern managerial</w:t>
      </w:r>
      <w:r w:rsidR="005C34B4" w:rsidRPr="002276EC">
        <w:rPr>
          <w:rFonts w:ascii="Times New Roman" w:hAnsi="Times New Roman" w:cs="Times New Roman"/>
          <w:color w:val="000000" w:themeColor="text1"/>
          <w:sz w:val="24"/>
          <w:szCs w:val="24"/>
        </w:rPr>
        <w:t xml:space="preserve">  nu cuprinde acțiuni de perfecționare profesională</w:t>
      </w:r>
      <w:r w:rsidRPr="002276EC">
        <w:rPr>
          <w:rFonts w:ascii="Times New Roman" w:hAnsi="Times New Roman" w:cs="Times New Roman"/>
          <w:color w:val="000000" w:themeColor="text1"/>
          <w:sz w:val="24"/>
          <w:szCs w:val="24"/>
        </w:rPr>
        <w:t>;</w:t>
      </w:r>
    </w:p>
    <w:p w:rsidR="008979AA" w:rsidRPr="002276EC" w:rsidRDefault="008979AA" w:rsidP="00C7604C">
      <w:pPr>
        <w:pStyle w:val="ListParagraph"/>
        <w:numPr>
          <w:ilvl w:val="0"/>
          <w:numId w:val="63"/>
        </w:numPr>
        <w:spacing w:after="120"/>
        <w:contextualSpacing w:val="0"/>
        <w:jc w:val="both"/>
        <w:rPr>
          <w:rFonts w:ascii="Times New Roman" w:hAnsi="Times New Roman" w:cs="Times New Roman"/>
          <w:color w:val="000000" w:themeColor="text1"/>
          <w:sz w:val="24"/>
          <w:szCs w:val="24"/>
        </w:rPr>
      </w:pPr>
      <w:r w:rsidRPr="002276EC">
        <w:rPr>
          <w:rFonts w:ascii="Times New Roman" w:hAnsi="Times New Roman" w:cs="Times New Roman"/>
          <w:color w:val="000000" w:themeColor="text1"/>
          <w:sz w:val="24"/>
          <w:szCs w:val="24"/>
        </w:rPr>
        <w:t>În anul 2016 pentru un număr de 46 de ordonatori principali de credite, reprezentând 92,00</w:t>
      </w:r>
      <w:r w:rsidRPr="002276EC">
        <w:rPr>
          <w:rFonts w:ascii="Times New Roman" w:hAnsi="Times New Roman" w:cs="Times New Roman"/>
          <w:i/>
          <w:color w:val="000000" w:themeColor="text1"/>
          <w:sz w:val="24"/>
          <w:szCs w:val="24"/>
        </w:rPr>
        <w:t>%, Programul de dezvoltare a sistemului de control intern managerial</w:t>
      </w:r>
      <w:r w:rsidRPr="002276EC">
        <w:rPr>
          <w:rFonts w:ascii="Times New Roman" w:hAnsi="Times New Roman" w:cs="Times New Roman"/>
          <w:color w:val="000000" w:themeColor="text1"/>
          <w:sz w:val="24"/>
          <w:szCs w:val="24"/>
        </w:rPr>
        <w:t xml:space="preserve"> cuprinde acțiuni de perfecționare profesională, iar pentru un număr de 4 de ordonatori principali de credite, reprezentând 8,00 </w:t>
      </w:r>
      <w:r w:rsidRPr="002276EC">
        <w:rPr>
          <w:rFonts w:ascii="Times New Roman" w:hAnsi="Times New Roman" w:cs="Times New Roman"/>
          <w:i/>
          <w:color w:val="000000" w:themeColor="text1"/>
          <w:sz w:val="24"/>
          <w:szCs w:val="24"/>
        </w:rPr>
        <w:t>%, Programul de dezvoltare a sistemului de control intern managerial</w:t>
      </w:r>
      <w:r w:rsidRPr="002276EC">
        <w:rPr>
          <w:rFonts w:ascii="Times New Roman" w:hAnsi="Times New Roman" w:cs="Times New Roman"/>
          <w:color w:val="000000" w:themeColor="text1"/>
          <w:sz w:val="24"/>
          <w:szCs w:val="24"/>
        </w:rPr>
        <w:t xml:space="preserve">  nu cuprinde acțiuni de perfecționare profesională, așa cum rezultă din graficul de </w:t>
      </w:r>
      <w:r w:rsidR="00C71D30" w:rsidRPr="002276EC">
        <w:rPr>
          <w:rFonts w:ascii="Times New Roman" w:hAnsi="Times New Roman" w:cs="Times New Roman"/>
          <w:color w:val="000000" w:themeColor="text1"/>
          <w:sz w:val="24"/>
          <w:szCs w:val="24"/>
        </w:rPr>
        <w:t>mai jos:</w:t>
      </w:r>
    </w:p>
    <w:p w:rsidR="00C71D30" w:rsidRDefault="00C71D30" w:rsidP="00C71D30">
      <w:pPr>
        <w:jc w:val="right"/>
        <w:rPr>
          <w:rFonts w:ascii="Times New Roman" w:hAnsi="Times New Roman" w:cs="Times New Roman"/>
          <w:noProof/>
          <w:sz w:val="24"/>
          <w:szCs w:val="24"/>
          <w:lang w:eastAsia="ro-RO"/>
        </w:rPr>
      </w:pPr>
      <w:r>
        <w:rPr>
          <w:rFonts w:ascii="Times New Roman" w:hAnsi="Times New Roman" w:cs="Times New Roman"/>
          <w:noProof/>
          <w:sz w:val="24"/>
          <w:szCs w:val="24"/>
          <w:lang w:eastAsia="ro-RO"/>
        </w:rPr>
        <w:drawing>
          <wp:inline distT="0" distB="0" distL="0" distR="0" wp14:anchorId="142E8342" wp14:editId="576E3532">
            <wp:extent cx="5956935" cy="2346960"/>
            <wp:effectExtent l="0" t="0" r="5715" b="1524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C71D30" w:rsidRDefault="00C71D30" w:rsidP="00C71D30">
      <w:pPr>
        <w:jc w:val="right"/>
        <w:rPr>
          <w:rFonts w:ascii="Times New Roman" w:hAnsi="Times New Roman" w:cs="Times New Roman"/>
          <w:noProof/>
          <w:sz w:val="24"/>
          <w:szCs w:val="24"/>
          <w:lang w:eastAsia="ro-RO"/>
        </w:rPr>
      </w:pPr>
    </w:p>
    <w:p w:rsidR="00C71D30" w:rsidRDefault="00C71D30" w:rsidP="00C71D30">
      <w:pPr>
        <w:jc w:val="right"/>
        <w:rPr>
          <w:rFonts w:ascii="Times New Roman" w:hAnsi="Times New Roman" w:cs="Times New Roman"/>
          <w:noProof/>
          <w:sz w:val="24"/>
          <w:szCs w:val="24"/>
          <w:lang w:eastAsia="ro-RO"/>
        </w:rPr>
      </w:pPr>
      <w:r>
        <w:rPr>
          <w:rFonts w:ascii="Times New Roman" w:hAnsi="Times New Roman" w:cs="Times New Roman"/>
          <w:noProof/>
          <w:sz w:val="24"/>
          <w:szCs w:val="24"/>
          <w:lang w:eastAsia="ro-RO"/>
        </w:rPr>
        <w:drawing>
          <wp:inline distT="0" distB="0" distL="0" distR="0" wp14:anchorId="2A1FF546" wp14:editId="27114550">
            <wp:extent cx="5956935" cy="2552131"/>
            <wp:effectExtent l="0" t="0" r="5715" b="63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r>
        <w:rPr>
          <w:rFonts w:ascii="Times New Roman" w:hAnsi="Times New Roman" w:cs="Times New Roman"/>
          <w:noProof/>
          <w:sz w:val="24"/>
          <w:szCs w:val="24"/>
          <w:lang w:eastAsia="ro-RO"/>
        </w:rPr>
        <w:br w:type="page"/>
      </w:r>
    </w:p>
    <w:p w:rsidR="005D3252" w:rsidRPr="00C113DE" w:rsidRDefault="005D3252" w:rsidP="005D3252">
      <w:pPr>
        <w:spacing w:line="276" w:lineRule="auto"/>
        <w:jc w:val="both"/>
        <w:rPr>
          <w:rFonts w:ascii="Times New Roman" w:hAnsi="Times New Roman" w:cs="Times New Roman"/>
          <w:noProof/>
          <w:color w:val="000000" w:themeColor="text1"/>
          <w:sz w:val="24"/>
          <w:szCs w:val="24"/>
          <w:lang w:eastAsia="ro-RO"/>
        </w:rPr>
      </w:pPr>
      <w:r w:rsidRPr="00C113DE">
        <w:rPr>
          <w:rFonts w:ascii="Times New Roman" w:hAnsi="Times New Roman" w:cs="Times New Roman"/>
          <w:b/>
          <w:color w:val="000000" w:themeColor="text1"/>
          <w:sz w:val="24"/>
          <w:szCs w:val="24"/>
        </w:rPr>
        <w:t>Programul de dezvoltare a sistemului de control intern managerial</w:t>
      </w:r>
    </w:p>
    <w:p w:rsidR="007410E3" w:rsidRPr="00C113DE" w:rsidRDefault="00D5269D" w:rsidP="00C7604C">
      <w:pPr>
        <w:pStyle w:val="ListParagraph"/>
        <w:numPr>
          <w:ilvl w:val="0"/>
          <w:numId w:val="64"/>
        </w:numPr>
        <w:spacing w:after="120" w:line="276" w:lineRule="auto"/>
        <w:ind w:left="714" w:hanging="357"/>
        <w:contextualSpacing w:val="0"/>
        <w:jc w:val="both"/>
        <w:rPr>
          <w:rFonts w:ascii="Times New Roman" w:hAnsi="Times New Roman" w:cs="Times New Roman"/>
          <w:color w:val="000000" w:themeColor="text1"/>
          <w:sz w:val="24"/>
          <w:szCs w:val="24"/>
        </w:rPr>
      </w:pPr>
      <w:r w:rsidRPr="00C113DE">
        <w:rPr>
          <w:rFonts w:ascii="Times New Roman" w:hAnsi="Times New Roman" w:cs="Times New Roman"/>
          <w:color w:val="000000" w:themeColor="text1"/>
          <w:sz w:val="24"/>
          <w:szCs w:val="24"/>
        </w:rPr>
        <w:t>Î</w:t>
      </w:r>
      <w:r w:rsidR="004E73AA" w:rsidRPr="00C113DE">
        <w:rPr>
          <w:rFonts w:ascii="Times New Roman" w:hAnsi="Times New Roman" w:cs="Times New Roman"/>
          <w:color w:val="000000" w:themeColor="text1"/>
          <w:sz w:val="24"/>
          <w:szCs w:val="24"/>
        </w:rPr>
        <w:t xml:space="preserve">n anul 2015 </w:t>
      </w:r>
      <w:r w:rsidR="007410E3" w:rsidRPr="00C113DE">
        <w:rPr>
          <w:rFonts w:ascii="Times New Roman" w:hAnsi="Times New Roman" w:cs="Times New Roman"/>
          <w:color w:val="000000" w:themeColor="text1"/>
          <w:sz w:val="24"/>
          <w:szCs w:val="24"/>
        </w:rPr>
        <w:t xml:space="preserve">pentru un număr de 40 de ordonatori principali de credite, reprezentând 76,92%, </w:t>
      </w:r>
      <w:r w:rsidR="007410E3" w:rsidRPr="00C113DE">
        <w:rPr>
          <w:rFonts w:ascii="Times New Roman" w:hAnsi="Times New Roman" w:cs="Times New Roman"/>
          <w:i/>
          <w:color w:val="000000" w:themeColor="text1"/>
          <w:sz w:val="24"/>
          <w:szCs w:val="24"/>
        </w:rPr>
        <w:t>Programul de dezvoltare a sistemului de control intern managerial</w:t>
      </w:r>
      <w:r w:rsidR="007410E3" w:rsidRPr="00C113DE">
        <w:rPr>
          <w:rFonts w:ascii="Times New Roman" w:hAnsi="Times New Roman" w:cs="Times New Roman"/>
          <w:color w:val="000000" w:themeColor="text1"/>
          <w:sz w:val="24"/>
          <w:szCs w:val="24"/>
        </w:rPr>
        <w:t xml:space="preserve"> a fost actualizat în cursul anului</w:t>
      </w:r>
      <w:r w:rsidR="00E51050" w:rsidRPr="00C113DE">
        <w:rPr>
          <w:rFonts w:ascii="Times New Roman" w:hAnsi="Times New Roman" w:cs="Times New Roman"/>
          <w:color w:val="000000" w:themeColor="text1"/>
          <w:sz w:val="24"/>
          <w:szCs w:val="24"/>
        </w:rPr>
        <w:t xml:space="preserve">, iar </w:t>
      </w:r>
      <w:r w:rsidR="007410E3" w:rsidRPr="00C113DE">
        <w:rPr>
          <w:rFonts w:ascii="Times New Roman" w:hAnsi="Times New Roman" w:cs="Times New Roman"/>
          <w:color w:val="000000" w:themeColor="text1"/>
          <w:sz w:val="24"/>
          <w:szCs w:val="24"/>
        </w:rPr>
        <w:t xml:space="preserve">pentru un număr de 12 de ordonatori principali de credite, reprezentând 23,08%, </w:t>
      </w:r>
      <w:r w:rsidR="007410E3" w:rsidRPr="00C113DE">
        <w:rPr>
          <w:rFonts w:ascii="Times New Roman" w:hAnsi="Times New Roman" w:cs="Times New Roman"/>
          <w:i/>
          <w:color w:val="000000" w:themeColor="text1"/>
          <w:sz w:val="24"/>
          <w:szCs w:val="24"/>
        </w:rPr>
        <w:t>Programul de dezvoltare a sistemului de control intern managerial</w:t>
      </w:r>
      <w:r w:rsidR="007410E3" w:rsidRPr="00C113DE">
        <w:rPr>
          <w:rFonts w:ascii="Times New Roman" w:hAnsi="Times New Roman" w:cs="Times New Roman"/>
          <w:color w:val="000000" w:themeColor="text1"/>
          <w:sz w:val="24"/>
          <w:szCs w:val="24"/>
        </w:rPr>
        <w:t xml:space="preserve">  nu a fost actualizat în cursul anului</w:t>
      </w:r>
      <w:r w:rsidR="004E73AA" w:rsidRPr="00C113DE">
        <w:rPr>
          <w:rFonts w:ascii="Times New Roman" w:hAnsi="Times New Roman" w:cs="Times New Roman"/>
          <w:color w:val="000000" w:themeColor="text1"/>
          <w:sz w:val="24"/>
          <w:szCs w:val="24"/>
        </w:rPr>
        <w:t>;</w:t>
      </w:r>
    </w:p>
    <w:p w:rsidR="004E73AA" w:rsidRPr="00C113DE" w:rsidRDefault="00E06939" w:rsidP="00C7604C">
      <w:pPr>
        <w:pStyle w:val="ListParagraph"/>
        <w:numPr>
          <w:ilvl w:val="0"/>
          <w:numId w:val="64"/>
        </w:numPr>
        <w:tabs>
          <w:tab w:val="left" w:pos="709"/>
        </w:tabs>
        <w:spacing w:after="120" w:line="276" w:lineRule="auto"/>
        <w:ind w:left="714" w:hanging="357"/>
        <w:contextualSpacing w:val="0"/>
        <w:jc w:val="both"/>
        <w:rPr>
          <w:rFonts w:ascii="Times New Roman" w:hAnsi="Times New Roman" w:cs="Times New Roman"/>
          <w:color w:val="000000" w:themeColor="text1"/>
          <w:sz w:val="24"/>
          <w:szCs w:val="24"/>
        </w:rPr>
      </w:pPr>
      <w:r w:rsidRPr="00C113DE">
        <w:rPr>
          <w:rFonts w:ascii="Times New Roman" w:hAnsi="Times New Roman" w:cs="Times New Roman"/>
          <w:color w:val="000000" w:themeColor="text1"/>
          <w:sz w:val="24"/>
          <w:szCs w:val="24"/>
        </w:rPr>
        <w:t>În anul 2016</w:t>
      </w:r>
      <w:r w:rsidR="004E73AA" w:rsidRPr="00C113DE">
        <w:rPr>
          <w:rFonts w:ascii="Times New Roman" w:hAnsi="Times New Roman" w:cs="Times New Roman"/>
          <w:color w:val="000000" w:themeColor="text1"/>
          <w:sz w:val="24"/>
          <w:szCs w:val="24"/>
        </w:rPr>
        <w:t xml:space="preserve"> pentru un număr de 45 de ordonatori principali de credite, reprezentând 90,00 %, </w:t>
      </w:r>
      <w:r w:rsidR="004E73AA" w:rsidRPr="00C113DE">
        <w:rPr>
          <w:rFonts w:ascii="Times New Roman" w:hAnsi="Times New Roman" w:cs="Times New Roman"/>
          <w:i/>
          <w:color w:val="000000" w:themeColor="text1"/>
          <w:sz w:val="24"/>
          <w:szCs w:val="24"/>
        </w:rPr>
        <w:t>Programul de dezvoltare a sistemului de control intern managerial</w:t>
      </w:r>
      <w:r w:rsidR="004E73AA" w:rsidRPr="00C113DE">
        <w:rPr>
          <w:rFonts w:ascii="Times New Roman" w:hAnsi="Times New Roman" w:cs="Times New Roman"/>
          <w:color w:val="000000" w:themeColor="text1"/>
          <w:sz w:val="24"/>
          <w:szCs w:val="24"/>
        </w:rPr>
        <w:t xml:space="preserve"> a fost actualizat în cursul anului, iar pentru un număr de 5 de ordonatori principali de credite, reprezentând 10,00 </w:t>
      </w:r>
      <w:r w:rsidR="004E73AA" w:rsidRPr="00C113DE">
        <w:rPr>
          <w:rFonts w:ascii="Times New Roman" w:hAnsi="Times New Roman" w:cs="Times New Roman"/>
          <w:i/>
          <w:color w:val="000000" w:themeColor="text1"/>
          <w:sz w:val="24"/>
          <w:szCs w:val="24"/>
        </w:rPr>
        <w:t>%, Programul de dezvoltare a sistemului de control intern managerial</w:t>
      </w:r>
      <w:r w:rsidR="004E73AA" w:rsidRPr="00C113DE">
        <w:rPr>
          <w:rFonts w:ascii="Times New Roman" w:hAnsi="Times New Roman" w:cs="Times New Roman"/>
          <w:color w:val="000000" w:themeColor="text1"/>
          <w:sz w:val="24"/>
          <w:szCs w:val="24"/>
        </w:rPr>
        <w:t xml:space="preserve">  nu a fost actualizat în cursul anului, așa cum rezultă din graficul de mai jos:</w:t>
      </w:r>
    </w:p>
    <w:p w:rsidR="00AA2477" w:rsidRDefault="00AA2477" w:rsidP="00602BDC">
      <w:pPr>
        <w:pStyle w:val="ListParagraph"/>
        <w:spacing w:line="276" w:lineRule="auto"/>
        <w:jc w:val="both"/>
        <w:rPr>
          <w:rFonts w:ascii="Times New Roman" w:hAnsi="Times New Roman" w:cs="Times New Roman"/>
          <w:noProof/>
          <w:sz w:val="24"/>
          <w:szCs w:val="24"/>
          <w:lang w:eastAsia="ro-RO"/>
        </w:rPr>
      </w:pPr>
    </w:p>
    <w:p w:rsidR="005D3252" w:rsidRDefault="005D3252" w:rsidP="005D3252">
      <w:pPr>
        <w:jc w:val="right"/>
        <w:rPr>
          <w:rFonts w:ascii="Times New Roman" w:hAnsi="Times New Roman" w:cs="Times New Roman"/>
          <w:noProof/>
          <w:sz w:val="24"/>
          <w:szCs w:val="24"/>
          <w:lang w:eastAsia="ro-RO"/>
        </w:rPr>
      </w:pPr>
      <w:r>
        <w:rPr>
          <w:rFonts w:ascii="Times New Roman" w:hAnsi="Times New Roman" w:cs="Times New Roman"/>
          <w:noProof/>
          <w:sz w:val="24"/>
          <w:szCs w:val="24"/>
          <w:lang w:eastAsia="ro-RO"/>
        </w:rPr>
        <w:drawing>
          <wp:inline distT="0" distB="0" distL="0" distR="0" wp14:anchorId="4E232CCB" wp14:editId="367A4FF9">
            <wp:extent cx="5956935" cy="2346960"/>
            <wp:effectExtent l="0" t="0" r="5715" b="1524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5D3252" w:rsidRDefault="005D3252" w:rsidP="005D3252">
      <w:pPr>
        <w:jc w:val="right"/>
        <w:rPr>
          <w:rFonts w:ascii="Times New Roman" w:hAnsi="Times New Roman" w:cs="Times New Roman"/>
          <w:noProof/>
          <w:sz w:val="24"/>
          <w:szCs w:val="24"/>
          <w:lang w:eastAsia="ro-RO"/>
        </w:rPr>
      </w:pPr>
    </w:p>
    <w:p w:rsidR="005D3252" w:rsidRDefault="005D3252" w:rsidP="005D3252">
      <w:pPr>
        <w:jc w:val="right"/>
        <w:rPr>
          <w:rFonts w:ascii="Times New Roman" w:hAnsi="Times New Roman" w:cs="Times New Roman"/>
          <w:noProof/>
          <w:sz w:val="24"/>
          <w:szCs w:val="24"/>
          <w:lang w:eastAsia="ro-RO"/>
        </w:rPr>
      </w:pPr>
      <w:r>
        <w:rPr>
          <w:rFonts w:ascii="Times New Roman" w:hAnsi="Times New Roman" w:cs="Times New Roman"/>
          <w:noProof/>
          <w:sz w:val="24"/>
          <w:szCs w:val="24"/>
          <w:lang w:eastAsia="ro-RO"/>
        </w:rPr>
        <w:drawing>
          <wp:inline distT="0" distB="0" distL="0" distR="0" wp14:anchorId="0B5B02FD" wp14:editId="3D8E4D6C">
            <wp:extent cx="5956935" cy="2552131"/>
            <wp:effectExtent l="0" t="0" r="5715" b="635"/>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793BCE" w:rsidRPr="0058080F" w:rsidRDefault="00793BCE" w:rsidP="00C113DE">
      <w:pPr>
        <w:spacing w:after="120" w:line="276" w:lineRule="auto"/>
        <w:jc w:val="both"/>
        <w:rPr>
          <w:rFonts w:ascii="Times New Roman" w:hAnsi="Times New Roman" w:cs="Times New Roman"/>
          <w:noProof/>
          <w:sz w:val="24"/>
          <w:szCs w:val="24"/>
          <w:lang w:eastAsia="ro-RO"/>
        </w:rPr>
      </w:pPr>
      <w:r>
        <w:rPr>
          <w:rFonts w:ascii="Times New Roman" w:hAnsi="Times New Roman" w:cs="Times New Roman"/>
          <w:b/>
          <w:sz w:val="24"/>
          <w:szCs w:val="24"/>
        </w:rPr>
        <w:t>Funcționalitatea</w:t>
      </w:r>
      <w:r w:rsidRPr="0058080F">
        <w:rPr>
          <w:rFonts w:ascii="Times New Roman" w:hAnsi="Times New Roman" w:cs="Times New Roman"/>
          <w:b/>
          <w:sz w:val="24"/>
          <w:szCs w:val="24"/>
        </w:rPr>
        <w:t xml:space="preserve"> Compartimentului de audit</w:t>
      </w:r>
    </w:p>
    <w:p w:rsidR="007410E3" w:rsidRPr="00C113DE" w:rsidRDefault="00637ADD" w:rsidP="00C7604C">
      <w:pPr>
        <w:pStyle w:val="ListParagraph"/>
        <w:numPr>
          <w:ilvl w:val="0"/>
          <w:numId w:val="65"/>
        </w:numPr>
        <w:spacing w:after="120" w:line="276" w:lineRule="auto"/>
        <w:ind w:left="714" w:hanging="357"/>
        <w:contextualSpacing w:val="0"/>
        <w:jc w:val="both"/>
        <w:rPr>
          <w:rFonts w:ascii="Times New Roman" w:hAnsi="Times New Roman" w:cs="Times New Roman"/>
          <w:color w:val="000000" w:themeColor="text1"/>
          <w:sz w:val="24"/>
          <w:szCs w:val="24"/>
        </w:rPr>
      </w:pPr>
      <w:r w:rsidRPr="00C113DE">
        <w:rPr>
          <w:rFonts w:ascii="Times New Roman" w:hAnsi="Times New Roman" w:cs="Times New Roman"/>
          <w:color w:val="000000" w:themeColor="text1"/>
          <w:sz w:val="24"/>
          <w:szCs w:val="24"/>
        </w:rPr>
        <w:t xml:space="preserve">În anul 2015 </w:t>
      </w:r>
      <w:r w:rsidR="007410E3" w:rsidRPr="00C113DE">
        <w:rPr>
          <w:rFonts w:ascii="Times New Roman" w:hAnsi="Times New Roman" w:cs="Times New Roman"/>
          <w:color w:val="000000" w:themeColor="text1"/>
          <w:sz w:val="24"/>
          <w:szCs w:val="24"/>
        </w:rPr>
        <w:t>pentru un număr de 52 de ordonatori principali de credite, reprezentând 100 % există compartiment de audit;</w:t>
      </w:r>
    </w:p>
    <w:p w:rsidR="00637ADD" w:rsidRPr="00C113DE" w:rsidRDefault="00637ADD" w:rsidP="00C7604C">
      <w:pPr>
        <w:pStyle w:val="ListParagraph"/>
        <w:numPr>
          <w:ilvl w:val="0"/>
          <w:numId w:val="65"/>
        </w:numPr>
        <w:spacing w:after="120"/>
        <w:ind w:left="714" w:hanging="357"/>
        <w:contextualSpacing w:val="0"/>
        <w:jc w:val="both"/>
        <w:rPr>
          <w:rFonts w:ascii="Times New Roman" w:hAnsi="Times New Roman" w:cs="Times New Roman"/>
          <w:color w:val="000000" w:themeColor="text1"/>
          <w:sz w:val="24"/>
          <w:szCs w:val="24"/>
        </w:rPr>
      </w:pPr>
      <w:r w:rsidRPr="00C113DE">
        <w:rPr>
          <w:rFonts w:ascii="Times New Roman" w:hAnsi="Times New Roman" w:cs="Times New Roman"/>
          <w:color w:val="000000" w:themeColor="text1"/>
          <w:sz w:val="24"/>
          <w:szCs w:val="24"/>
        </w:rPr>
        <w:t>În anul 2016 pentru un număr de 50 de ordonatori principali de credite, reprezentând 100 % există compartiment de audit;</w:t>
      </w:r>
    </w:p>
    <w:p w:rsidR="007410E3" w:rsidRPr="00C113DE" w:rsidRDefault="00637ADD" w:rsidP="00C7604C">
      <w:pPr>
        <w:pStyle w:val="ListParagraph"/>
        <w:numPr>
          <w:ilvl w:val="0"/>
          <w:numId w:val="65"/>
        </w:numPr>
        <w:spacing w:after="120" w:line="276" w:lineRule="auto"/>
        <w:ind w:left="714" w:hanging="357"/>
        <w:contextualSpacing w:val="0"/>
        <w:jc w:val="both"/>
        <w:rPr>
          <w:rFonts w:ascii="Times New Roman" w:hAnsi="Times New Roman" w:cs="Times New Roman"/>
          <w:color w:val="000000" w:themeColor="text1"/>
          <w:sz w:val="24"/>
          <w:szCs w:val="24"/>
        </w:rPr>
      </w:pPr>
      <w:r w:rsidRPr="00C113DE">
        <w:rPr>
          <w:rFonts w:ascii="Times New Roman" w:hAnsi="Times New Roman" w:cs="Times New Roman"/>
          <w:color w:val="000000" w:themeColor="text1"/>
          <w:sz w:val="24"/>
          <w:szCs w:val="24"/>
        </w:rPr>
        <w:t xml:space="preserve">În anul 2015 </w:t>
      </w:r>
      <w:r w:rsidR="007410E3" w:rsidRPr="00C113DE">
        <w:rPr>
          <w:rFonts w:ascii="Times New Roman" w:hAnsi="Times New Roman" w:cs="Times New Roman"/>
          <w:color w:val="000000" w:themeColor="text1"/>
          <w:sz w:val="24"/>
          <w:szCs w:val="24"/>
        </w:rPr>
        <w:t xml:space="preserve">pentru un număr de 50 de ordonatori principali de credite, reprezentând 96,15%, compartimentul </w:t>
      </w:r>
      <w:r w:rsidR="00845852" w:rsidRPr="00C113DE">
        <w:rPr>
          <w:rFonts w:ascii="Times New Roman" w:hAnsi="Times New Roman" w:cs="Times New Roman"/>
          <w:color w:val="000000" w:themeColor="text1"/>
          <w:sz w:val="24"/>
          <w:szCs w:val="24"/>
        </w:rPr>
        <w:t>de audit intern este funcțional, iar</w:t>
      </w:r>
      <w:r w:rsidR="007410E3" w:rsidRPr="00C113DE">
        <w:rPr>
          <w:rFonts w:ascii="Times New Roman" w:hAnsi="Times New Roman" w:cs="Times New Roman"/>
          <w:color w:val="000000" w:themeColor="text1"/>
          <w:sz w:val="24"/>
          <w:szCs w:val="24"/>
        </w:rPr>
        <w:t xml:space="preserve"> pentru un număr de 2 de ordonatori principali de credite, reprezentând 3,85%, compartimentul de audit intern nu este funcțional</w:t>
      </w:r>
      <w:r w:rsidRPr="00C113DE">
        <w:rPr>
          <w:rFonts w:ascii="Times New Roman" w:hAnsi="Times New Roman" w:cs="Times New Roman"/>
          <w:color w:val="000000" w:themeColor="text1"/>
          <w:sz w:val="24"/>
          <w:szCs w:val="24"/>
        </w:rPr>
        <w:t>;</w:t>
      </w:r>
    </w:p>
    <w:p w:rsidR="00637ADD" w:rsidRPr="00C113DE" w:rsidRDefault="00637ADD" w:rsidP="00C7604C">
      <w:pPr>
        <w:pStyle w:val="ListParagraph"/>
        <w:numPr>
          <w:ilvl w:val="0"/>
          <w:numId w:val="65"/>
        </w:numPr>
        <w:spacing w:after="120"/>
        <w:ind w:left="714" w:hanging="357"/>
        <w:contextualSpacing w:val="0"/>
        <w:jc w:val="both"/>
        <w:rPr>
          <w:rFonts w:ascii="Times New Roman" w:hAnsi="Times New Roman" w:cs="Times New Roman"/>
          <w:color w:val="000000" w:themeColor="text1"/>
          <w:sz w:val="24"/>
          <w:szCs w:val="24"/>
        </w:rPr>
      </w:pPr>
      <w:r w:rsidRPr="00C113DE">
        <w:rPr>
          <w:rFonts w:ascii="Times New Roman" w:hAnsi="Times New Roman" w:cs="Times New Roman"/>
          <w:color w:val="000000" w:themeColor="text1"/>
          <w:sz w:val="24"/>
          <w:szCs w:val="24"/>
        </w:rPr>
        <w:t>În anul 2016 pentru un număr de 48 de ordonatori principali de credite, reprezentând 96,00%, compartimentul de audit intern este funcțional, iar pentru un număr de 2 de ordonatori principali de credite, reprezentând 4,00%, compartimentul de audit intern nu este funcțional, așa cum rezultă din graficul de mai jos:</w:t>
      </w:r>
    </w:p>
    <w:p w:rsidR="00793BCE" w:rsidRDefault="00793BCE" w:rsidP="00793BCE">
      <w:pPr>
        <w:spacing w:line="276" w:lineRule="auto"/>
        <w:jc w:val="right"/>
        <w:rPr>
          <w:rFonts w:ascii="Times New Roman" w:hAnsi="Times New Roman" w:cs="Times New Roman"/>
          <w:sz w:val="24"/>
          <w:szCs w:val="24"/>
        </w:rPr>
      </w:pPr>
      <w:r>
        <w:rPr>
          <w:rFonts w:ascii="Times New Roman" w:hAnsi="Times New Roman" w:cs="Times New Roman"/>
          <w:noProof/>
          <w:sz w:val="24"/>
          <w:szCs w:val="24"/>
          <w:lang w:eastAsia="ro-RO"/>
        </w:rPr>
        <w:drawing>
          <wp:inline distT="0" distB="0" distL="0" distR="0" wp14:anchorId="271256AF" wp14:editId="05945071">
            <wp:extent cx="5956935" cy="2346960"/>
            <wp:effectExtent l="0" t="0" r="5715" b="1524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793BCE" w:rsidRDefault="00793BCE" w:rsidP="00C113DE">
      <w:pPr>
        <w:spacing w:after="120" w:line="276" w:lineRule="auto"/>
        <w:jc w:val="both"/>
        <w:rPr>
          <w:rFonts w:ascii="Times New Roman" w:hAnsi="Times New Roman" w:cs="Times New Roman"/>
          <w:sz w:val="24"/>
          <w:szCs w:val="24"/>
        </w:rPr>
      </w:pPr>
    </w:p>
    <w:p w:rsidR="00793BCE" w:rsidRDefault="00793BCE" w:rsidP="00793BCE">
      <w:pPr>
        <w:spacing w:line="276" w:lineRule="auto"/>
        <w:jc w:val="right"/>
        <w:rPr>
          <w:rFonts w:ascii="Times New Roman" w:hAnsi="Times New Roman" w:cs="Times New Roman"/>
          <w:sz w:val="24"/>
          <w:szCs w:val="24"/>
        </w:rPr>
      </w:pPr>
      <w:r>
        <w:rPr>
          <w:rFonts w:ascii="Times New Roman" w:hAnsi="Times New Roman" w:cs="Times New Roman"/>
          <w:noProof/>
          <w:sz w:val="24"/>
          <w:szCs w:val="24"/>
          <w:lang w:eastAsia="ro-RO"/>
        </w:rPr>
        <w:drawing>
          <wp:inline distT="0" distB="0" distL="0" distR="0" wp14:anchorId="040FAB42" wp14:editId="6829A5BE">
            <wp:extent cx="5956935" cy="2552131"/>
            <wp:effectExtent l="0" t="0" r="5715" b="635"/>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793BCE" w:rsidRPr="0058080F" w:rsidRDefault="00793BCE" w:rsidP="00793BCE">
      <w:pPr>
        <w:spacing w:after="240" w:line="276" w:lineRule="auto"/>
        <w:jc w:val="both"/>
        <w:rPr>
          <w:rFonts w:ascii="Times New Roman" w:hAnsi="Times New Roman" w:cs="Times New Roman"/>
          <w:noProof/>
          <w:sz w:val="24"/>
          <w:szCs w:val="24"/>
          <w:lang w:eastAsia="ro-RO"/>
        </w:rPr>
      </w:pPr>
      <w:r>
        <w:rPr>
          <w:rFonts w:ascii="Times New Roman" w:hAnsi="Times New Roman" w:cs="Times New Roman"/>
          <w:b/>
          <w:sz w:val="24"/>
          <w:szCs w:val="24"/>
        </w:rPr>
        <w:t xml:space="preserve">Componența </w:t>
      </w:r>
      <w:r w:rsidRPr="0058080F">
        <w:rPr>
          <w:rFonts w:ascii="Times New Roman" w:hAnsi="Times New Roman" w:cs="Times New Roman"/>
          <w:b/>
          <w:sz w:val="24"/>
          <w:szCs w:val="24"/>
        </w:rPr>
        <w:t>Compartimentului de audit</w:t>
      </w:r>
    </w:p>
    <w:p w:rsidR="007410E3" w:rsidRPr="00C113DE" w:rsidRDefault="00A03C2C" w:rsidP="00C7604C">
      <w:pPr>
        <w:pStyle w:val="ListParagraph"/>
        <w:numPr>
          <w:ilvl w:val="0"/>
          <w:numId w:val="2"/>
        </w:numPr>
        <w:spacing w:after="120" w:line="276" w:lineRule="auto"/>
        <w:contextualSpacing w:val="0"/>
        <w:jc w:val="both"/>
        <w:rPr>
          <w:rFonts w:ascii="Times New Roman" w:hAnsi="Times New Roman" w:cs="Times New Roman"/>
          <w:color w:val="000000" w:themeColor="text1"/>
          <w:sz w:val="24"/>
          <w:szCs w:val="24"/>
        </w:rPr>
      </w:pPr>
      <w:r w:rsidRPr="00C113DE">
        <w:rPr>
          <w:rFonts w:ascii="Times New Roman" w:hAnsi="Times New Roman" w:cs="Times New Roman"/>
          <w:color w:val="000000" w:themeColor="text1"/>
          <w:sz w:val="24"/>
          <w:szCs w:val="24"/>
        </w:rPr>
        <w:t xml:space="preserve">În anul 2015 </w:t>
      </w:r>
      <w:r w:rsidR="007410E3" w:rsidRPr="00C113DE">
        <w:rPr>
          <w:rFonts w:ascii="Times New Roman" w:hAnsi="Times New Roman" w:cs="Times New Roman"/>
          <w:color w:val="000000" w:themeColor="text1"/>
          <w:sz w:val="24"/>
          <w:szCs w:val="24"/>
        </w:rPr>
        <w:t>pentru un număr de</w:t>
      </w:r>
      <w:r w:rsidR="001060CA" w:rsidRPr="00C113DE">
        <w:rPr>
          <w:rFonts w:ascii="Times New Roman" w:hAnsi="Times New Roman" w:cs="Times New Roman"/>
          <w:color w:val="000000" w:themeColor="text1"/>
          <w:sz w:val="24"/>
          <w:szCs w:val="24"/>
        </w:rPr>
        <w:t xml:space="preserve"> 39</w:t>
      </w:r>
      <w:r w:rsidR="007410E3" w:rsidRPr="00C113DE">
        <w:rPr>
          <w:rFonts w:ascii="Times New Roman" w:hAnsi="Times New Roman" w:cs="Times New Roman"/>
          <w:color w:val="000000" w:themeColor="text1"/>
          <w:sz w:val="24"/>
          <w:szCs w:val="24"/>
        </w:rPr>
        <w:t xml:space="preserve"> de ordonatori principali de credite, reprezentând </w:t>
      </w:r>
      <w:r w:rsidR="001060CA" w:rsidRPr="00C113DE">
        <w:rPr>
          <w:rFonts w:ascii="Times New Roman" w:hAnsi="Times New Roman" w:cs="Times New Roman"/>
          <w:color w:val="000000" w:themeColor="text1"/>
          <w:sz w:val="24"/>
          <w:szCs w:val="24"/>
        </w:rPr>
        <w:t>75,00</w:t>
      </w:r>
      <w:r w:rsidR="007410E3" w:rsidRPr="00C113DE">
        <w:rPr>
          <w:rFonts w:ascii="Times New Roman" w:hAnsi="Times New Roman" w:cs="Times New Roman"/>
          <w:color w:val="000000" w:themeColor="text1"/>
          <w:sz w:val="24"/>
          <w:szCs w:val="24"/>
        </w:rPr>
        <w:t>%, compartimentul de audit intern este format din minim 2 persoane, corespunzător legislației în vigoare</w:t>
      </w:r>
      <w:r w:rsidR="00E51050" w:rsidRPr="00C113DE">
        <w:rPr>
          <w:rFonts w:ascii="Times New Roman" w:hAnsi="Times New Roman" w:cs="Times New Roman"/>
          <w:color w:val="000000" w:themeColor="text1"/>
          <w:sz w:val="24"/>
          <w:szCs w:val="24"/>
        </w:rPr>
        <w:t>, iar</w:t>
      </w:r>
      <w:r w:rsidR="007410E3" w:rsidRPr="00C113DE">
        <w:rPr>
          <w:rFonts w:ascii="Times New Roman" w:hAnsi="Times New Roman" w:cs="Times New Roman"/>
          <w:color w:val="000000" w:themeColor="text1"/>
          <w:sz w:val="24"/>
          <w:szCs w:val="24"/>
        </w:rPr>
        <w:t xml:space="preserve"> pentru un număr de 13 de ordonatori principali de credite, reprezentând 25,00%, compartimentul de audit intern nu este format din minim 2 persoane</w:t>
      </w:r>
      <w:r w:rsidRPr="00C113DE">
        <w:rPr>
          <w:rFonts w:ascii="Times New Roman" w:hAnsi="Times New Roman" w:cs="Times New Roman"/>
          <w:color w:val="000000" w:themeColor="text1"/>
          <w:sz w:val="24"/>
          <w:szCs w:val="24"/>
        </w:rPr>
        <w:t>;</w:t>
      </w:r>
    </w:p>
    <w:p w:rsidR="00A03C2C" w:rsidRPr="00C113DE" w:rsidRDefault="00A03C2C" w:rsidP="00C7604C">
      <w:pPr>
        <w:pStyle w:val="ListParagraph"/>
        <w:numPr>
          <w:ilvl w:val="0"/>
          <w:numId w:val="2"/>
        </w:numPr>
        <w:spacing w:after="120"/>
        <w:contextualSpacing w:val="0"/>
        <w:jc w:val="both"/>
        <w:rPr>
          <w:rFonts w:ascii="Times New Roman" w:hAnsi="Times New Roman" w:cs="Times New Roman"/>
          <w:color w:val="000000" w:themeColor="text1"/>
          <w:sz w:val="24"/>
          <w:szCs w:val="24"/>
        </w:rPr>
      </w:pPr>
      <w:r w:rsidRPr="00C113DE">
        <w:rPr>
          <w:rFonts w:ascii="Times New Roman" w:hAnsi="Times New Roman" w:cs="Times New Roman"/>
          <w:color w:val="000000" w:themeColor="text1"/>
          <w:sz w:val="24"/>
          <w:szCs w:val="24"/>
        </w:rPr>
        <w:t>În anul 2016 pentru un număr de 38 de ordonatori principali de credite, reprezentând 76,00%, compartimentul de audit intern este format din minim 2 persoane, corespunzător legislației în vigoare, iar pentru un număr de 12 de ordonatori principali de credite, reprezentând 24,00%, compartimentul de audit intern nu este format din minim 2 persoane, așa cum rezultă din graficul de mai jos:</w:t>
      </w:r>
    </w:p>
    <w:p w:rsidR="00A03C2C" w:rsidRPr="00C113DE" w:rsidRDefault="00A03C2C" w:rsidP="00C113DE">
      <w:pPr>
        <w:pStyle w:val="ListParagraph"/>
        <w:spacing w:after="120" w:line="276" w:lineRule="auto"/>
        <w:contextualSpacing w:val="0"/>
        <w:jc w:val="both"/>
        <w:rPr>
          <w:rFonts w:ascii="Times New Roman" w:hAnsi="Times New Roman" w:cs="Times New Roman"/>
          <w:color w:val="000000" w:themeColor="text1"/>
          <w:sz w:val="24"/>
          <w:szCs w:val="24"/>
        </w:rPr>
      </w:pPr>
    </w:p>
    <w:p w:rsidR="005C34B4" w:rsidRDefault="00F1028F" w:rsidP="00F1028F">
      <w:pPr>
        <w:spacing w:line="276" w:lineRule="auto"/>
        <w:jc w:val="right"/>
        <w:rPr>
          <w:rFonts w:ascii="Times New Roman" w:hAnsi="Times New Roman" w:cs="Times New Roman"/>
          <w:sz w:val="24"/>
          <w:szCs w:val="24"/>
        </w:rPr>
      </w:pPr>
      <w:r>
        <w:rPr>
          <w:rFonts w:ascii="Times New Roman" w:hAnsi="Times New Roman" w:cs="Times New Roman"/>
          <w:noProof/>
          <w:sz w:val="24"/>
          <w:szCs w:val="24"/>
          <w:lang w:eastAsia="ro-RO"/>
        </w:rPr>
        <w:drawing>
          <wp:inline distT="0" distB="0" distL="0" distR="0" wp14:anchorId="58F976DF" wp14:editId="75523C66">
            <wp:extent cx="5956935" cy="2346960"/>
            <wp:effectExtent l="0" t="0" r="5715" b="1524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F1028F" w:rsidRDefault="00F1028F" w:rsidP="00F1028F">
      <w:pPr>
        <w:spacing w:line="276" w:lineRule="auto"/>
        <w:jc w:val="both"/>
        <w:rPr>
          <w:rFonts w:ascii="Times New Roman" w:hAnsi="Times New Roman" w:cs="Times New Roman"/>
          <w:sz w:val="24"/>
          <w:szCs w:val="24"/>
        </w:rPr>
      </w:pPr>
    </w:p>
    <w:p w:rsidR="00F1028F" w:rsidRDefault="00F1028F" w:rsidP="00F1028F">
      <w:pPr>
        <w:spacing w:line="276" w:lineRule="auto"/>
        <w:jc w:val="right"/>
        <w:rPr>
          <w:rFonts w:ascii="Times New Roman" w:hAnsi="Times New Roman" w:cs="Times New Roman"/>
          <w:sz w:val="24"/>
          <w:szCs w:val="24"/>
        </w:rPr>
      </w:pPr>
      <w:r>
        <w:rPr>
          <w:rFonts w:ascii="Times New Roman" w:hAnsi="Times New Roman" w:cs="Times New Roman"/>
          <w:noProof/>
          <w:sz w:val="24"/>
          <w:szCs w:val="24"/>
          <w:lang w:eastAsia="ro-RO"/>
        </w:rPr>
        <w:drawing>
          <wp:inline distT="0" distB="0" distL="0" distR="0" wp14:anchorId="1B4E5D4F" wp14:editId="285E5B45">
            <wp:extent cx="5956935" cy="2552131"/>
            <wp:effectExtent l="0" t="0" r="5715" b="63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A5194C" w:rsidRPr="00CF64CA" w:rsidRDefault="00C113DE" w:rsidP="00C113DE">
      <w:pPr>
        <w:pStyle w:val="Raport"/>
        <w:spacing w:after="360"/>
        <w:jc w:val="both"/>
        <w:rPr>
          <w:sz w:val="24"/>
          <w:szCs w:val="24"/>
        </w:rPr>
      </w:pPr>
      <w:bookmarkStart w:id="16" w:name="_Toc485992677"/>
      <w:r w:rsidRPr="00CF64CA">
        <w:rPr>
          <w:sz w:val="24"/>
          <w:szCs w:val="24"/>
        </w:rPr>
        <w:t>CAP.</w:t>
      </w:r>
      <w:r w:rsidR="00A5194C" w:rsidRPr="00CF64CA">
        <w:rPr>
          <w:sz w:val="24"/>
          <w:szCs w:val="24"/>
        </w:rPr>
        <w:t>3  ANALIZA ACTIVITĂȚII DE VERIFICARE ȘI ÎNDRUMARE METODOLOGICĂ A STADIULUI IMPLEMENTĂRII ŞI DEZVOLTĂRII SISTEMULUI DE CONTROL INTERN MANAGERIAL LA ENTITĂŢILE PUBLICE</w:t>
      </w:r>
      <w:bookmarkEnd w:id="16"/>
    </w:p>
    <w:p w:rsidR="00A5194C" w:rsidRPr="00CF64CA" w:rsidRDefault="00A5194C" w:rsidP="00C113DE">
      <w:pPr>
        <w:pStyle w:val="Raport"/>
        <w:jc w:val="both"/>
        <w:rPr>
          <w:sz w:val="24"/>
          <w:szCs w:val="24"/>
        </w:rPr>
      </w:pPr>
      <w:bookmarkStart w:id="17" w:name="_Toc485992678"/>
      <w:r w:rsidRPr="00CF64CA">
        <w:rPr>
          <w:sz w:val="24"/>
          <w:szCs w:val="24"/>
        </w:rPr>
        <w:t>3.1. Evaluarea activității de verificare și îndrumare metodologică a SCIM și gradul de îndeplinire al Planului de activitate anual al DCIMRI</w:t>
      </w:r>
      <w:bookmarkEnd w:id="17"/>
    </w:p>
    <w:p w:rsidR="00EB7777" w:rsidRPr="00EB7777" w:rsidRDefault="00EB7777" w:rsidP="00C113DE">
      <w:pPr>
        <w:tabs>
          <w:tab w:val="left" w:pos="567"/>
        </w:tabs>
        <w:spacing w:before="240" w:after="120" w:line="276" w:lineRule="auto"/>
        <w:jc w:val="both"/>
        <w:rPr>
          <w:rFonts w:ascii="Times New Roman" w:hAnsi="Times New Roman" w:cs="Times New Roman"/>
          <w:sz w:val="24"/>
          <w:szCs w:val="24"/>
          <w:lang w:val="en-US"/>
        </w:rPr>
      </w:pPr>
      <w:r w:rsidRPr="00EB7777">
        <w:rPr>
          <w:rFonts w:ascii="Times New Roman" w:hAnsi="Times New Roman" w:cs="Times New Roman"/>
          <w:sz w:val="24"/>
          <w:szCs w:val="24"/>
          <w:lang w:val="en-US"/>
        </w:rPr>
        <w:t>Activitatea de verificare şi îndrumare metodologică a personalului care exercită atribuţii în acest domeniu are drept scop evaluarea implementării şi dezvoltării sistemului de control intern managerial în cadrul entităţilor publice, prin:</w:t>
      </w:r>
    </w:p>
    <w:p w:rsidR="00C113DE" w:rsidRDefault="00EB7777" w:rsidP="00C7604C">
      <w:pPr>
        <w:pStyle w:val="ListParagraph"/>
        <w:numPr>
          <w:ilvl w:val="0"/>
          <w:numId w:val="66"/>
        </w:numPr>
        <w:tabs>
          <w:tab w:val="left" w:pos="1560"/>
        </w:tabs>
        <w:spacing w:after="120" w:line="276" w:lineRule="auto"/>
        <w:ind w:left="1276" w:hanging="567"/>
        <w:contextualSpacing w:val="0"/>
        <w:jc w:val="both"/>
        <w:rPr>
          <w:rFonts w:ascii="Times New Roman" w:hAnsi="Times New Roman" w:cs="Times New Roman"/>
          <w:sz w:val="24"/>
          <w:szCs w:val="24"/>
          <w:lang w:val="en-US"/>
        </w:rPr>
      </w:pPr>
      <w:r w:rsidRPr="00C113DE">
        <w:rPr>
          <w:rFonts w:ascii="Times New Roman" w:hAnsi="Times New Roman" w:cs="Times New Roman"/>
          <w:sz w:val="24"/>
          <w:szCs w:val="24"/>
          <w:lang w:val="en-US"/>
        </w:rPr>
        <w:t>determinarea entităţilor publice verificate să îşi însuşească şi să respecte normele legale şi buna practică în domeniul sistemului de control intern managerial;</w:t>
      </w:r>
    </w:p>
    <w:p w:rsidR="00C113DE" w:rsidRDefault="00EB7777" w:rsidP="00C7604C">
      <w:pPr>
        <w:pStyle w:val="ListParagraph"/>
        <w:numPr>
          <w:ilvl w:val="0"/>
          <w:numId w:val="66"/>
        </w:numPr>
        <w:tabs>
          <w:tab w:val="left" w:pos="1560"/>
        </w:tabs>
        <w:spacing w:after="120" w:line="276" w:lineRule="auto"/>
        <w:ind w:left="1276" w:hanging="567"/>
        <w:contextualSpacing w:val="0"/>
        <w:jc w:val="both"/>
        <w:rPr>
          <w:rFonts w:ascii="Times New Roman" w:hAnsi="Times New Roman" w:cs="Times New Roman"/>
          <w:sz w:val="24"/>
          <w:szCs w:val="24"/>
          <w:lang w:val="en-US"/>
        </w:rPr>
      </w:pPr>
      <w:r w:rsidRPr="00C113DE">
        <w:rPr>
          <w:rFonts w:ascii="Times New Roman" w:hAnsi="Times New Roman" w:cs="Times New Roman"/>
          <w:sz w:val="24"/>
          <w:szCs w:val="24"/>
          <w:lang w:val="en-US"/>
        </w:rPr>
        <w:t>evidenţierea şi aducerea la cunoştinţa entităţii publice verificate a neregulilor, deficienţelor şi disfuncţionalităţilor, care au condus la nerespectarea reglementărilor legale în domeniul sistemului de control intern managerial şi a consecinţelor produse de acestea;</w:t>
      </w:r>
    </w:p>
    <w:p w:rsidR="00C113DE" w:rsidRDefault="00EB7777" w:rsidP="00C7604C">
      <w:pPr>
        <w:pStyle w:val="ListParagraph"/>
        <w:numPr>
          <w:ilvl w:val="0"/>
          <w:numId w:val="66"/>
        </w:numPr>
        <w:tabs>
          <w:tab w:val="left" w:pos="1560"/>
        </w:tabs>
        <w:spacing w:after="120" w:line="276" w:lineRule="auto"/>
        <w:ind w:left="1276" w:hanging="567"/>
        <w:contextualSpacing w:val="0"/>
        <w:jc w:val="both"/>
        <w:rPr>
          <w:rFonts w:ascii="Times New Roman" w:hAnsi="Times New Roman" w:cs="Times New Roman"/>
          <w:sz w:val="24"/>
          <w:szCs w:val="24"/>
          <w:lang w:val="en-US"/>
        </w:rPr>
      </w:pPr>
      <w:r w:rsidRPr="00C113DE">
        <w:rPr>
          <w:rFonts w:ascii="Times New Roman" w:hAnsi="Times New Roman" w:cs="Times New Roman"/>
          <w:sz w:val="24"/>
          <w:szCs w:val="24"/>
          <w:lang w:val="en-US"/>
        </w:rPr>
        <w:t>cunoaşterea dinamicii şi a gradului de repetabilitate a neregulilor, deficienţelor şi disfuncţionalităţilor în vederea stabilirii periodicităţii verificărilor;</w:t>
      </w:r>
    </w:p>
    <w:p w:rsidR="00C113DE" w:rsidRDefault="00EB7777" w:rsidP="00C7604C">
      <w:pPr>
        <w:pStyle w:val="ListParagraph"/>
        <w:numPr>
          <w:ilvl w:val="0"/>
          <w:numId w:val="66"/>
        </w:numPr>
        <w:tabs>
          <w:tab w:val="left" w:pos="1560"/>
        </w:tabs>
        <w:spacing w:after="120" w:line="276" w:lineRule="auto"/>
        <w:ind w:left="1276" w:hanging="567"/>
        <w:contextualSpacing w:val="0"/>
        <w:jc w:val="both"/>
        <w:rPr>
          <w:rFonts w:ascii="Times New Roman" w:hAnsi="Times New Roman" w:cs="Times New Roman"/>
          <w:sz w:val="24"/>
          <w:szCs w:val="24"/>
          <w:lang w:val="en-US"/>
        </w:rPr>
      </w:pPr>
      <w:r w:rsidRPr="00C113DE">
        <w:rPr>
          <w:rFonts w:ascii="Times New Roman" w:hAnsi="Times New Roman" w:cs="Times New Roman"/>
          <w:sz w:val="24"/>
          <w:szCs w:val="24"/>
          <w:lang w:val="en-US"/>
        </w:rPr>
        <w:t>propunerea recomandărilor adecvate în vederea corectării neregulilor, deficienţelor şi disfuncţionalităţilor în evaluarea impactului şi a eficienţei recomandărilor luate anterior;</w:t>
      </w:r>
    </w:p>
    <w:p w:rsidR="00EB7777" w:rsidRPr="00C113DE" w:rsidRDefault="00EB7777" w:rsidP="00C7604C">
      <w:pPr>
        <w:pStyle w:val="ListParagraph"/>
        <w:numPr>
          <w:ilvl w:val="0"/>
          <w:numId w:val="66"/>
        </w:numPr>
        <w:tabs>
          <w:tab w:val="left" w:pos="1560"/>
        </w:tabs>
        <w:spacing w:after="120" w:line="276" w:lineRule="auto"/>
        <w:ind w:left="1276" w:hanging="567"/>
        <w:contextualSpacing w:val="0"/>
        <w:jc w:val="both"/>
        <w:rPr>
          <w:rFonts w:ascii="Times New Roman" w:hAnsi="Times New Roman" w:cs="Times New Roman"/>
          <w:sz w:val="24"/>
          <w:szCs w:val="24"/>
          <w:lang w:val="en-US"/>
        </w:rPr>
      </w:pPr>
      <w:r w:rsidRPr="00C113DE">
        <w:rPr>
          <w:rFonts w:ascii="Times New Roman" w:hAnsi="Times New Roman" w:cs="Times New Roman"/>
          <w:sz w:val="24"/>
          <w:szCs w:val="24"/>
          <w:lang w:val="en-US"/>
        </w:rPr>
        <w:t>conştientizarea entităţii publice verificate asupra riscurilor privind nerespectarea prevederilor legale aplicabile propriei sale activităţi, dar şi a avantajelor posibile rezultate prin conformitatea cu cadrul de reglementare în domeniu.</w:t>
      </w:r>
    </w:p>
    <w:p w:rsidR="001857F6" w:rsidRDefault="00EB7777" w:rsidP="00602BDC">
      <w:pPr>
        <w:tabs>
          <w:tab w:val="left" w:pos="567"/>
        </w:tabs>
        <w:spacing w:before="240" w:after="120" w:line="276" w:lineRule="auto"/>
        <w:jc w:val="both"/>
        <w:rPr>
          <w:rFonts w:ascii="Times New Roman" w:hAnsi="Times New Roman" w:cs="Times New Roman"/>
          <w:sz w:val="24"/>
          <w:szCs w:val="24"/>
          <w:lang w:val="en-US"/>
        </w:rPr>
      </w:pPr>
      <w:r w:rsidRPr="003A7974">
        <w:rPr>
          <w:rFonts w:ascii="Times New Roman" w:hAnsi="Times New Roman" w:cs="Times New Roman"/>
          <w:b/>
          <w:sz w:val="24"/>
          <w:szCs w:val="24"/>
          <w:lang w:val="en-US"/>
        </w:rPr>
        <w:t>Principalele obiective ale activităţii de verificare şi îndrumare metodologică a implementării şi dezvoltării sistemului de control intern managerial privesc</w:t>
      </w:r>
      <w:r w:rsidRPr="00EB7777">
        <w:rPr>
          <w:rFonts w:ascii="Times New Roman" w:hAnsi="Times New Roman" w:cs="Times New Roman"/>
          <w:sz w:val="24"/>
          <w:szCs w:val="24"/>
          <w:lang w:val="en-US"/>
        </w:rPr>
        <w:t>:</w:t>
      </w:r>
    </w:p>
    <w:p w:rsidR="00EB7777" w:rsidRPr="003A7974" w:rsidRDefault="00EB7777" w:rsidP="00C7604C">
      <w:pPr>
        <w:pStyle w:val="ListParagraph"/>
        <w:numPr>
          <w:ilvl w:val="0"/>
          <w:numId w:val="68"/>
        </w:numPr>
        <w:tabs>
          <w:tab w:val="left" w:pos="1560"/>
        </w:tabs>
        <w:spacing w:before="240" w:after="120" w:line="276" w:lineRule="auto"/>
        <w:ind w:left="425" w:hanging="425"/>
        <w:contextualSpacing w:val="0"/>
        <w:jc w:val="both"/>
        <w:rPr>
          <w:rFonts w:ascii="Times New Roman" w:hAnsi="Times New Roman" w:cs="Times New Roman"/>
          <w:b/>
          <w:i/>
          <w:sz w:val="24"/>
          <w:szCs w:val="24"/>
          <w:lang w:val="en-US"/>
        </w:rPr>
      </w:pPr>
      <w:r w:rsidRPr="003A7974">
        <w:rPr>
          <w:rFonts w:ascii="Times New Roman" w:hAnsi="Times New Roman" w:cs="Times New Roman"/>
          <w:b/>
          <w:i/>
          <w:sz w:val="24"/>
          <w:szCs w:val="24"/>
          <w:lang w:val="en-US"/>
        </w:rPr>
        <w:t>Analiza modului de organizare şi de funcţionare a Comisiei de monitorizare</w:t>
      </w:r>
      <w:r w:rsidR="00183982" w:rsidRPr="003A7974">
        <w:rPr>
          <w:rFonts w:ascii="Times New Roman" w:hAnsi="Times New Roman" w:cs="Times New Roman"/>
          <w:b/>
          <w:i/>
          <w:sz w:val="24"/>
          <w:szCs w:val="24"/>
          <w:lang w:val="en-US"/>
        </w:rPr>
        <w:t>, care are în vedere următoarele</w:t>
      </w:r>
      <w:r w:rsidRPr="003A7974">
        <w:rPr>
          <w:rFonts w:ascii="Times New Roman" w:hAnsi="Times New Roman" w:cs="Times New Roman"/>
          <w:b/>
          <w:i/>
          <w:sz w:val="24"/>
          <w:szCs w:val="24"/>
          <w:lang w:val="en-US"/>
        </w:rPr>
        <w:t>:</w:t>
      </w:r>
    </w:p>
    <w:p w:rsidR="00EB7777" w:rsidRPr="001857F6" w:rsidRDefault="00EB7777" w:rsidP="00C7604C">
      <w:pPr>
        <w:pStyle w:val="ListParagraph"/>
        <w:numPr>
          <w:ilvl w:val="0"/>
          <w:numId w:val="69"/>
        </w:numPr>
        <w:tabs>
          <w:tab w:val="left" w:pos="1560"/>
        </w:tabs>
        <w:spacing w:before="240" w:after="120" w:line="276" w:lineRule="auto"/>
        <w:ind w:left="851" w:hanging="425"/>
        <w:jc w:val="both"/>
        <w:rPr>
          <w:rFonts w:ascii="Times New Roman" w:hAnsi="Times New Roman" w:cs="Times New Roman"/>
          <w:sz w:val="24"/>
          <w:szCs w:val="24"/>
          <w:lang w:val="en-US"/>
        </w:rPr>
      </w:pPr>
      <w:r w:rsidRPr="001857F6">
        <w:rPr>
          <w:rFonts w:ascii="Times New Roman" w:hAnsi="Times New Roman" w:cs="Times New Roman"/>
          <w:sz w:val="24"/>
          <w:szCs w:val="24"/>
          <w:lang w:val="en-US"/>
        </w:rPr>
        <w:t xml:space="preserve">emiterea deciziei de constituire a </w:t>
      </w:r>
      <w:r w:rsidRPr="00F966A5">
        <w:rPr>
          <w:rFonts w:ascii="Times New Roman" w:hAnsi="Times New Roman" w:cs="Times New Roman"/>
          <w:i/>
          <w:sz w:val="24"/>
          <w:szCs w:val="24"/>
          <w:lang w:val="en-US"/>
        </w:rPr>
        <w:t>Comisiei de monitorizare</w:t>
      </w:r>
      <w:r w:rsidRPr="001857F6">
        <w:rPr>
          <w:rFonts w:ascii="Times New Roman" w:hAnsi="Times New Roman" w:cs="Times New Roman"/>
          <w:sz w:val="24"/>
          <w:szCs w:val="24"/>
          <w:lang w:val="en-US"/>
        </w:rPr>
        <w:t xml:space="preserve"> şi actualizarea acesteia;</w:t>
      </w:r>
    </w:p>
    <w:p w:rsidR="00EB7777" w:rsidRPr="001857F6" w:rsidRDefault="00EB7777" w:rsidP="00C7604C">
      <w:pPr>
        <w:pStyle w:val="ListParagraph"/>
        <w:numPr>
          <w:ilvl w:val="0"/>
          <w:numId w:val="69"/>
        </w:numPr>
        <w:tabs>
          <w:tab w:val="left" w:pos="1560"/>
        </w:tabs>
        <w:spacing w:before="240" w:after="120" w:line="276" w:lineRule="auto"/>
        <w:ind w:left="851" w:hanging="425"/>
        <w:jc w:val="both"/>
        <w:rPr>
          <w:rFonts w:ascii="Times New Roman" w:hAnsi="Times New Roman" w:cs="Times New Roman"/>
          <w:sz w:val="24"/>
          <w:szCs w:val="24"/>
          <w:lang w:val="en-US"/>
        </w:rPr>
      </w:pPr>
      <w:r w:rsidRPr="001857F6">
        <w:rPr>
          <w:rFonts w:ascii="Times New Roman" w:hAnsi="Times New Roman" w:cs="Times New Roman"/>
          <w:sz w:val="24"/>
          <w:szCs w:val="24"/>
          <w:lang w:val="en-US"/>
        </w:rPr>
        <w:t xml:space="preserve">analiza componenţei </w:t>
      </w:r>
      <w:r w:rsidRPr="00F966A5">
        <w:rPr>
          <w:rFonts w:ascii="Times New Roman" w:hAnsi="Times New Roman" w:cs="Times New Roman"/>
          <w:i/>
          <w:sz w:val="24"/>
          <w:szCs w:val="24"/>
          <w:lang w:val="en-US"/>
        </w:rPr>
        <w:t>Comisiei de monitorizare</w:t>
      </w:r>
      <w:r w:rsidRPr="001857F6">
        <w:rPr>
          <w:rFonts w:ascii="Times New Roman" w:hAnsi="Times New Roman" w:cs="Times New Roman"/>
          <w:sz w:val="24"/>
          <w:szCs w:val="24"/>
          <w:lang w:val="en-US"/>
        </w:rPr>
        <w:t>;</w:t>
      </w:r>
    </w:p>
    <w:p w:rsidR="00EB7777" w:rsidRDefault="00EB7777" w:rsidP="00C7604C">
      <w:pPr>
        <w:pStyle w:val="ListParagraph"/>
        <w:numPr>
          <w:ilvl w:val="0"/>
          <w:numId w:val="69"/>
        </w:numPr>
        <w:tabs>
          <w:tab w:val="left" w:pos="1560"/>
        </w:tabs>
        <w:spacing w:before="240" w:after="120" w:line="276" w:lineRule="auto"/>
        <w:ind w:left="851" w:hanging="425"/>
        <w:jc w:val="both"/>
        <w:rPr>
          <w:rFonts w:ascii="Times New Roman" w:hAnsi="Times New Roman" w:cs="Times New Roman"/>
          <w:sz w:val="24"/>
          <w:szCs w:val="24"/>
          <w:lang w:val="en-US"/>
        </w:rPr>
      </w:pPr>
      <w:r w:rsidRPr="001857F6">
        <w:rPr>
          <w:rFonts w:ascii="Times New Roman" w:hAnsi="Times New Roman" w:cs="Times New Roman"/>
          <w:sz w:val="24"/>
          <w:szCs w:val="24"/>
          <w:lang w:val="en-US"/>
        </w:rPr>
        <w:t xml:space="preserve">elaborarea </w:t>
      </w:r>
      <w:r w:rsidRPr="001C29AC">
        <w:rPr>
          <w:rFonts w:ascii="Times New Roman" w:hAnsi="Times New Roman" w:cs="Times New Roman"/>
          <w:i/>
          <w:sz w:val="24"/>
          <w:szCs w:val="24"/>
          <w:lang w:val="en-US"/>
        </w:rPr>
        <w:t>Programului de dezvoltare</w:t>
      </w:r>
      <w:r w:rsidRPr="001857F6">
        <w:rPr>
          <w:rFonts w:ascii="Times New Roman" w:hAnsi="Times New Roman" w:cs="Times New Roman"/>
          <w:sz w:val="24"/>
          <w:szCs w:val="24"/>
          <w:lang w:val="en-US"/>
        </w:rPr>
        <w:t xml:space="preserve"> </w:t>
      </w:r>
      <w:r w:rsidR="00F966A5" w:rsidRPr="00F966A5">
        <w:rPr>
          <w:rFonts w:ascii="Times New Roman" w:hAnsi="Times New Roman" w:cs="Times New Roman"/>
          <w:i/>
          <w:sz w:val="24"/>
          <w:szCs w:val="24"/>
          <w:lang w:val="en-US"/>
        </w:rPr>
        <w:t>a SCIM</w:t>
      </w:r>
      <w:r w:rsidR="00F966A5">
        <w:rPr>
          <w:rFonts w:ascii="Times New Roman" w:hAnsi="Times New Roman" w:cs="Times New Roman"/>
          <w:sz w:val="24"/>
          <w:szCs w:val="24"/>
          <w:lang w:val="en-US"/>
        </w:rPr>
        <w:t xml:space="preserve"> </w:t>
      </w:r>
      <w:r w:rsidRPr="001857F6">
        <w:rPr>
          <w:rFonts w:ascii="Times New Roman" w:hAnsi="Times New Roman" w:cs="Times New Roman"/>
          <w:sz w:val="24"/>
          <w:szCs w:val="24"/>
          <w:lang w:val="en-US"/>
        </w:rPr>
        <w:t>şi actualizării acestuia;</w:t>
      </w:r>
    </w:p>
    <w:p w:rsidR="001C29AC" w:rsidRPr="001857F6" w:rsidRDefault="001C29AC" w:rsidP="00C7604C">
      <w:pPr>
        <w:pStyle w:val="ListParagraph"/>
        <w:numPr>
          <w:ilvl w:val="0"/>
          <w:numId w:val="69"/>
        </w:numPr>
        <w:tabs>
          <w:tab w:val="left" w:pos="1560"/>
        </w:tabs>
        <w:spacing w:before="240" w:after="120" w:line="276" w:lineRule="auto"/>
        <w:ind w:left="851" w:hanging="425"/>
        <w:jc w:val="both"/>
        <w:rPr>
          <w:rFonts w:ascii="Times New Roman" w:hAnsi="Times New Roman" w:cs="Times New Roman"/>
          <w:sz w:val="24"/>
          <w:szCs w:val="24"/>
          <w:lang w:val="en-US"/>
        </w:rPr>
      </w:pPr>
      <w:r w:rsidRPr="001857F6">
        <w:rPr>
          <w:rFonts w:ascii="Times New Roman" w:hAnsi="Times New Roman" w:cs="Times New Roman"/>
          <w:sz w:val="24"/>
          <w:szCs w:val="24"/>
          <w:lang w:val="en-US"/>
        </w:rPr>
        <w:t>analiza îndeplinirii</w:t>
      </w:r>
      <w:r>
        <w:rPr>
          <w:rFonts w:ascii="Times New Roman" w:hAnsi="Times New Roman" w:cs="Times New Roman"/>
          <w:sz w:val="24"/>
          <w:szCs w:val="24"/>
          <w:lang w:val="en-US"/>
        </w:rPr>
        <w:t xml:space="preserve"> </w:t>
      </w:r>
      <w:r w:rsidRPr="001C29AC">
        <w:rPr>
          <w:rFonts w:ascii="Times New Roman" w:hAnsi="Times New Roman" w:cs="Times New Roman"/>
          <w:i/>
          <w:sz w:val="24"/>
          <w:szCs w:val="24"/>
          <w:lang w:val="en-US"/>
        </w:rPr>
        <w:t>Programului de dezvoltare</w:t>
      </w:r>
      <w:r w:rsidR="00F966A5">
        <w:rPr>
          <w:rFonts w:ascii="Times New Roman" w:hAnsi="Times New Roman" w:cs="Times New Roman"/>
          <w:i/>
          <w:sz w:val="24"/>
          <w:szCs w:val="24"/>
          <w:lang w:val="en-US"/>
        </w:rPr>
        <w:t xml:space="preserve"> a SCIM</w:t>
      </w:r>
      <w:r>
        <w:rPr>
          <w:rFonts w:ascii="Times New Roman" w:hAnsi="Times New Roman" w:cs="Times New Roman"/>
          <w:sz w:val="24"/>
          <w:szCs w:val="24"/>
        </w:rPr>
        <w:t>;</w:t>
      </w:r>
    </w:p>
    <w:p w:rsidR="00EB7777" w:rsidRPr="001857F6" w:rsidRDefault="00EB7777" w:rsidP="00C7604C">
      <w:pPr>
        <w:pStyle w:val="ListParagraph"/>
        <w:numPr>
          <w:ilvl w:val="0"/>
          <w:numId w:val="69"/>
        </w:numPr>
        <w:tabs>
          <w:tab w:val="left" w:pos="1560"/>
        </w:tabs>
        <w:spacing w:before="240" w:after="120" w:line="276" w:lineRule="auto"/>
        <w:ind w:left="851" w:hanging="425"/>
        <w:jc w:val="both"/>
        <w:rPr>
          <w:rFonts w:ascii="Times New Roman" w:hAnsi="Times New Roman" w:cs="Times New Roman"/>
          <w:sz w:val="24"/>
          <w:szCs w:val="24"/>
          <w:lang w:val="en-US"/>
        </w:rPr>
      </w:pPr>
      <w:r w:rsidRPr="001857F6">
        <w:rPr>
          <w:rFonts w:ascii="Times New Roman" w:hAnsi="Times New Roman" w:cs="Times New Roman"/>
          <w:sz w:val="24"/>
          <w:szCs w:val="24"/>
          <w:lang w:val="en-US"/>
        </w:rPr>
        <w:t xml:space="preserve">analiza modului de </w:t>
      </w:r>
      <w:r w:rsidR="001C29AC">
        <w:rPr>
          <w:rFonts w:ascii="Times New Roman" w:hAnsi="Times New Roman" w:cs="Times New Roman"/>
          <w:sz w:val="24"/>
          <w:szCs w:val="24"/>
          <w:lang w:val="en-US"/>
        </w:rPr>
        <w:t>elaborare și actualizare</w:t>
      </w:r>
      <w:r w:rsidRPr="001857F6">
        <w:rPr>
          <w:rFonts w:ascii="Times New Roman" w:hAnsi="Times New Roman" w:cs="Times New Roman"/>
          <w:sz w:val="24"/>
          <w:szCs w:val="24"/>
          <w:lang w:val="en-US"/>
        </w:rPr>
        <w:t xml:space="preserve"> a </w:t>
      </w:r>
      <w:r w:rsidRPr="000942FA">
        <w:rPr>
          <w:rFonts w:ascii="Times New Roman" w:hAnsi="Times New Roman" w:cs="Times New Roman"/>
          <w:i/>
          <w:sz w:val="24"/>
          <w:szCs w:val="24"/>
          <w:lang w:val="en-US"/>
        </w:rPr>
        <w:t>etapelor</w:t>
      </w:r>
      <w:r w:rsidRPr="001857F6">
        <w:rPr>
          <w:rFonts w:ascii="Times New Roman" w:hAnsi="Times New Roman" w:cs="Times New Roman"/>
          <w:sz w:val="24"/>
          <w:szCs w:val="24"/>
          <w:lang w:val="en-US"/>
        </w:rPr>
        <w:t xml:space="preserve"> pentru implementarea şi dezvoltarea sistemului de control intern managerial;</w:t>
      </w:r>
    </w:p>
    <w:p w:rsidR="00EB7777" w:rsidRPr="001857F6" w:rsidRDefault="00EB7777" w:rsidP="00C7604C">
      <w:pPr>
        <w:pStyle w:val="ListParagraph"/>
        <w:numPr>
          <w:ilvl w:val="0"/>
          <w:numId w:val="69"/>
        </w:numPr>
        <w:tabs>
          <w:tab w:val="left" w:pos="1560"/>
        </w:tabs>
        <w:spacing w:before="240" w:after="120" w:line="276" w:lineRule="auto"/>
        <w:ind w:left="851" w:hanging="425"/>
        <w:jc w:val="both"/>
        <w:rPr>
          <w:rFonts w:ascii="Times New Roman" w:hAnsi="Times New Roman" w:cs="Times New Roman"/>
          <w:sz w:val="24"/>
          <w:szCs w:val="24"/>
          <w:lang w:val="en-US"/>
        </w:rPr>
      </w:pPr>
      <w:r w:rsidRPr="001857F6">
        <w:rPr>
          <w:rFonts w:ascii="Times New Roman" w:hAnsi="Times New Roman" w:cs="Times New Roman"/>
          <w:sz w:val="24"/>
          <w:szCs w:val="24"/>
          <w:lang w:val="en-US"/>
        </w:rPr>
        <w:t xml:space="preserve">analiza </w:t>
      </w:r>
      <w:r w:rsidRPr="00F93A05">
        <w:rPr>
          <w:rFonts w:ascii="Times New Roman" w:hAnsi="Times New Roman" w:cs="Times New Roman"/>
          <w:i/>
          <w:sz w:val="24"/>
          <w:szCs w:val="24"/>
          <w:lang w:val="en-US"/>
        </w:rPr>
        <w:t>dosarelor cu minutele şedinţelor</w:t>
      </w:r>
      <w:r w:rsidRPr="001857F6">
        <w:rPr>
          <w:rFonts w:ascii="Times New Roman" w:hAnsi="Times New Roman" w:cs="Times New Roman"/>
          <w:sz w:val="24"/>
          <w:szCs w:val="24"/>
          <w:lang w:val="en-US"/>
        </w:rPr>
        <w:t xml:space="preserve"> </w:t>
      </w:r>
      <w:r w:rsidRPr="001C29AC">
        <w:rPr>
          <w:rFonts w:ascii="Times New Roman" w:hAnsi="Times New Roman" w:cs="Times New Roman"/>
          <w:i/>
          <w:sz w:val="24"/>
          <w:szCs w:val="24"/>
          <w:lang w:val="en-US"/>
        </w:rPr>
        <w:t>Comisiei de monitorizare</w:t>
      </w:r>
      <w:r w:rsidRPr="001857F6">
        <w:rPr>
          <w:rFonts w:ascii="Times New Roman" w:hAnsi="Times New Roman" w:cs="Times New Roman"/>
          <w:sz w:val="24"/>
          <w:szCs w:val="24"/>
          <w:lang w:val="en-US"/>
        </w:rPr>
        <w:t>, a deciziilor şi hotărârilor acesteia şi evaluarea funcţionării comisiei;</w:t>
      </w:r>
    </w:p>
    <w:p w:rsidR="00EB7777" w:rsidRPr="003A7974" w:rsidRDefault="00EB7777" w:rsidP="00C7604C">
      <w:pPr>
        <w:pStyle w:val="ListParagraph"/>
        <w:numPr>
          <w:ilvl w:val="0"/>
          <w:numId w:val="70"/>
        </w:numPr>
        <w:tabs>
          <w:tab w:val="left" w:pos="1560"/>
        </w:tabs>
        <w:spacing w:before="240" w:after="120" w:line="276" w:lineRule="auto"/>
        <w:ind w:left="851" w:hanging="425"/>
        <w:jc w:val="both"/>
        <w:rPr>
          <w:rFonts w:ascii="Times New Roman" w:hAnsi="Times New Roman" w:cs="Times New Roman"/>
          <w:sz w:val="24"/>
          <w:szCs w:val="24"/>
          <w:lang w:val="en-US"/>
        </w:rPr>
      </w:pPr>
      <w:r w:rsidRPr="003A7974">
        <w:rPr>
          <w:rFonts w:ascii="Times New Roman" w:hAnsi="Times New Roman" w:cs="Times New Roman"/>
          <w:sz w:val="24"/>
          <w:szCs w:val="24"/>
          <w:lang w:val="en-US"/>
        </w:rPr>
        <w:t xml:space="preserve">analiza </w:t>
      </w:r>
      <w:r w:rsidRPr="003A7974">
        <w:rPr>
          <w:rFonts w:ascii="Times New Roman" w:hAnsi="Times New Roman" w:cs="Times New Roman"/>
          <w:i/>
          <w:sz w:val="24"/>
          <w:szCs w:val="24"/>
          <w:lang w:val="en-US"/>
        </w:rPr>
        <w:t>Informării privind monitorizarea performanţelor</w:t>
      </w:r>
      <w:r w:rsidRPr="003A7974">
        <w:rPr>
          <w:rFonts w:ascii="Times New Roman" w:hAnsi="Times New Roman" w:cs="Times New Roman"/>
          <w:sz w:val="24"/>
          <w:szCs w:val="24"/>
          <w:lang w:val="en-US"/>
        </w:rPr>
        <w:t xml:space="preserve"> la nivelul entităţii publice, pe baza rapoartelor</w:t>
      </w:r>
      <w:r w:rsidR="001C29AC" w:rsidRPr="003A7974">
        <w:rPr>
          <w:rFonts w:ascii="Times New Roman" w:hAnsi="Times New Roman" w:cs="Times New Roman"/>
          <w:sz w:val="24"/>
          <w:szCs w:val="24"/>
          <w:lang w:val="en-US"/>
        </w:rPr>
        <w:t xml:space="preserve"> anuale de monitorizarea performanțelor</w:t>
      </w:r>
      <w:r w:rsidRPr="003A7974">
        <w:rPr>
          <w:rFonts w:ascii="Times New Roman" w:hAnsi="Times New Roman" w:cs="Times New Roman"/>
          <w:sz w:val="24"/>
          <w:szCs w:val="24"/>
          <w:lang w:val="en-US"/>
        </w:rPr>
        <w:t xml:space="preserve">, de la nivelul compartimentelor, elaborată de către secretarul </w:t>
      </w:r>
      <w:r w:rsidRPr="003A7974">
        <w:rPr>
          <w:rFonts w:ascii="Times New Roman" w:hAnsi="Times New Roman" w:cs="Times New Roman"/>
          <w:i/>
          <w:sz w:val="24"/>
          <w:szCs w:val="24"/>
          <w:lang w:val="en-US"/>
        </w:rPr>
        <w:t>Comisiei de monitorizare</w:t>
      </w:r>
      <w:r w:rsidRPr="003A7974">
        <w:rPr>
          <w:rFonts w:ascii="Times New Roman" w:hAnsi="Times New Roman" w:cs="Times New Roman"/>
          <w:sz w:val="24"/>
          <w:szCs w:val="24"/>
          <w:lang w:val="en-US"/>
        </w:rPr>
        <w:t>;</w:t>
      </w:r>
    </w:p>
    <w:p w:rsidR="00EB7777" w:rsidRPr="003A7974" w:rsidRDefault="001C29AC" w:rsidP="00C7604C">
      <w:pPr>
        <w:pStyle w:val="ListParagraph"/>
        <w:numPr>
          <w:ilvl w:val="0"/>
          <w:numId w:val="70"/>
        </w:numPr>
        <w:tabs>
          <w:tab w:val="left" w:pos="1560"/>
        </w:tabs>
        <w:spacing w:before="240" w:after="120" w:line="276" w:lineRule="auto"/>
        <w:ind w:left="851" w:hanging="425"/>
        <w:jc w:val="both"/>
        <w:rPr>
          <w:rFonts w:ascii="Times New Roman" w:hAnsi="Times New Roman" w:cs="Times New Roman"/>
          <w:sz w:val="24"/>
          <w:szCs w:val="24"/>
          <w:lang w:val="en-US"/>
        </w:rPr>
      </w:pPr>
      <w:r w:rsidRPr="003A7974">
        <w:rPr>
          <w:rFonts w:ascii="Times New Roman" w:hAnsi="Times New Roman" w:cs="Times New Roman"/>
          <w:sz w:val="24"/>
          <w:szCs w:val="24"/>
          <w:lang w:val="en-US"/>
        </w:rPr>
        <w:t>actualizarea fișelor de post prin introducerea</w:t>
      </w:r>
      <w:r w:rsidR="00EB7777" w:rsidRPr="003A7974">
        <w:rPr>
          <w:rFonts w:ascii="Times New Roman" w:hAnsi="Times New Roman" w:cs="Times New Roman"/>
          <w:sz w:val="24"/>
          <w:szCs w:val="24"/>
          <w:lang w:val="en-US"/>
        </w:rPr>
        <w:t xml:space="preserve"> atribuţiilor specifice rezultate din constituirea şi funcţionarea </w:t>
      </w:r>
      <w:r w:rsidR="00EB7777" w:rsidRPr="003A7974">
        <w:rPr>
          <w:rFonts w:ascii="Times New Roman" w:hAnsi="Times New Roman" w:cs="Times New Roman"/>
          <w:i/>
          <w:sz w:val="24"/>
          <w:szCs w:val="24"/>
          <w:lang w:val="en-US"/>
        </w:rPr>
        <w:t>Comisiei de monitorizare</w:t>
      </w:r>
      <w:r w:rsidR="00EB7777" w:rsidRPr="003A7974">
        <w:rPr>
          <w:rFonts w:ascii="Times New Roman" w:hAnsi="Times New Roman" w:cs="Times New Roman"/>
          <w:sz w:val="24"/>
          <w:szCs w:val="24"/>
          <w:lang w:val="en-US"/>
        </w:rPr>
        <w:t>;</w:t>
      </w:r>
    </w:p>
    <w:p w:rsidR="00EB7777" w:rsidRPr="003A7974" w:rsidRDefault="001C29AC" w:rsidP="00C7604C">
      <w:pPr>
        <w:pStyle w:val="ListParagraph"/>
        <w:numPr>
          <w:ilvl w:val="0"/>
          <w:numId w:val="70"/>
        </w:numPr>
        <w:tabs>
          <w:tab w:val="left" w:pos="1560"/>
        </w:tabs>
        <w:spacing w:before="240" w:after="120" w:line="276" w:lineRule="auto"/>
        <w:ind w:left="851" w:hanging="425"/>
        <w:jc w:val="both"/>
        <w:rPr>
          <w:rFonts w:ascii="Times New Roman" w:hAnsi="Times New Roman" w:cs="Times New Roman"/>
          <w:sz w:val="24"/>
          <w:szCs w:val="24"/>
          <w:lang w:val="en-US"/>
        </w:rPr>
      </w:pPr>
      <w:r w:rsidRPr="003A7974">
        <w:rPr>
          <w:rFonts w:ascii="Times New Roman" w:hAnsi="Times New Roman" w:cs="Times New Roman"/>
          <w:sz w:val="24"/>
          <w:szCs w:val="24"/>
          <w:lang w:val="en-US"/>
        </w:rPr>
        <w:t>evaluarea</w:t>
      </w:r>
      <w:r w:rsidR="00EB7777" w:rsidRPr="003A7974">
        <w:rPr>
          <w:rFonts w:ascii="Times New Roman" w:hAnsi="Times New Roman" w:cs="Times New Roman"/>
          <w:sz w:val="24"/>
          <w:szCs w:val="24"/>
          <w:lang w:val="en-US"/>
        </w:rPr>
        <w:t xml:space="preserve"> pregătirii profesionale în domeniul sistemului de control intern managerial a personalului de conducere şi de execuţie</w:t>
      </w:r>
      <w:r w:rsidRPr="003A7974">
        <w:rPr>
          <w:rFonts w:ascii="Times New Roman" w:hAnsi="Times New Roman" w:cs="Times New Roman"/>
          <w:sz w:val="24"/>
          <w:szCs w:val="24"/>
          <w:lang w:val="en-US"/>
        </w:rPr>
        <w:t xml:space="preserve"> din cadrul entității publice</w:t>
      </w:r>
      <w:r w:rsidR="00EB7777" w:rsidRPr="003A7974">
        <w:rPr>
          <w:rFonts w:ascii="Times New Roman" w:hAnsi="Times New Roman" w:cs="Times New Roman"/>
          <w:sz w:val="24"/>
          <w:szCs w:val="24"/>
          <w:lang w:val="en-US"/>
        </w:rPr>
        <w:t>;</w:t>
      </w:r>
    </w:p>
    <w:p w:rsidR="00EB7777" w:rsidRPr="003A7974" w:rsidRDefault="00EB7777" w:rsidP="00C7604C">
      <w:pPr>
        <w:pStyle w:val="ListParagraph"/>
        <w:numPr>
          <w:ilvl w:val="0"/>
          <w:numId w:val="70"/>
        </w:numPr>
        <w:tabs>
          <w:tab w:val="left" w:pos="1560"/>
        </w:tabs>
        <w:spacing w:before="240" w:after="120" w:line="276" w:lineRule="auto"/>
        <w:ind w:left="851" w:hanging="425"/>
        <w:jc w:val="both"/>
        <w:rPr>
          <w:rFonts w:ascii="Times New Roman" w:hAnsi="Times New Roman" w:cs="Times New Roman"/>
          <w:sz w:val="24"/>
          <w:szCs w:val="24"/>
          <w:lang w:val="en-US"/>
        </w:rPr>
      </w:pPr>
      <w:r w:rsidRPr="003A7974">
        <w:rPr>
          <w:rFonts w:ascii="Times New Roman" w:hAnsi="Times New Roman" w:cs="Times New Roman"/>
          <w:sz w:val="24"/>
          <w:szCs w:val="24"/>
          <w:lang w:val="en-US"/>
        </w:rPr>
        <w:t xml:space="preserve">analiza comparativă pe ani a modului de organizare şi funcţionare a </w:t>
      </w:r>
      <w:r w:rsidRPr="003A7974">
        <w:rPr>
          <w:rFonts w:ascii="Times New Roman" w:hAnsi="Times New Roman" w:cs="Times New Roman"/>
          <w:i/>
          <w:sz w:val="24"/>
          <w:szCs w:val="24"/>
          <w:lang w:val="en-US"/>
        </w:rPr>
        <w:t>Comisiei de monitorizare</w:t>
      </w:r>
      <w:r w:rsidRPr="003A7974">
        <w:rPr>
          <w:rFonts w:ascii="Times New Roman" w:hAnsi="Times New Roman" w:cs="Times New Roman"/>
          <w:sz w:val="24"/>
          <w:szCs w:val="24"/>
          <w:lang w:val="en-US"/>
        </w:rPr>
        <w:t xml:space="preserve"> de la înfiinţare până în prezent.</w:t>
      </w:r>
    </w:p>
    <w:p w:rsidR="00EB7777" w:rsidRPr="003A7974" w:rsidRDefault="00EB7777" w:rsidP="00C7604C">
      <w:pPr>
        <w:pStyle w:val="ListParagraph"/>
        <w:numPr>
          <w:ilvl w:val="0"/>
          <w:numId w:val="68"/>
        </w:numPr>
        <w:tabs>
          <w:tab w:val="left" w:pos="1560"/>
        </w:tabs>
        <w:spacing w:before="240" w:after="120" w:line="276" w:lineRule="auto"/>
        <w:ind w:left="425" w:hanging="425"/>
        <w:contextualSpacing w:val="0"/>
        <w:jc w:val="both"/>
        <w:rPr>
          <w:rFonts w:ascii="Times New Roman" w:hAnsi="Times New Roman" w:cs="Times New Roman"/>
          <w:b/>
          <w:i/>
          <w:sz w:val="24"/>
          <w:szCs w:val="24"/>
          <w:lang w:val="en-US"/>
        </w:rPr>
      </w:pPr>
      <w:r w:rsidRPr="003A7974">
        <w:rPr>
          <w:rFonts w:ascii="Times New Roman" w:hAnsi="Times New Roman" w:cs="Times New Roman"/>
          <w:b/>
          <w:i/>
          <w:sz w:val="24"/>
          <w:szCs w:val="24"/>
          <w:lang w:val="en-US"/>
        </w:rPr>
        <w:t xml:space="preserve">Analiza modului de organizare şi de funcţionare a Echipei de gestionare a riscurilor şi </w:t>
      </w:r>
      <w:r w:rsidR="00183982" w:rsidRPr="003A7974">
        <w:rPr>
          <w:rFonts w:ascii="Times New Roman" w:hAnsi="Times New Roman" w:cs="Times New Roman"/>
          <w:b/>
          <w:i/>
          <w:sz w:val="24"/>
          <w:szCs w:val="24"/>
          <w:lang w:val="en-US"/>
        </w:rPr>
        <w:t xml:space="preserve">de </w:t>
      </w:r>
      <w:r w:rsidRPr="003A7974">
        <w:rPr>
          <w:rFonts w:ascii="Times New Roman" w:hAnsi="Times New Roman" w:cs="Times New Roman"/>
          <w:b/>
          <w:i/>
          <w:sz w:val="24"/>
          <w:szCs w:val="24"/>
          <w:lang w:val="en-US"/>
        </w:rPr>
        <w:t>verificare</w:t>
      </w:r>
      <w:r w:rsidR="00183982" w:rsidRPr="003A7974">
        <w:rPr>
          <w:rFonts w:ascii="Times New Roman" w:hAnsi="Times New Roman" w:cs="Times New Roman"/>
          <w:b/>
          <w:i/>
          <w:sz w:val="24"/>
          <w:szCs w:val="24"/>
          <w:lang w:val="en-US"/>
        </w:rPr>
        <w:t xml:space="preserve"> </w:t>
      </w:r>
      <w:r w:rsidRPr="003A7974">
        <w:rPr>
          <w:rFonts w:ascii="Times New Roman" w:hAnsi="Times New Roman" w:cs="Times New Roman"/>
          <w:b/>
          <w:i/>
          <w:sz w:val="24"/>
          <w:szCs w:val="24"/>
          <w:lang w:val="en-US"/>
        </w:rPr>
        <w:t>a elaborării Registrului riscurilor de la nivelul entităţii</w:t>
      </w:r>
      <w:r w:rsidR="00183982" w:rsidRPr="003A7974">
        <w:rPr>
          <w:rFonts w:ascii="Times New Roman" w:hAnsi="Times New Roman" w:cs="Times New Roman"/>
          <w:b/>
          <w:i/>
          <w:sz w:val="24"/>
          <w:szCs w:val="24"/>
          <w:lang w:val="en-US"/>
        </w:rPr>
        <w:t>, care urmărește</w:t>
      </w:r>
      <w:r w:rsidRPr="003A7974">
        <w:rPr>
          <w:rFonts w:ascii="Times New Roman" w:hAnsi="Times New Roman" w:cs="Times New Roman"/>
          <w:b/>
          <w:i/>
          <w:sz w:val="24"/>
          <w:szCs w:val="24"/>
          <w:lang w:val="en-US"/>
        </w:rPr>
        <w:t>:</w:t>
      </w:r>
    </w:p>
    <w:p w:rsidR="00EB7777" w:rsidRPr="009F314E" w:rsidRDefault="00EB7777" w:rsidP="00C7604C">
      <w:pPr>
        <w:pStyle w:val="ListParagraph"/>
        <w:numPr>
          <w:ilvl w:val="0"/>
          <w:numId w:val="71"/>
        </w:numPr>
        <w:tabs>
          <w:tab w:val="left" w:pos="1560"/>
        </w:tabs>
        <w:spacing w:before="240" w:after="120" w:line="276" w:lineRule="auto"/>
        <w:ind w:left="851" w:hanging="425"/>
        <w:jc w:val="both"/>
        <w:rPr>
          <w:rFonts w:ascii="Times New Roman" w:hAnsi="Times New Roman" w:cs="Times New Roman"/>
          <w:sz w:val="24"/>
          <w:szCs w:val="24"/>
          <w:lang w:val="en-US"/>
        </w:rPr>
      </w:pPr>
      <w:r w:rsidRPr="009F314E">
        <w:rPr>
          <w:rFonts w:ascii="Times New Roman" w:hAnsi="Times New Roman" w:cs="Times New Roman"/>
          <w:sz w:val="24"/>
          <w:szCs w:val="24"/>
          <w:lang w:val="en-US"/>
        </w:rPr>
        <w:t xml:space="preserve">emiterea deciziei de constituire a </w:t>
      </w:r>
      <w:r w:rsidRPr="004705FD">
        <w:rPr>
          <w:rFonts w:ascii="Times New Roman" w:hAnsi="Times New Roman" w:cs="Times New Roman"/>
          <w:i/>
          <w:sz w:val="24"/>
          <w:szCs w:val="24"/>
          <w:lang w:val="en-US"/>
        </w:rPr>
        <w:t>Echipei de gestionare a riscurilor</w:t>
      </w:r>
      <w:r w:rsidRPr="009F314E">
        <w:rPr>
          <w:rFonts w:ascii="Times New Roman" w:hAnsi="Times New Roman" w:cs="Times New Roman"/>
          <w:sz w:val="24"/>
          <w:szCs w:val="24"/>
          <w:lang w:val="en-US"/>
        </w:rPr>
        <w:t xml:space="preserve"> şi actualizarea acesteia;</w:t>
      </w:r>
    </w:p>
    <w:p w:rsidR="00EB7777" w:rsidRPr="009F314E" w:rsidRDefault="00EB7777" w:rsidP="00C7604C">
      <w:pPr>
        <w:pStyle w:val="ListParagraph"/>
        <w:numPr>
          <w:ilvl w:val="0"/>
          <w:numId w:val="71"/>
        </w:numPr>
        <w:tabs>
          <w:tab w:val="left" w:pos="1560"/>
        </w:tabs>
        <w:spacing w:before="240" w:after="120" w:line="276" w:lineRule="auto"/>
        <w:ind w:left="851" w:hanging="425"/>
        <w:jc w:val="both"/>
        <w:rPr>
          <w:rFonts w:ascii="Times New Roman" w:hAnsi="Times New Roman" w:cs="Times New Roman"/>
          <w:sz w:val="24"/>
          <w:szCs w:val="24"/>
          <w:lang w:val="en-US"/>
        </w:rPr>
      </w:pPr>
      <w:r w:rsidRPr="009F314E">
        <w:rPr>
          <w:rFonts w:ascii="Times New Roman" w:hAnsi="Times New Roman" w:cs="Times New Roman"/>
          <w:sz w:val="24"/>
          <w:szCs w:val="24"/>
          <w:lang w:val="en-US"/>
        </w:rPr>
        <w:t xml:space="preserve">analiza componenţei </w:t>
      </w:r>
      <w:r w:rsidRPr="004705FD">
        <w:rPr>
          <w:rFonts w:ascii="Times New Roman" w:hAnsi="Times New Roman" w:cs="Times New Roman"/>
          <w:i/>
          <w:sz w:val="24"/>
          <w:szCs w:val="24"/>
          <w:lang w:val="en-US"/>
        </w:rPr>
        <w:t>Echipei de gestionare a riscurilor</w:t>
      </w:r>
      <w:r w:rsidRPr="009F314E">
        <w:rPr>
          <w:rFonts w:ascii="Times New Roman" w:hAnsi="Times New Roman" w:cs="Times New Roman"/>
          <w:sz w:val="24"/>
          <w:szCs w:val="24"/>
          <w:lang w:val="en-US"/>
        </w:rPr>
        <w:t>;</w:t>
      </w:r>
    </w:p>
    <w:p w:rsidR="00EB7777" w:rsidRPr="00C32563" w:rsidRDefault="00EB7777" w:rsidP="00C7604C">
      <w:pPr>
        <w:pStyle w:val="ListParagraph"/>
        <w:numPr>
          <w:ilvl w:val="0"/>
          <w:numId w:val="71"/>
        </w:numPr>
        <w:tabs>
          <w:tab w:val="left" w:pos="1560"/>
        </w:tabs>
        <w:spacing w:before="240" w:after="120" w:line="276" w:lineRule="auto"/>
        <w:ind w:left="851" w:hanging="425"/>
        <w:jc w:val="both"/>
        <w:rPr>
          <w:rFonts w:ascii="Times New Roman" w:hAnsi="Times New Roman" w:cs="Times New Roman"/>
          <w:sz w:val="24"/>
          <w:szCs w:val="24"/>
          <w:lang w:val="en-US"/>
        </w:rPr>
      </w:pPr>
      <w:r w:rsidRPr="00C32563">
        <w:rPr>
          <w:rFonts w:ascii="Times New Roman" w:hAnsi="Times New Roman" w:cs="Times New Roman"/>
          <w:sz w:val="24"/>
          <w:szCs w:val="24"/>
          <w:lang w:val="en-US"/>
        </w:rPr>
        <w:t>desemnarea responsabililor cu riscurile de la nivelul compartimentelor şi a atribuţiilor ce le revin;</w:t>
      </w:r>
    </w:p>
    <w:p w:rsidR="00EB7777" w:rsidRPr="00C32563" w:rsidRDefault="00EB7777" w:rsidP="00C7604C">
      <w:pPr>
        <w:pStyle w:val="ListParagraph"/>
        <w:numPr>
          <w:ilvl w:val="0"/>
          <w:numId w:val="71"/>
        </w:numPr>
        <w:tabs>
          <w:tab w:val="left" w:pos="1560"/>
        </w:tabs>
        <w:spacing w:before="240" w:after="120" w:line="276" w:lineRule="auto"/>
        <w:ind w:left="851" w:hanging="425"/>
        <w:jc w:val="both"/>
        <w:rPr>
          <w:rFonts w:ascii="Times New Roman" w:hAnsi="Times New Roman" w:cs="Times New Roman"/>
          <w:sz w:val="24"/>
          <w:szCs w:val="24"/>
          <w:lang w:val="en-US"/>
        </w:rPr>
      </w:pPr>
      <w:r w:rsidRPr="00C32563">
        <w:rPr>
          <w:rFonts w:ascii="Times New Roman" w:hAnsi="Times New Roman" w:cs="Times New Roman"/>
          <w:sz w:val="24"/>
          <w:szCs w:val="24"/>
          <w:lang w:val="en-US"/>
        </w:rPr>
        <w:t>elaborarea registrelor de riscuri de la nivelul compartimentelor şi actualizarea anuală a acestora;</w:t>
      </w:r>
    </w:p>
    <w:p w:rsidR="00EB7777" w:rsidRPr="004E24E2" w:rsidRDefault="00EB7777" w:rsidP="00C7604C">
      <w:pPr>
        <w:pStyle w:val="ListParagraph"/>
        <w:numPr>
          <w:ilvl w:val="0"/>
          <w:numId w:val="71"/>
        </w:numPr>
        <w:tabs>
          <w:tab w:val="left" w:pos="1560"/>
        </w:tabs>
        <w:spacing w:before="240" w:after="120" w:line="276" w:lineRule="auto"/>
        <w:ind w:left="851" w:hanging="425"/>
        <w:jc w:val="both"/>
        <w:rPr>
          <w:rFonts w:ascii="Times New Roman" w:hAnsi="Times New Roman" w:cs="Times New Roman"/>
          <w:sz w:val="24"/>
          <w:szCs w:val="24"/>
          <w:lang w:val="en-US"/>
        </w:rPr>
      </w:pPr>
      <w:r w:rsidRPr="004E24E2">
        <w:rPr>
          <w:rFonts w:ascii="Times New Roman" w:hAnsi="Times New Roman" w:cs="Times New Roman"/>
          <w:sz w:val="24"/>
          <w:szCs w:val="24"/>
          <w:lang w:val="en-US"/>
        </w:rPr>
        <w:t xml:space="preserve">elaborarea </w:t>
      </w:r>
      <w:r w:rsidRPr="004705FD">
        <w:rPr>
          <w:rFonts w:ascii="Times New Roman" w:hAnsi="Times New Roman" w:cs="Times New Roman"/>
          <w:i/>
          <w:sz w:val="24"/>
          <w:szCs w:val="24"/>
          <w:lang w:val="en-US"/>
        </w:rPr>
        <w:t xml:space="preserve">Registrului </w:t>
      </w:r>
      <w:r w:rsidR="001F0A7A" w:rsidRPr="004705FD">
        <w:rPr>
          <w:rFonts w:ascii="Times New Roman" w:hAnsi="Times New Roman" w:cs="Times New Roman"/>
          <w:i/>
          <w:sz w:val="24"/>
          <w:szCs w:val="24"/>
          <w:lang w:val="en-US"/>
        </w:rPr>
        <w:t>de riscuri</w:t>
      </w:r>
      <w:r w:rsidRPr="004E24E2">
        <w:rPr>
          <w:rFonts w:ascii="Times New Roman" w:hAnsi="Times New Roman" w:cs="Times New Roman"/>
          <w:sz w:val="24"/>
          <w:szCs w:val="24"/>
          <w:lang w:val="en-US"/>
        </w:rPr>
        <w:t xml:space="preserve"> de la nivelul entităţii publice, prin centralizarea riscurilor de la nivelul compartimentelor, de către secretarul </w:t>
      </w:r>
      <w:r w:rsidRPr="004705FD">
        <w:rPr>
          <w:rFonts w:ascii="Times New Roman" w:hAnsi="Times New Roman" w:cs="Times New Roman"/>
          <w:i/>
          <w:sz w:val="24"/>
          <w:szCs w:val="24"/>
          <w:lang w:val="en-US"/>
        </w:rPr>
        <w:t>Echipei de gestionare a riscurilor</w:t>
      </w:r>
      <w:r w:rsidRPr="004E24E2">
        <w:rPr>
          <w:rFonts w:ascii="Times New Roman" w:hAnsi="Times New Roman" w:cs="Times New Roman"/>
          <w:sz w:val="24"/>
          <w:szCs w:val="24"/>
          <w:lang w:val="en-US"/>
        </w:rPr>
        <w:t xml:space="preserve"> şi actualizarea anuală a acestuia;</w:t>
      </w:r>
    </w:p>
    <w:p w:rsidR="00EB7777" w:rsidRPr="00523A6B" w:rsidRDefault="00EB7777" w:rsidP="00C7604C">
      <w:pPr>
        <w:pStyle w:val="ListParagraph"/>
        <w:numPr>
          <w:ilvl w:val="0"/>
          <w:numId w:val="71"/>
        </w:numPr>
        <w:tabs>
          <w:tab w:val="left" w:pos="851"/>
        </w:tabs>
        <w:spacing w:before="240" w:after="120" w:line="276" w:lineRule="auto"/>
        <w:ind w:left="851" w:hanging="425"/>
        <w:jc w:val="both"/>
        <w:rPr>
          <w:rFonts w:ascii="Times New Roman" w:hAnsi="Times New Roman" w:cs="Times New Roman"/>
          <w:sz w:val="24"/>
          <w:szCs w:val="24"/>
          <w:lang w:val="en-US"/>
        </w:rPr>
      </w:pPr>
      <w:r w:rsidRPr="00523A6B">
        <w:rPr>
          <w:rFonts w:ascii="Times New Roman" w:hAnsi="Times New Roman" w:cs="Times New Roman"/>
          <w:sz w:val="24"/>
          <w:szCs w:val="24"/>
          <w:lang w:val="en-US"/>
        </w:rPr>
        <w:t xml:space="preserve">analiza dosarelor cu procesele-verbale ale şedinţelor </w:t>
      </w:r>
      <w:r w:rsidRPr="004705FD">
        <w:rPr>
          <w:rFonts w:ascii="Times New Roman" w:hAnsi="Times New Roman" w:cs="Times New Roman"/>
          <w:i/>
          <w:sz w:val="24"/>
          <w:szCs w:val="24"/>
          <w:lang w:val="en-US"/>
        </w:rPr>
        <w:t>Echipei de gestionare a riscurilor</w:t>
      </w:r>
      <w:r w:rsidRPr="00523A6B">
        <w:rPr>
          <w:rFonts w:ascii="Times New Roman" w:hAnsi="Times New Roman" w:cs="Times New Roman"/>
          <w:sz w:val="24"/>
          <w:szCs w:val="24"/>
          <w:lang w:val="en-US"/>
        </w:rPr>
        <w:t xml:space="preserve"> şi a măsurilor de control transmise conducerii compartimentelor şi evaluarea funcţionării echipei;</w:t>
      </w:r>
    </w:p>
    <w:p w:rsidR="00EB7777" w:rsidRPr="000F6278" w:rsidRDefault="00EB7777" w:rsidP="00C7604C">
      <w:pPr>
        <w:pStyle w:val="ListParagraph"/>
        <w:numPr>
          <w:ilvl w:val="0"/>
          <w:numId w:val="71"/>
        </w:numPr>
        <w:tabs>
          <w:tab w:val="left" w:pos="1560"/>
        </w:tabs>
        <w:spacing w:before="240" w:after="120" w:line="276" w:lineRule="auto"/>
        <w:ind w:left="851" w:hanging="425"/>
        <w:jc w:val="both"/>
        <w:rPr>
          <w:rFonts w:ascii="Times New Roman" w:hAnsi="Times New Roman" w:cs="Times New Roman"/>
          <w:sz w:val="24"/>
          <w:szCs w:val="24"/>
          <w:lang w:val="en-US"/>
        </w:rPr>
      </w:pPr>
      <w:r w:rsidRPr="000F6278">
        <w:rPr>
          <w:rFonts w:ascii="Times New Roman" w:hAnsi="Times New Roman" w:cs="Times New Roman"/>
          <w:sz w:val="24"/>
          <w:szCs w:val="24"/>
          <w:lang w:val="en-US"/>
        </w:rPr>
        <w:t>evaluarea gradului de urmărire a implementării măsurilor de control pe baza Planului de implementare a măsurilor de control</w:t>
      </w:r>
      <w:r w:rsidR="001C29AC">
        <w:rPr>
          <w:rFonts w:ascii="Times New Roman" w:hAnsi="Times New Roman" w:cs="Times New Roman"/>
          <w:sz w:val="24"/>
          <w:szCs w:val="24"/>
          <w:lang w:val="en-US"/>
        </w:rPr>
        <w:t>,</w:t>
      </w:r>
      <w:r w:rsidRPr="000F6278">
        <w:rPr>
          <w:rFonts w:ascii="Times New Roman" w:hAnsi="Times New Roman" w:cs="Times New Roman"/>
          <w:sz w:val="24"/>
          <w:szCs w:val="24"/>
          <w:lang w:val="en-US"/>
        </w:rPr>
        <w:t xml:space="preserve"> elaborat de secretarul </w:t>
      </w:r>
      <w:r w:rsidRPr="001C29AC">
        <w:rPr>
          <w:rFonts w:ascii="Times New Roman" w:hAnsi="Times New Roman" w:cs="Times New Roman"/>
          <w:i/>
          <w:sz w:val="24"/>
          <w:szCs w:val="24"/>
          <w:lang w:val="en-US"/>
        </w:rPr>
        <w:t>Echipei de gestionare a riscurilor</w:t>
      </w:r>
      <w:r w:rsidRPr="000F6278">
        <w:rPr>
          <w:rFonts w:ascii="Times New Roman" w:hAnsi="Times New Roman" w:cs="Times New Roman"/>
          <w:sz w:val="24"/>
          <w:szCs w:val="24"/>
          <w:lang w:val="en-US"/>
        </w:rPr>
        <w:t>;</w:t>
      </w:r>
    </w:p>
    <w:p w:rsidR="00EB7777" w:rsidRPr="00AB7208" w:rsidRDefault="00EB7777" w:rsidP="00C7604C">
      <w:pPr>
        <w:pStyle w:val="ListParagraph"/>
        <w:numPr>
          <w:ilvl w:val="0"/>
          <w:numId w:val="71"/>
        </w:numPr>
        <w:tabs>
          <w:tab w:val="left" w:pos="1560"/>
        </w:tabs>
        <w:spacing w:before="240" w:after="120" w:line="276" w:lineRule="auto"/>
        <w:ind w:left="851" w:hanging="425"/>
        <w:jc w:val="both"/>
        <w:rPr>
          <w:rFonts w:ascii="Times New Roman" w:hAnsi="Times New Roman" w:cs="Times New Roman"/>
          <w:sz w:val="24"/>
          <w:szCs w:val="24"/>
          <w:lang w:val="en-US"/>
        </w:rPr>
      </w:pPr>
      <w:r w:rsidRPr="00AB7208">
        <w:rPr>
          <w:rFonts w:ascii="Times New Roman" w:hAnsi="Times New Roman" w:cs="Times New Roman"/>
          <w:sz w:val="24"/>
          <w:szCs w:val="24"/>
          <w:lang w:val="en-US"/>
        </w:rPr>
        <w:t xml:space="preserve">analiza </w:t>
      </w:r>
      <w:r w:rsidRPr="001C29AC">
        <w:rPr>
          <w:rFonts w:ascii="Times New Roman" w:hAnsi="Times New Roman" w:cs="Times New Roman"/>
          <w:i/>
          <w:sz w:val="24"/>
          <w:szCs w:val="24"/>
          <w:lang w:val="en-US"/>
        </w:rPr>
        <w:t>Informării privind desfăşurarea procesului de gestionare a riscurilor</w:t>
      </w:r>
      <w:r w:rsidRPr="00AB7208">
        <w:rPr>
          <w:rFonts w:ascii="Times New Roman" w:hAnsi="Times New Roman" w:cs="Times New Roman"/>
          <w:sz w:val="24"/>
          <w:szCs w:val="24"/>
          <w:lang w:val="en-US"/>
        </w:rPr>
        <w:t xml:space="preserve"> la nivelul entităţii publice, elaborată pe baza rapoartelor anuale, de la nivelul compartimentelor, de către secretarul </w:t>
      </w:r>
      <w:r w:rsidRPr="004705FD">
        <w:rPr>
          <w:rFonts w:ascii="Times New Roman" w:hAnsi="Times New Roman" w:cs="Times New Roman"/>
          <w:i/>
          <w:sz w:val="24"/>
          <w:szCs w:val="24"/>
          <w:lang w:val="en-US"/>
        </w:rPr>
        <w:t>Echipei de gestionare a riscurilor</w:t>
      </w:r>
      <w:r w:rsidRPr="00AB7208">
        <w:rPr>
          <w:rFonts w:ascii="Times New Roman" w:hAnsi="Times New Roman" w:cs="Times New Roman"/>
          <w:sz w:val="24"/>
          <w:szCs w:val="24"/>
          <w:lang w:val="en-US"/>
        </w:rPr>
        <w:t>;</w:t>
      </w:r>
    </w:p>
    <w:p w:rsidR="00EB7777" w:rsidRPr="008F3F03" w:rsidRDefault="001C29AC" w:rsidP="00C7604C">
      <w:pPr>
        <w:pStyle w:val="ListParagraph"/>
        <w:numPr>
          <w:ilvl w:val="0"/>
          <w:numId w:val="71"/>
        </w:numPr>
        <w:tabs>
          <w:tab w:val="left" w:pos="1560"/>
        </w:tabs>
        <w:spacing w:before="240" w:after="120" w:line="276" w:lineRule="auto"/>
        <w:ind w:left="851" w:hanging="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actualizarea fișelor de post </w:t>
      </w:r>
      <w:r w:rsidRPr="008F3F03">
        <w:rPr>
          <w:rFonts w:ascii="Times New Roman" w:hAnsi="Times New Roman" w:cs="Times New Roman"/>
          <w:sz w:val="24"/>
          <w:szCs w:val="24"/>
          <w:lang w:val="en-US"/>
        </w:rPr>
        <w:t>ale personalului de conducere şi execuţie</w:t>
      </w:r>
      <w:r>
        <w:rPr>
          <w:rFonts w:ascii="Times New Roman" w:hAnsi="Times New Roman" w:cs="Times New Roman"/>
          <w:sz w:val="24"/>
          <w:szCs w:val="24"/>
          <w:lang w:val="en-US"/>
        </w:rPr>
        <w:t>, prin introducerea</w:t>
      </w:r>
      <w:r w:rsidR="00EB7777" w:rsidRPr="008F3F03">
        <w:rPr>
          <w:rFonts w:ascii="Times New Roman" w:hAnsi="Times New Roman" w:cs="Times New Roman"/>
          <w:sz w:val="24"/>
          <w:szCs w:val="24"/>
          <w:lang w:val="en-US"/>
        </w:rPr>
        <w:t xml:space="preserve"> atribuţiilor privind managementul riscurilor;</w:t>
      </w:r>
    </w:p>
    <w:p w:rsidR="00EB7777" w:rsidRPr="00643FC9" w:rsidRDefault="00EB7777" w:rsidP="00C7604C">
      <w:pPr>
        <w:pStyle w:val="ListParagraph"/>
        <w:numPr>
          <w:ilvl w:val="0"/>
          <w:numId w:val="71"/>
        </w:numPr>
        <w:tabs>
          <w:tab w:val="left" w:pos="1560"/>
        </w:tabs>
        <w:spacing w:before="240" w:after="120" w:line="276" w:lineRule="auto"/>
        <w:ind w:left="851" w:hanging="425"/>
        <w:jc w:val="both"/>
        <w:rPr>
          <w:rFonts w:ascii="Times New Roman" w:hAnsi="Times New Roman" w:cs="Times New Roman"/>
          <w:sz w:val="24"/>
          <w:szCs w:val="24"/>
          <w:lang w:val="en-US"/>
        </w:rPr>
      </w:pPr>
      <w:r w:rsidRPr="00643FC9">
        <w:rPr>
          <w:rFonts w:ascii="Times New Roman" w:hAnsi="Times New Roman" w:cs="Times New Roman"/>
          <w:sz w:val="24"/>
          <w:szCs w:val="24"/>
          <w:lang w:val="en-US"/>
        </w:rPr>
        <w:t xml:space="preserve">analiza comparativă pe ani a modului de organizare şi funcţionare a </w:t>
      </w:r>
      <w:r w:rsidRPr="001C29AC">
        <w:rPr>
          <w:rFonts w:ascii="Times New Roman" w:hAnsi="Times New Roman" w:cs="Times New Roman"/>
          <w:i/>
          <w:sz w:val="24"/>
          <w:szCs w:val="24"/>
          <w:lang w:val="en-US"/>
        </w:rPr>
        <w:t>Echipei de gestionare a riscurilor</w:t>
      </w:r>
      <w:r w:rsidR="001C29AC">
        <w:rPr>
          <w:rFonts w:ascii="Times New Roman" w:hAnsi="Times New Roman" w:cs="Times New Roman"/>
          <w:sz w:val="24"/>
          <w:szCs w:val="24"/>
          <w:lang w:val="en-US"/>
        </w:rPr>
        <w:t xml:space="preserve">, </w:t>
      </w:r>
      <w:r w:rsidRPr="00643FC9">
        <w:rPr>
          <w:rFonts w:ascii="Times New Roman" w:hAnsi="Times New Roman" w:cs="Times New Roman"/>
          <w:sz w:val="24"/>
          <w:szCs w:val="24"/>
          <w:lang w:val="en-US"/>
        </w:rPr>
        <w:t>de la înfiinţare până în prezent.</w:t>
      </w:r>
    </w:p>
    <w:p w:rsidR="00EB7777" w:rsidRPr="003A7974" w:rsidRDefault="00EB7777" w:rsidP="00C7604C">
      <w:pPr>
        <w:pStyle w:val="ListParagraph"/>
        <w:numPr>
          <w:ilvl w:val="0"/>
          <w:numId w:val="68"/>
        </w:numPr>
        <w:tabs>
          <w:tab w:val="left" w:pos="1560"/>
        </w:tabs>
        <w:spacing w:before="240" w:after="120" w:line="276" w:lineRule="auto"/>
        <w:ind w:left="426" w:hanging="426"/>
        <w:jc w:val="both"/>
        <w:rPr>
          <w:rFonts w:ascii="Times New Roman" w:hAnsi="Times New Roman" w:cs="Times New Roman"/>
          <w:b/>
          <w:i/>
          <w:sz w:val="24"/>
          <w:szCs w:val="24"/>
          <w:lang w:val="en-US"/>
        </w:rPr>
      </w:pPr>
      <w:r w:rsidRPr="003A7974">
        <w:rPr>
          <w:rFonts w:ascii="Times New Roman" w:hAnsi="Times New Roman" w:cs="Times New Roman"/>
          <w:b/>
          <w:i/>
          <w:sz w:val="24"/>
          <w:szCs w:val="24"/>
          <w:lang w:val="en-US"/>
        </w:rPr>
        <w:t>Verificarea gradului de realizare a procedurilor formalizate</w:t>
      </w:r>
      <w:r w:rsidR="00183982" w:rsidRPr="003A7974">
        <w:rPr>
          <w:rFonts w:ascii="Times New Roman" w:hAnsi="Times New Roman" w:cs="Times New Roman"/>
          <w:b/>
          <w:i/>
          <w:sz w:val="24"/>
          <w:szCs w:val="24"/>
          <w:lang w:val="en-US"/>
        </w:rPr>
        <w:t>, care are în vedere următoarele</w:t>
      </w:r>
      <w:r w:rsidRPr="003A7974">
        <w:rPr>
          <w:rFonts w:ascii="Times New Roman" w:hAnsi="Times New Roman" w:cs="Times New Roman"/>
          <w:b/>
          <w:i/>
          <w:sz w:val="24"/>
          <w:szCs w:val="24"/>
          <w:lang w:val="en-US"/>
        </w:rPr>
        <w:t>:</w:t>
      </w:r>
    </w:p>
    <w:p w:rsidR="00EB7777" w:rsidRPr="004F4F91" w:rsidRDefault="00EB7777" w:rsidP="00C7604C">
      <w:pPr>
        <w:pStyle w:val="ListParagraph"/>
        <w:numPr>
          <w:ilvl w:val="0"/>
          <w:numId w:val="72"/>
        </w:numPr>
        <w:tabs>
          <w:tab w:val="left" w:pos="1560"/>
        </w:tabs>
        <w:spacing w:before="240" w:after="120" w:line="276" w:lineRule="auto"/>
        <w:ind w:left="851" w:hanging="425"/>
        <w:jc w:val="both"/>
        <w:rPr>
          <w:rFonts w:ascii="Times New Roman" w:hAnsi="Times New Roman" w:cs="Times New Roman"/>
          <w:sz w:val="24"/>
          <w:szCs w:val="24"/>
          <w:lang w:val="en-US"/>
        </w:rPr>
      </w:pPr>
      <w:r w:rsidRPr="004F4F91">
        <w:rPr>
          <w:rFonts w:ascii="Times New Roman" w:hAnsi="Times New Roman" w:cs="Times New Roman"/>
          <w:sz w:val="24"/>
          <w:szCs w:val="24"/>
          <w:lang w:val="en-US"/>
        </w:rPr>
        <w:t xml:space="preserve">analiza </w:t>
      </w:r>
      <w:r w:rsidRPr="001C29AC">
        <w:rPr>
          <w:rFonts w:ascii="Times New Roman" w:hAnsi="Times New Roman" w:cs="Times New Roman"/>
          <w:i/>
          <w:sz w:val="24"/>
          <w:szCs w:val="24"/>
          <w:lang w:val="en-US"/>
        </w:rPr>
        <w:t>Listei obiectivelor şi activităţilor</w:t>
      </w:r>
      <w:r w:rsidRPr="004F4F91">
        <w:rPr>
          <w:rFonts w:ascii="Times New Roman" w:hAnsi="Times New Roman" w:cs="Times New Roman"/>
          <w:sz w:val="24"/>
          <w:szCs w:val="24"/>
          <w:lang w:val="en-US"/>
        </w:rPr>
        <w:t xml:space="preserve"> din cadrul entităţii publice aprobate în şedinţa Comisiei de monitorizare;</w:t>
      </w:r>
    </w:p>
    <w:p w:rsidR="00EB7777" w:rsidRPr="004F4F91" w:rsidRDefault="00EB7777" w:rsidP="00C7604C">
      <w:pPr>
        <w:pStyle w:val="ListParagraph"/>
        <w:numPr>
          <w:ilvl w:val="0"/>
          <w:numId w:val="72"/>
        </w:numPr>
        <w:tabs>
          <w:tab w:val="left" w:pos="1560"/>
        </w:tabs>
        <w:spacing w:before="240" w:after="120" w:line="276" w:lineRule="auto"/>
        <w:ind w:left="851" w:hanging="425"/>
        <w:jc w:val="both"/>
        <w:rPr>
          <w:rFonts w:ascii="Times New Roman" w:hAnsi="Times New Roman" w:cs="Times New Roman"/>
          <w:sz w:val="24"/>
          <w:szCs w:val="24"/>
          <w:lang w:val="en-US"/>
        </w:rPr>
      </w:pPr>
      <w:r w:rsidRPr="004F4F91">
        <w:rPr>
          <w:rFonts w:ascii="Times New Roman" w:hAnsi="Times New Roman" w:cs="Times New Roman"/>
          <w:sz w:val="24"/>
          <w:szCs w:val="24"/>
          <w:lang w:val="en-US"/>
        </w:rPr>
        <w:t xml:space="preserve">analiza </w:t>
      </w:r>
      <w:r w:rsidRPr="001C29AC">
        <w:rPr>
          <w:rFonts w:ascii="Times New Roman" w:hAnsi="Times New Roman" w:cs="Times New Roman"/>
          <w:i/>
          <w:sz w:val="24"/>
          <w:szCs w:val="24"/>
          <w:lang w:val="en-US"/>
        </w:rPr>
        <w:t>Listei de codificare a procedurilor de sistem</w:t>
      </w:r>
      <w:r w:rsidRPr="004F4F91">
        <w:rPr>
          <w:rFonts w:ascii="Times New Roman" w:hAnsi="Times New Roman" w:cs="Times New Roman"/>
          <w:sz w:val="24"/>
          <w:szCs w:val="24"/>
          <w:lang w:val="en-US"/>
        </w:rPr>
        <w:t xml:space="preserve"> (PS);</w:t>
      </w:r>
    </w:p>
    <w:p w:rsidR="00EB7777" w:rsidRPr="004F4F91" w:rsidRDefault="00EB7777" w:rsidP="00C7604C">
      <w:pPr>
        <w:pStyle w:val="ListParagraph"/>
        <w:numPr>
          <w:ilvl w:val="0"/>
          <w:numId w:val="72"/>
        </w:numPr>
        <w:tabs>
          <w:tab w:val="left" w:pos="1560"/>
        </w:tabs>
        <w:spacing w:before="240" w:after="120" w:line="276" w:lineRule="auto"/>
        <w:ind w:left="851" w:hanging="425"/>
        <w:jc w:val="both"/>
        <w:rPr>
          <w:rFonts w:ascii="Times New Roman" w:hAnsi="Times New Roman" w:cs="Times New Roman"/>
          <w:sz w:val="24"/>
          <w:szCs w:val="24"/>
          <w:lang w:val="en-US"/>
        </w:rPr>
      </w:pPr>
      <w:r w:rsidRPr="004F4F91">
        <w:rPr>
          <w:rFonts w:ascii="Times New Roman" w:hAnsi="Times New Roman" w:cs="Times New Roman"/>
          <w:sz w:val="24"/>
          <w:szCs w:val="24"/>
          <w:lang w:val="en-US"/>
        </w:rPr>
        <w:t xml:space="preserve">analiza </w:t>
      </w:r>
      <w:r w:rsidRPr="001C29AC">
        <w:rPr>
          <w:rFonts w:ascii="Times New Roman" w:hAnsi="Times New Roman" w:cs="Times New Roman"/>
          <w:i/>
          <w:sz w:val="24"/>
          <w:szCs w:val="24"/>
          <w:lang w:val="en-US"/>
        </w:rPr>
        <w:t>Listei de codificare a procedurilor operaţionale</w:t>
      </w:r>
      <w:r w:rsidRPr="004F4F91">
        <w:rPr>
          <w:rFonts w:ascii="Times New Roman" w:hAnsi="Times New Roman" w:cs="Times New Roman"/>
          <w:sz w:val="24"/>
          <w:szCs w:val="24"/>
          <w:lang w:val="en-US"/>
        </w:rPr>
        <w:t xml:space="preserve"> (PO);</w:t>
      </w:r>
    </w:p>
    <w:p w:rsidR="00EB7777" w:rsidRPr="00471866" w:rsidRDefault="00EB7777" w:rsidP="00C7604C">
      <w:pPr>
        <w:pStyle w:val="ListParagraph"/>
        <w:numPr>
          <w:ilvl w:val="0"/>
          <w:numId w:val="72"/>
        </w:numPr>
        <w:tabs>
          <w:tab w:val="left" w:pos="1560"/>
        </w:tabs>
        <w:spacing w:before="240" w:after="120" w:line="276" w:lineRule="auto"/>
        <w:ind w:left="851" w:hanging="425"/>
        <w:jc w:val="both"/>
        <w:rPr>
          <w:rFonts w:ascii="Times New Roman" w:hAnsi="Times New Roman" w:cs="Times New Roman"/>
          <w:sz w:val="24"/>
          <w:szCs w:val="24"/>
          <w:lang w:val="en-US"/>
        </w:rPr>
      </w:pPr>
      <w:r w:rsidRPr="00471866">
        <w:rPr>
          <w:rFonts w:ascii="Times New Roman" w:hAnsi="Times New Roman" w:cs="Times New Roman"/>
          <w:sz w:val="24"/>
          <w:szCs w:val="24"/>
          <w:lang w:val="en-US"/>
        </w:rPr>
        <w:t xml:space="preserve">evaluarea respectării structurii şi modalităţilor de elaborare a procedurilor formalizate aprobate, conform </w:t>
      </w:r>
      <w:r w:rsidRPr="001A6106">
        <w:rPr>
          <w:rFonts w:ascii="Times New Roman" w:hAnsi="Times New Roman" w:cs="Times New Roman"/>
          <w:i/>
          <w:sz w:val="24"/>
          <w:szCs w:val="24"/>
          <w:lang w:val="en-US"/>
        </w:rPr>
        <w:t xml:space="preserve">anexei nr. 2B la </w:t>
      </w:r>
      <w:r w:rsidRPr="001A6106">
        <w:rPr>
          <w:rFonts w:ascii="Times New Roman" w:hAnsi="Times New Roman" w:cs="Times New Roman"/>
          <w:i/>
          <w:vanish/>
          <w:sz w:val="24"/>
          <w:szCs w:val="24"/>
          <w:lang w:val="en-US"/>
        </w:rPr>
        <w:t>&lt;LLNK 12015   400 507501   0 55&gt;</w:t>
      </w:r>
      <w:r w:rsidR="001C29AC" w:rsidRPr="001A6106">
        <w:rPr>
          <w:rFonts w:ascii="Times New Roman" w:hAnsi="Times New Roman" w:cs="Times New Roman"/>
          <w:i/>
          <w:sz w:val="24"/>
          <w:szCs w:val="24"/>
          <w:lang w:val="en-US"/>
        </w:rPr>
        <w:t>OSGG</w:t>
      </w:r>
      <w:r w:rsidRPr="001A6106">
        <w:rPr>
          <w:rFonts w:ascii="Times New Roman" w:hAnsi="Times New Roman" w:cs="Times New Roman"/>
          <w:i/>
          <w:sz w:val="24"/>
          <w:szCs w:val="24"/>
          <w:lang w:val="en-US"/>
        </w:rPr>
        <w:t xml:space="preserve"> nr. 400/2015 pentru aprobarea Codului controlului intern managerial al entităţilor publice</w:t>
      </w:r>
      <w:r w:rsidRPr="00471866">
        <w:rPr>
          <w:rFonts w:ascii="Times New Roman" w:hAnsi="Times New Roman" w:cs="Times New Roman"/>
          <w:sz w:val="24"/>
          <w:szCs w:val="24"/>
          <w:lang w:val="en-US"/>
        </w:rPr>
        <w:t>, cu modificările şi completările ulterioare (prin sondaj);</w:t>
      </w:r>
    </w:p>
    <w:p w:rsidR="00EB7777" w:rsidRPr="00950FE0" w:rsidRDefault="00EB7777" w:rsidP="00C7604C">
      <w:pPr>
        <w:pStyle w:val="ListParagraph"/>
        <w:numPr>
          <w:ilvl w:val="0"/>
          <w:numId w:val="72"/>
        </w:numPr>
        <w:tabs>
          <w:tab w:val="left" w:pos="1560"/>
        </w:tabs>
        <w:spacing w:before="240" w:after="120" w:line="276" w:lineRule="auto"/>
        <w:ind w:left="851" w:hanging="425"/>
        <w:jc w:val="both"/>
        <w:rPr>
          <w:rFonts w:ascii="Times New Roman" w:hAnsi="Times New Roman" w:cs="Times New Roman"/>
          <w:sz w:val="24"/>
          <w:szCs w:val="24"/>
          <w:lang w:val="en-US"/>
        </w:rPr>
      </w:pPr>
      <w:r w:rsidRPr="00950FE0">
        <w:rPr>
          <w:rFonts w:ascii="Times New Roman" w:hAnsi="Times New Roman" w:cs="Times New Roman"/>
          <w:sz w:val="24"/>
          <w:szCs w:val="24"/>
          <w:lang w:val="en-US"/>
        </w:rPr>
        <w:t>analiza procedurilor formalizate aprobate din punctul de vedere al gradului de cuprindere a tuturor componentelor cadrului de reglementare a domeniului procedurat, a detalierii activităţilor şi acţiunilor pe fluxul proceselor şi implementarea activităţilor de control, a responsabilităţilor şi a documentelor în structura acestora (prin sondaj);</w:t>
      </w:r>
    </w:p>
    <w:p w:rsidR="00EB7777" w:rsidRPr="00025046" w:rsidRDefault="00EB7777" w:rsidP="00C7604C">
      <w:pPr>
        <w:pStyle w:val="ListParagraph"/>
        <w:numPr>
          <w:ilvl w:val="0"/>
          <w:numId w:val="72"/>
        </w:numPr>
        <w:tabs>
          <w:tab w:val="left" w:pos="1560"/>
        </w:tabs>
        <w:spacing w:before="240" w:after="120" w:line="276" w:lineRule="auto"/>
        <w:ind w:left="851" w:hanging="425"/>
        <w:jc w:val="both"/>
        <w:rPr>
          <w:rFonts w:ascii="Times New Roman" w:hAnsi="Times New Roman" w:cs="Times New Roman"/>
          <w:sz w:val="24"/>
          <w:szCs w:val="24"/>
          <w:lang w:val="en-US"/>
        </w:rPr>
      </w:pPr>
      <w:r w:rsidRPr="00025046">
        <w:rPr>
          <w:rFonts w:ascii="Times New Roman" w:hAnsi="Times New Roman" w:cs="Times New Roman"/>
          <w:sz w:val="24"/>
          <w:szCs w:val="24"/>
          <w:lang w:val="en-US"/>
        </w:rPr>
        <w:t>verificarea stadiului realizării procedurilor formalizate, a reviziilor şi actualizărilor acestora;</w:t>
      </w:r>
    </w:p>
    <w:p w:rsidR="00EB7777" w:rsidRPr="008E1BA9" w:rsidRDefault="00EB7777" w:rsidP="00C7604C">
      <w:pPr>
        <w:pStyle w:val="ListParagraph"/>
        <w:numPr>
          <w:ilvl w:val="0"/>
          <w:numId w:val="72"/>
        </w:numPr>
        <w:tabs>
          <w:tab w:val="left" w:pos="1560"/>
        </w:tabs>
        <w:spacing w:before="240" w:after="120" w:line="276" w:lineRule="auto"/>
        <w:ind w:left="851" w:hanging="425"/>
        <w:jc w:val="both"/>
        <w:rPr>
          <w:rFonts w:ascii="Times New Roman" w:hAnsi="Times New Roman" w:cs="Times New Roman"/>
          <w:sz w:val="24"/>
          <w:szCs w:val="24"/>
          <w:lang w:val="en-US"/>
        </w:rPr>
      </w:pPr>
      <w:r w:rsidRPr="008E1BA9">
        <w:rPr>
          <w:rFonts w:ascii="Times New Roman" w:hAnsi="Times New Roman" w:cs="Times New Roman"/>
          <w:sz w:val="24"/>
          <w:szCs w:val="24"/>
          <w:lang w:val="en-US"/>
        </w:rPr>
        <w:t>verificarea existenţei în fişele de post a responsabilităţilor privind întocmirea, avizarea şi aprobarea procedurilor formalizate (prin sondaj).</w:t>
      </w:r>
    </w:p>
    <w:p w:rsidR="00EB7777" w:rsidRPr="003A7974" w:rsidRDefault="00EB7777" w:rsidP="00C7604C">
      <w:pPr>
        <w:pStyle w:val="ListParagraph"/>
        <w:numPr>
          <w:ilvl w:val="0"/>
          <w:numId w:val="68"/>
        </w:numPr>
        <w:tabs>
          <w:tab w:val="left" w:pos="1560"/>
        </w:tabs>
        <w:spacing w:before="240" w:after="120" w:line="276" w:lineRule="auto"/>
        <w:ind w:left="425" w:hanging="425"/>
        <w:contextualSpacing w:val="0"/>
        <w:jc w:val="both"/>
        <w:rPr>
          <w:rFonts w:ascii="Times New Roman" w:hAnsi="Times New Roman" w:cs="Times New Roman"/>
          <w:b/>
          <w:i/>
          <w:sz w:val="24"/>
          <w:szCs w:val="24"/>
          <w:lang w:val="en-US"/>
        </w:rPr>
      </w:pPr>
      <w:r w:rsidRPr="003A7974">
        <w:rPr>
          <w:rFonts w:ascii="Times New Roman" w:hAnsi="Times New Roman" w:cs="Times New Roman"/>
          <w:b/>
          <w:i/>
          <w:sz w:val="24"/>
          <w:szCs w:val="24"/>
          <w:lang w:val="en-US"/>
        </w:rPr>
        <w:t>Analiza realităţii şi exactităţii raportărilor semestriale şi anuale privind sistemul de control intern managerial</w:t>
      </w:r>
      <w:r w:rsidR="00183982" w:rsidRPr="003A7974">
        <w:rPr>
          <w:rFonts w:ascii="Times New Roman" w:hAnsi="Times New Roman" w:cs="Times New Roman"/>
          <w:b/>
          <w:i/>
          <w:sz w:val="24"/>
          <w:szCs w:val="24"/>
          <w:lang w:val="en-US"/>
        </w:rPr>
        <w:t>, care urmărește</w:t>
      </w:r>
      <w:r w:rsidRPr="003A7974">
        <w:rPr>
          <w:rFonts w:ascii="Times New Roman" w:hAnsi="Times New Roman" w:cs="Times New Roman"/>
          <w:b/>
          <w:i/>
          <w:sz w:val="24"/>
          <w:szCs w:val="24"/>
          <w:lang w:val="en-US"/>
        </w:rPr>
        <w:t>:</w:t>
      </w:r>
    </w:p>
    <w:p w:rsidR="00EB7777" w:rsidRPr="00AE22BD" w:rsidRDefault="00EB7777" w:rsidP="00C7604C">
      <w:pPr>
        <w:pStyle w:val="ListParagraph"/>
        <w:numPr>
          <w:ilvl w:val="0"/>
          <w:numId w:val="73"/>
        </w:numPr>
        <w:tabs>
          <w:tab w:val="left" w:pos="1560"/>
        </w:tabs>
        <w:spacing w:before="240" w:after="120" w:line="276" w:lineRule="auto"/>
        <w:ind w:left="851" w:hanging="425"/>
        <w:jc w:val="both"/>
        <w:rPr>
          <w:rFonts w:ascii="Times New Roman" w:hAnsi="Times New Roman" w:cs="Times New Roman"/>
          <w:sz w:val="24"/>
          <w:szCs w:val="24"/>
          <w:lang w:val="en-US"/>
        </w:rPr>
      </w:pPr>
      <w:r w:rsidRPr="00AE22BD">
        <w:rPr>
          <w:rFonts w:ascii="Times New Roman" w:hAnsi="Times New Roman" w:cs="Times New Roman"/>
          <w:sz w:val="24"/>
          <w:szCs w:val="24"/>
          <w:lang w:val="en-US"/>
        </w:rPr>
        <w:t>analiza gradului de cuprindere a structurilor din subordine şi a entităţilor publice aflate în coordonare şi subordonare în documentele elaborate şi transmise la SGG;</w:t>
      </w:r>
    </w:p>
    <w:p w:rsidR="00EB7777" w:rsidRPr="00DB17D7" w:rsidRDefault="00EB7777" w:rsidP="00C7604C">
      <w:pPr>
        <w:pStyle w:val="ListParagraph"/>
        <w:numPr>
          <w:ilvl w:val="0"/>
          <w:numId w:val="73"/>
        </w:numPr>
        <w:tabs>
          <w:tab w:val="left" w:pos="1560"/>
        </w:tabs>
        <w:spacing w:before="240" w:after="120" w:line="276" w:lineRule="auto"/>
        <w:ind w:left="851" w:hanging="425"/>
        <w:jc w:val="both"/>
        <w:rPr>
          <w:rFonts w:ascii="Times New Roman" w:hAnsi="Times New Roman" w:cs="Times New Roman"/>
          <w:sz w:val="24"/>
          <w:szCs w:val="24"/>
          <w:lang w:val="en-US"/>
        </w:rPr>
      </w:pPr>
      <w:r w:rsidRPr="00DB17D7">
        <w:rPr>
          <w:rFonts w:ascii="Times New Roman" w:hAnsi="Times New Roman" w:cs="Times New Roman"/>
          <w:sz w:val="24"/>
          <w:szCs w:val="24"/>
          <w:lang w:val="en-US"/>
        </w:rPr>
        <w:t>verificarea realităţii şi exactităţii raportărilor semestriale şi anuale transmise la SGG;</w:t>
      </w:r>
    </w:p>
    <w:p w:rsidR="00EB7777" w:rsidRPr="00DB17D7" w:rsidRDefault="00EB7777" w:rsidP="00C7604C">
      <w:pPr>
        <w:pStyle w:val="ListParagraph"/>
        <w:numPr>
          <w:ilvl w:val="0"/>
          <w:numId w:val="73"/>
        </w:numPr>
        <w:tabs>
          <w:tab w:val="left" w:pos="1560"/>
        </w:tabs>
        <w:spacing w:before="240" w:after="120" w:line="276" w:lineRule="auto"/>
        <w:ind w:left="851" w:hanging="425"/>
        <w:jc w:val="both"/>
        <w:rPr>
          <w:rFonts w:ascii="Times New Roman" w:hAnsi="Times New Roman" w:cs="Times New Roman"/>
          <w:sz w:val="24"/>
          <w:szCs w:val="24"/>
          <w:lang w:val="en-US"/>
        </w:rPr>
      </w:pPr>
      <w:r w:rsidRPr="00DB17D7">
        <w:rPr>
          <w:rFonts w:ascii="Times New Roman" w:hAnsi="Times New Roman" w:cs="Times New Roman"/>
          <w:sz w:val="24"/>
          <w:szCs w:val="24"/>
          <w:lang w:val="en-US"/>
        </w:rPr>
        <w:t>verificarea raportărilor semestriale şi anuale privind sistemul de control intern managerial pe ultimii 3 ani.</w:t>
      </w:r>
    </w:p>
    <w:p w:rsidR="00EB7777" w:rsidRDefault="00FF69B2" w:rsidP="003A7974">
      <w:pPr>
        <w:tabs>
          <w:tab w:val="left" w:pos="567"/>
        </w:tabs>
        <w:spacing w:before="240" w:after="120" w:line="276" w:lineRule="auto"/>
        <w:jc w:val="both"/>
        <w:rPr>
          <w:rFonts w:ascii="Times New Roman" w:hAnsi="Times New Roman" w:cs="Times New Roman"/>
          <w:sz w:val="24"/>
          <w:szCs w:val="24"/>
          <w:lang w:val="en-US"/>
        </w:rPr>
      </w:pPr>
      <w:r w:rsidRPr="00F42991">
        <w:rPr>
          <w:rFonts w:ascii="Times New Roman" w:hAnsi="Times New Roman" w:cs="Times New Roman"/>
          <w:sz w:val="24"/>
          <w:szCs w:val="24"/>
          <w:lang w:val="en-US"/>
        </w:rPr>
        <w:t xml:space="preserve">Activitatea de verificare şi îndrumare metodologică s-a efectuat </w:t>
      </w:r>
      <w:r w:rsidR="00F42991" w:rsidRPr="00F42991">
        <w:rPr>
          <w:rFonts w:ascii="Times New Roman" w:hAnsi="Times New Roman" w:cs="Times New Roman"/>
          <w:sz w:val="24"/>
          <w:szCs w:val="24"/>
          <w:lang w:val="en-US"/>
        </w:rPr>
        <w:t>prin răspunderea la solicitările</w:t>
      </w:r>
      <w:r w:rsidRPr="00F42991">
        <w:rPr>
          <w:rFonts w:ascii="Times New Roman" w:hAnsi="Times New Roman" w:cs="Times New Roman"/>
          <w:sz w:val="24"/>
          <w:szCs w:val="24"/>
          <w:lang w:val="en-US"/>
        </w:rPr>
        <w:t xml:space="preserve"> ordonatorilor principali de credite şi a avut drept scop aplicarea corectă a legislaţiei în vigoare de către personalul implicat în implementarea şi dezvoltarea controlului intern managerial.</w:t>
      </w:r>
    </w:p>
    <w:p w:rsidR="00327A21" w:rsidRDefault="00F42991" w:rsidP="003A7974">
      <w:pPr>
        <w:tabs>
          <w:tab w:val="left" w:pos="567"/>
          <w:tab w:val="left" w:pos="851"/>
        </w:tabs>
        <w:spacing w:before="240" w:after="120" w:line="276" w:lineRule="auto"/>
        <w:jc w:val="both"/>
        <w:rPr>
          <w:rFonts w:ascii="Times New Roman" w:hAnsi="Times New Roman" w:cs="Times New Roman"/>
          <w:sz w:val="24"/>
          <w:szCs w:val="24"/>
        </w:rPr>
      </w:pPr>
      <w:r>
        <w:rPr>
          <w:rFonts w:ascii="Times New Roman" w:hAnsi="Times New Roman" w:cs="Times New Roman"/>
          <w:sz w:val="24"/>
          <w:szCs w:val="24"/>
        </w:rPr>
        <w:t>În acest sens, DCIMRI a</w:t>
      </w:r>
      <w:r w:rsidR="00327A21" w:rsidRPr="00327A21">
        <w:rPr>
          <w:rFonts w:ascii="Times New Roman" w:hAnsi="Times New Roman" w:cs="Times New Roman"/>
          <w:sz w:val="24"/>
          <w:szCs w:val="24"/>
        </w:rPr>
        <w:t xml:space="preserve"> menținut o corespondență cu instituțiile </w:t>
      </w:r>
      <w:r w:rsidR="001A6106">
        <w:rPr>
          <w:rFonts w:ascii="Times New Roman" w:hAnsi="Times New Roman" w:cs="Times New Roman"/>
          <w:sz w:val="24"/>
          <w:szCs w:val="24"/>
        </w:rPr>
        <w:t>publice cu privire la solicitarea</w:t>
      </w:r>
      <w:r w:rsidR="00327A21" w:rsidRPr="00327A21">
        <w:rPr>
          <w:rFonts w:ascii="Times New Roman" w:hAnsi="Times New Roman" w:cs="Times New Roman"/>
          <w:sz w:val="24"/>
          <w:szCs w:val="24"/>
        </w:rPr>
        <w:t xml:space="preserve"> de </w:t>
      </w:r>
      <w:r w:rsidR="001A6106">
        <w:rPr>
          <w:rFonts w:ascii="Times New Roman" w:hAnsi="Times New Roman" w:cs="Times New Roman"/>
          <w:sz w:val="24"/>
          <w:szCs w:val="24"/>
        </w:rPr>
        <w:t>lămuri și puncte de vedere</w:t>
      </w:r>
      <w:r w:rsidR="00327A21" w:rsidRPr="00327A21">
        <w:rPr>
          <w:rFonts w:ascii="Times New Roman" w:hAnsi="Times New Roman" w:cs="Times New Roman"/>
          <w:sz w:val="24"/>
          <w:szCs w:val="24"/>
        </w:rPr>
        <w:t xml:space="preserve"> </w:t>
      </w:r>
      <w:r w:rsidR="001A6106">
        <w:rPr>
          <w:rFonts w:ascii="Times New Roman" w:hAnsi="Times New Roman" w:cs="Times New Roman"/>
          <w:sz w:val="24"/>
          <w:szCs w:val="24"/>
        </w:rPr>
        <w:t>prin organizarea</w:t>
      </w:r>
      <w:r w:rsidR="00327A21" w:rsidRPr="00327A21">
        <w:rPr>
          <w:rFonts w:ascii="Times New Roman" w:hAnsi="Times New Roman" w:cs="Times New Roman"/>
          <w:sz w:val="24"/>
          <w:szCs w:val="24"/>
        </w:rPr>
        <w:t xml:space="preserve"> la sediul </w:t>
      </w:r>
      <w:r>
        <w:rPr>
          <w:rFonts w:ascii="Times New Roman" w:hAnsi="Times New Roman" w:cs="Times New Roman"/>
          <w:sz w:val="24"/>
          <w:szCs w:val="24"/>
        </w:rPr>
        <w:t>direcției</w:t>
      </w:r>
      <w:r w:rsidR="00327A21" w:rsidRPr="00327A21">
        <w:rPr>
          <w:rFonts w:ascii="Times New Roman" w:hAnsi="Times New Roman" w:cs="Times New Roman"/>
          <w:sz w:val="24"/>
          <w:szCs w:val="24"/>
        </w:rPr>
        <w:t xml:space="preserve"> </w:t>
      </w:r>
      <w:r w:rsidR="001A6106">
        <w:rPr>
          <w:rFonts w:ascii="Times New Roman" w:hAnsi="Times New Roman" w:cs="Times New Roman"/>
          <w:sz w:val="24"/>
          <w:szCs w:val="24"/>
        </w:rPr>
        <w:t xml:space="preserve">a unor </w:t>
      </w:r>
      <w:r w:rsidR="00327A21" w:rsidRPr="00327A21">
        <w:rPr>
          <w:rFonts w:ascii="Times New Roman" w:hAnsi="Times New Roman" w:cs="Times New Roman"/>
          <w:sz w:val="24"/>
          <w:szCs w:val="24"/>
        </w:rPr>
        <w:t>întâlniri cu reprezentanții instituții</w:t>
      </w:r>
      <w:r>
        <w:rPr>
          <w:rFonts w:ascii="Times New Roman" w:hAnsi="Times New Roman" w:cs="Times New Roman"/>
          <w:sz w:val="24"/>
          <w:szCs w:val="24"/>
        </w:rPr>
        <w:t>lor</w:t>
      </w:r>
      <w:r w:rsidR="001A6106">
        <w:rPr>
          <w:rFonts w:ascii="Times New Roman" w:hAnsi="Times New Roman" w:cs="Times New Roman"/>
          <w:sz w:val="24"/>
          <w:szCs w:val="24"/>
        </w:rPr>
        <w:t xml:space="preserve"> publice pentru a-i sprijini în </w:t>
      </w:r>
      <w:r w:rsidR="00DE2E8F">
        <w:rPr>
          <w:rFonts w:ascii="Times New Roman" w:hAnsi="Times New Roman" w:cs="Times New Roman"/>
          <w:sz w:val="24"/>
          <w:szCs w:val="24"/>
        </w:rPr>
        <w:t>soluționarea problemelor în care se confruntă în procesul de</w:t>
      </w:r>
      <w:r w:rsidR="00327A21" w:rsidRPr="00327A21">
        <w:rPr>
          <w:rFonts w:ascii="Times New Roman" w:hAnsi="Times New Roman" w:cs="Times New Roman"/>
          <w:sz w:val="24"/>
          <w:szCs w:val="24"/>
        </w:rPr>
        <w:t xml:space="preserve"> implementare</w:t>
      </w:r>
      <w:r w:rsidR="000005D6">
        <w:rPr>
          <w:rFonts w:ascii="Times New Roman" w:hAnsi="Times New Roman" w:cs="Times New Roman"/>
          <w:sz w:val="24"/>
          <w:szCs w:val="24"/>
        </w:rPr>
        <w:t xml:space="preserve"> </w:t>
      </w:r>
      <w:r>
        <w:rPr>
          <w:rFonts w:ascii="Times New Roman" w:hAnsi="Times New Roman" w:cs="Times New Roman"/>
          <w:sz w:val="24"/>
          <w:szCs w:val="24"/>
        </w:rPr>
        <w:t>și dezvoltare</w:t>
      </w:r>
      <w:r w:rsidR="000005D6">
        <w:rPr>
          <w:rFonts w:ascii="Times New Roman" w:hAnsi="Times New Roman" w:cs="Times New Roman"/>
          <w:sz w:val="24"/>
          <w:szCs w:val="24"/>
        </w:rPr>
        <w:t xml:space="preserve"> </w:t>
      </w:r>
      <w:r>
        <w:rPr>
          <w:rFonts w:ascii="Times New Roman" w:hAnsi="Times New Roman" w:cs="Times New Roman"/>
          <w:sz w:val="24"/>
          <w:szCs w:val="24"/>
        </w:rPr>
        <w:t>a</w:t>
      </w:r>
      <w:r w:rsidR="00327A21" w:rsidRPr="00327A21">
        <w:rPr>
          <w:rFonts w:ascii="Times New Roman" w:hAnsi="Times New Roman" w:cs="Times New Roman"/>
          <w:sz w:val="24"/>
          <w:szCs w:val="24"/>
        </w:rPr>
        <w:t xml:space="preserve"> SCIM</w:t>
      </w:r>
      <w:r>
        <w:rPr>
          <w:rFonts w:ascii="Times New Roman" w:hAnsi="Times New Roman" w:cs="Times New Roman"/>
          <w:sz w:val="24"/>
          <w:szCs w:val="24"/>
        </w:rPr>
        <w:t>.</w:t>
      </w:r>
    </w:p>
    <w:p w:rsidR="00A030B6" w:rsidRPr="003A7974" w:rsidRDefault="00A030B6" w:rsidP="00C113DE">
      <w:pPr>
        <w:tabs>
          <w:tab w:val="left" w:pos="567"/>
          <w:tab w:val="left" w:pos="851"/>
        </w:tabs>
        <w:spacing w:before="240" w:after="120" w:line="276" w:lineRule="auto"/>
        <w:jc w:val="both"/>
        <w:rPr>
          <w:rFonts w:ascii="Times New Roman" w:hAnsi="Times New Roman" w:cs="Times New Roman"/>
          <w:i/>
          <w:color w:val="000000" w:themeColor="text1"/>
          <w:sz w:val="24"/>
          <w:szCs w:val="24"/>
        </w:rPr>
      </w:pPr>
      <w:r w:rsidRPr="003A7974">
        <w:rPr>
          <w:rFonts w:ascii="Times New Roman" w:hAnsi="Times New Roman" w:cs="Times New Roman"/>
          <w:color w:val="000000" w:themeColor="text1"/>
          <w:sz w:val="24"/>
          <w:szCs w:val="24"/>
        </w:rPr>
        <w:t xml:space="preserve">După publicarea în Monitorul Oficial a Normelor metodologice privind coordonarea, îndrumarea metodologică și supravegherea stadiului implementării și dezvoltării sistemului de control intern managerial la entitățile publice a Ordinului nr. 201/26.02.2016 în data de 12.04.2016, Direcția Control Intern Managerial și Relații Interinstituționale a elaborat </w:t>
      </w:r>
      <w:r w:rsidRPr="003A7974">
        <w:rPr>
          <w:rFonts w:ascii="Times New Roman" w:hAnsi="Times New Roman" w:cs="Times New Roman"/>
          <w:i/>
          <w:color w:val="000000" w:themeColor="text1"/>
          <w:sz w:val="24"/>
          <w:szCs w:val="24"/>
        </w:rPr>
        <w:t>Planul de activitate privind desfășurarea misiunilor.</w:t>
      </w:r>
      <w:r w:rsidR="002F28C4" w:rsidRPr="003A7974">
        <w:rPr>
          <w:rFonts w:ascii="Times New Roman" w:hAnsi="Times New Roman" w:cs="Times New Roman"/>
          <w:i/>
          <w:color w:val="000000" w:themeColor="text1"/>
          <w:sz w:val="24"/>
          <w:szCs w:val="24"/>
        </w:rPr>
        <w:t xml:space="preserve"> </w:t>
      </w:r>
    </w:p>
    <w:p w:rsidR="00A030B6" w:rsidRPr="003A7974" w:rsidRDefault="00A030B6" w:rsidP="00C113DE">
      <w:pPr>
        <w:tabs>
          <w:tab w:val="left" w:pos="567"/>
          <w:tab w:val="left" w:pos="851"/>
        </w:tabs>
        <w:spacing w:before="240" w:after="120" w:line="276" w:lineRule="auto"/>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Inițial, planul a prevăzut entități publice și a cuprins atât ordonatori principali de credite, cât și entități publice din coordonare, subordonare.</w:t>
      </w:r>
    </w:p>
    <w:p w:rsidR="00A030B6" w:rsidRPr="003A7974" w:rsidRDefault="00A030B6" w:rsidP="00C113DE">
      <w:pPr>
        <w:tabs>
          <w:tab w:val="left" w:pos="567"/>
          <w:tab w:val="left" w:pos="851"/>
        </w:tabs>
        <w:spacing w:before="240" w:after="120" w:line="276" w:lineRule="auto"/>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 xml:space="preserve">Ca urmare a schimbărilor intervenite în organizarea SGG, cât și a schimbării conducerii, </w:t>
      </w:r>
      <w:r w:rsidRPr="003A7974">
        <w:rPr>
          <w:rFonts w:ascii="Times New Roman" w:hAnsi="Times New Roman" w:cs="Times New Roman"/>
          <w:i/>
          <w:color w:val="000000" w:themeColor="text1"/>
          <w:sz w:val="24"/>
          <w:szCs w:val="24"/>
        </w:rPr>
        <w:t>Planul de activitate al Direcți</w:t>
      </w:r>
      <w:r w:rsidR="002F28C4" w:rsidRPr="003A7974">
        <w:rPr>
          <w:rFonts w:ascii="Times New Roman" w:hAnsi="Times New Roman" w:cs="Times New Roman"/>
          <w:i/>
          <w:color w:val="000000" w:themeColor="text1"/>
          <w:sz w:val="24"/>
          <w:szCs w:val="24"/>
        </w:rPr>
        <w:t>ei</w:t>
      </w:r>
      <w:r w:rsidRPr="003A7974">
        <w:rPr>
          <w:rFonts w:ascii="Times New Roman" w:hAnsi="Times New Roman" w:cs="Times New Roman"/>
          <w:i/>
          <w:color w:val="000000" w:themeColor="text1"/>
          <w:sz w:val="24"/>
          <w:szCs w:val="24"/>
        </w:rPr>
        <w:t xml:space="preserve"> Control Intern Managerial și Relații Interinstituționale</w:t>
      </w:r>
      <w:r w:rsidRPr="003A7974">
        <w:rPr>
          <w:rFonts w:ascii="Times New Roman" w:hAnsi="Times New Roman" w:cs="Times New Roman"/>
          <w:color w:val="000000" w:themeColor="text1"/>
          <w:sz w:val="24"/>
          <w:szCs w:val="24"/>
        </w:rPr>
        <w:t xml:space="preserve"> a fost actualizat la sfârșitul anului.</w:t>
      </w:r>
    </w:p>
    <w:p w:rsidR="00A030B6" w:rsidRPr="003A7974" w:rsidRDefault="00A030B6" w:rsidP="00C113DE">
      <w:pPr>
        <w:tabs>
          <w:tab w:val="left" w:pos="567"/>
          <w:tab w:val="left" w:pos="851"/>
        </w:tabs>
        <w:spacing w:before="240" w:after="120" w:line="276" w:lineRule="auto"/>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După aprobarea Planului de activitate pe anul 2016, au fost stabilite echipele de verificare și a fost pregătită documntația pentru derularea misiunilor de verificare și îndrumare metodologică.</w:t>
      </w:r>
    </w:p>
    <w:p w:rsidR="00A030B6" w:rsidRPr="003A7974" w:rsidRDefault="00A030B6" w:rsidP="003A7974">
      <w:pPr>
        <w:tabs>
          <w:tab w:val="left" w:pos="567"/>
          <w:tab w:val="left" w:pos="851"/>
        </w:tabs>
        <w:spacing w:before="120" w:after="120" w:line="276" w:lineRule="auto"/>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În cursul anului 2016, Direcția Control Intern Managerial și Relații Interinstituționale a desfășurat un număr de 19  misiuni de verif</w:t>
      </w:r>
      <w:r w:rsidR="003A7974">
        <w:rPr>
          <w:rFonts w:ascii="Times New Roman" w:hAnsi="Times New Roman" w:cs="Times New Roman"/>
          <w:color w:val="000000" w:themeColor="text1"/>
          <w:sz w:val="24"/>
          <w:szCs w:val="24"/>
        </w:rPr>
        <w:t>icare și îndrumare metodologică la e</w:t>
      </w:r>
      <w:r w:rsidRPr="003A7974">
        <w:rPr>
          <w:rFonts w:ascii="Times New Roman" w:hAnsi="Times New Roman" w:cs="Times New Roman"/>
          <w:color w:val="000000" w:themeColor="text1"/>
          <w:sz w:val="24"/>
          <w:szCs w:val="24"/>
        </w:rPr>
        <w:t>ntități publice</w:t>
      </w:r>
      <w:r w:rsidR="003A7974">
        <w:rPr>
          <w:rFonts w:ascii="Times New Roman" w:hAnsi="Times New Roman" w:cs="Times New Roman"/>
          <w:color w:val="000000" w:themeColor="text1"/>
          <w:sz w:val="24"/>
          <w:szCs w:val="24"/>
        </w:rPr>
        <w:t>,</w:t>
      </w:r>
      <w:r w:rsidRPr="003A7974">
        <w:rPr>
          <w:rFonts w:ascii="Times New Roman" w:hAnsi="Times New Roman" w:cs="Times New Roman"/>
          <w:color w:val="000000" w:themeColor="text1"/>
          <w:sz w:val="24"/>
          <w:szCs w:val="24"/>
        </w:rPr>
        <w:t xml:space="preserve"> conform Plan</w:t>
      </w:r>
      <w:r w:rsidR="003A7974">
        <w:rPr>
          <w:rFonts w:ascii="Times New Roman" w:hAnsi="Times New Roman" w:cs="Times New Roman"/>
          <w:color w:val="000000" w:themeColor="text1"/>
          <w:sz w:val="24"/>
          <w:szCs w:val="24"/>
        </w:rPr>
        <w:t>ului</w:t>
      </w:r>
      <w:r w:rsidRPr="003A7974">
        <w:rPr>
          <w:rFonts w:ascii="Times New Roman" w:hAnsi="Times New Roman" w:cs="Times New Roman"/>
          <w:color w:val="000000" w:themeColor="text1"/>
          <w:sz w:val="24"/>
          <w:szCs w:val="24"/>
        </w:rPr>
        <w:t xml:space="preserve"> de activitate inițial:</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1.</w:t>
      </w:r>
      <w:r w:rsidRPr="003A7974">
        <w:rPr>
          <w:rFonts w:ascii="Times New Roman" w:hAnsi="Times New Roman" w:cs="Times New Roman"/>
          <w:color w:val="000000" w:themeColor="text1"/>
          <w:sz w:val="24"/>
          <w:szCs w:val="24"/>
        </w:rPr>
        <w:tab/>
        <w:t>Regia Autonomă Monitorul Oficial</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2.</w:t>
      </w:r>
      <w:r w:rsidRPr="003A7974">
        <w:rPr>
          <w:rFonts w:ascii="Times New Roman" w:hAnsi="Times New Roman" w:cs="Times New Roman"/>
          <w:color w:val="000000" w:themeColor="text1"/>
          <w:sz w:val="24"/>
          <w:szCs w:val="24"/>
        </w:rPr>
        <w:tab/>
        <w:t>Comisia Națională pentru Controlul Activităților Nucleare</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3.</w:t>
      </w:r>
      <w:r w:rsidRPr="003A7974">
        <w:rPr>
          <w:rFonts w:ascii="Times New Roman" w:hAnsi="Times New Roman" w:cs="Times New Roman"/>
          <w:color w:val="000000" w:themeColor="text1"/>
          <w:sz w:val="24"/>
          <w:szCs w:val="24"/>
        </w:rPr>
        <w:tab/>
        <w:t>Institutul Național de Statistică</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4.</w:t>
      </w:r>
      <w:r w:rsidRPr="003A7974">
        <w:rPr>
          <w:rFonts w:ascii="Times New Roman" w:hAnsi="Times New Roman" w:cs="Times New Roman"/>
          <w:color w:val="000000" w:themeColor="text1"/>
          <w:sz w:val="24"/>
          <w:szCs w:val="24"/>
        </w:rPr>
        <w:tab/>
        <w:t>Oficiul Național pentru Jocurile de Noroc</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5.</w:t>
      </w:r>
      <w:r w:rsidRPr="003A7974">
        <w:rPr>
          <w:rFonts w:ascii="Times New Roman" w:hAnsi="Times New Roman" w:cs="Times New Roman"/>
          <w:color w:val="000000" w:themeColor="text1"/>
          <w:sz w:val="24"/>
          <w:szCs w:val="24"/>
        </w:rPr>
        <w:tab/>
        <w:t>Agenția Domeniilor Statului</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6.</w:t>
      </w:r>
      <w:r w:rsidRPr="003A7974">
        <w:rPr>
          <w:rFonts w:ascii="Times New Roman" w:hAnsi="Times New Roman" w:cs="Times New Roman"/>
          <w:color w:val="000000" w:themeColor="text1"/>
          <w:sz w:val="24"/>
          <w:szCs w:val="24"/>
        </w:rPr>
        <w:tab/>
        <w:t>Departamentul pentru Relația cu Parlamentul</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7.</w:t>
      </w:r>
      <w:r w:rsidRPr="003A7974">
        <w:rPr>
          <w:rFonts w:ascii="Times New Roman" w:hAnsi="Times New Roman" w:cs="Times New Roman"/>
          <w:color w:val="000000" w:themeColor="text1"/>
          <w:sz w:val="24"/>
          <w:szCs w:val="24"/>
        </w:rPr>
        <w:tab/>
        <w:t>Departamentul pentru Luptă Antifraudă</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8.</w:t>
      </w:r>
      <w:r w:rsidRPr="003A7974">
        <w:rPr>
          <w:rFonts w:ascii="Times New Roman" w:hAnsi="Times New Roman" w:cs="Times New Roman"/>
          <w:color w:val="000000" w:themeColor="text1"/>
          <w:sz w:val="24"/>
          <w:szCs w:val="24"/>
        </w:rPr>
        <w:tab/>
        <w:t>Secretariatul de Stat pentru Culte</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9.</w:t>
      </w:r>
      <w:r w:rsidRPr="003A7974">
        <w:rPr>
          <w:rFonts w:ascii="Times New Roman" w:hAnsi="Times New Roman" w:cs="Times New Roman"/>
          <w:color w:val="000000" w:themeColor="text1"/>
          <w:sz w:val="24"/>
          <w:szCs w:val="24"/>
        </w:rPr>
        <w:tab/>
        <w:t>Agenția Națională pentru Resurse Minerale</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10.</w:t>
      </w:r>
      <w:r w:rsidRPr="003A7974">
        <w:rPr>
          <w:rFonts w:ascii="Times New Roman" w:hAnsi="Times New Roman" w:cs="Times New Roman"/>
          <w:color w:val="000000" w:themeColor="text1"/>
          <w:sz w:val="24"/>
          <w:szCs w:val="24"/>
        </w:rPr>
        <w:tab/>
        <w:t>Autoritatea Națională de Management al Calității în Sănătate</w:t>
      </w:r>
    </w:p>
    <w:p w:rsidR="003A7974" w:rsidRDefault="003A7974" w:rsidP="003A7974">
      <w:pPr>
        <w:tabs>
          <w:tab w:val="left" w:pos="567"/>
          <w:tab w:val="left" w:pos="851"/>
        </w:tabs>
        <w:spacing w:after="120" w:line="276" w:lineRule="auto"/>
        <w:jc w:val="both"/>
        <w:rPr>
          <w:rFonts w:ascii="Times New Roman" w:hAnsi="Times New Roman" w:cs="Times New Roman"/>
          <w:color w:val="000000" w:themeColor="text1"/>
          <w:sz w:val="24"/>
          <w:szCs w:val="24"/>
        </w:rPr>
      </w:pPr>
    </w:p>
    <w:p w:rsidR="00A030B6" w:rsidRPr="003A7974" w:rsidRDefault="00A030B6" w:rsidP="003A7974">
      <w:pPr>
        <w:tabs>
          <w:tab w:val="left" w:pos="567"/>
          <w:tab w:val="left" w:pos="851"/>
        </w:tabs>
        <w:spacing w:after="120" w:line="276" w:lineRule="auto"/>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Prin proiectului cu titlul ”Consolidarea implementării standardelor de control intern managerial la nivel central și local”, cod SIPOCA 34, Direcția Control Intern Managerial și Relații Interinstituționale  a mai desfășurat un număr de 9 misiuni de verificare și îndrumare metodologică:</w:t>
      </w:r>
    </w:p>
    <w:p w:rsidR="00A030B6" w:rsidRPr="003A7974" w:rsidRDefault="006E6820"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11.</w:t>
      </w:r>
      <w:r>
        <w:rPr>
          <w:rFonts w:ascii="Times New Roman" w:hAnsi="Times New Roman" w:cs="Times New Roman"/>
          <w:color w:val="000000" w:themeColor="text1"/>
          <w:sz w:val="24"/>
          <w:szCs w:val="24"/>
        </w:rPr>
        <w:tab/>
        <w:t>Senatul Româ</w:t>
      </w:r>
      <w:r w:rsidR="00A030B6" w:rsidRPr="003A7974">
        <w:rPr>
          <w:rFonts w:ascii="Times New Roman" w:hAnsi="Times New Roman" w:cs="Times New Roman"/>
          <w:color w:val="000000" w:themeColor="text1"/>
          <w:sz w:val="24"/>
          <w:szCs w:val="24"/>
        </w:rPr>
        <w:t>niei</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12.</w:t>
      </w:r>
      <w:r w:rsidRPr="003A7974">
        <w:rPr>
          <w:rFonts w:ascii="Times New Roman" w:hAnsi="Times New Roman" w:cs="Times New Roman"/>
          <w:color w:val="000000" w:themeColor="text1"/>
          <w:sz w:val="24"/>
          <w:szCs w:val="24"/>
        </w:rPr>
        <w:tab/>
        <w:t>Societatea Română de Radiodifuziune</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13.</w:t>
      </w:r>
      <w:r w:rsidRPr="003A7974">
        <w:rPr>
          <w:rFonts w:ascii="Times New Roman" w:hAnsi="Times New Roman" w:cs="Times New Roman"/>
          <w:color w:val="000000" w:themeColor="text1"/>
          <w:sz w:val="24"/>
          <w:szCs w:val="24"/>
        </w:rPr>
        <w:tab/>
        <w:t>Consiliul Concurenței</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14.</w:t>
      </w:r>
      <w:r w:rsidRPr="003A7974">
        <w:rPr>
          <w:rFonts w:ascii="Times New Roman" w:hAnsi="Times New Roman" w:cs="Times New Roman"/>
          <w:color w:val="000000" w:themeColor="text1"/>
          <w:sz w:val="24"/>
          <w:szCs w:val="24"/>
        </w:rPr>
        <w:tab/>
        <w:t>Ministerul Transporturilor</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15.</w:t>
      </w:r>
      <w:r w:rsidRPr="003A7974">
        <w:rPr>
          <w:rFonts w:ascii="Times New Roman" w:hAnsi="Times New Roman" w:cs="Times New Roman"/>
          <w:color w:val="000000" w:themeColor="text1"/>
          <w:sz w:val="24"/>
          <w:szCs w:val="24"/>
        </w:rPr>
        <w:tab/>
        <w:t>Ministerul Tineretului și Sportului</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16.</w:t>
      </w:r>
      <w:r w:rsidRPr="003A7974">
        <w:rPr>
          <w:rFonts w:ascii="Times New Roman" w:hAnsi="Times New Roman" w:cs="Times New Roman"/>
          <w:color w:val="000000" w:themeColor="text1"/>
          <w:sz w:val="24"/>
          <w:szCs w:val="24"/>
        </w:rPr>
        <w:tab/>
        <w:t>Ministerul Mediului, Apelor și Pădurilor</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17.</w:t>
      </w:r>
      <w:r w:rsidRPr="003A7974">
        <w:rPr>
          <w:rFonts w:ascii="Times New Roman" w:hAnsi="Times New Roman" w:cs="Times New Roman"/>
          <w:color w:val="000000" w:themeColor="text1"/>
          <w:sz w:val="24"/>
          <w:szCs w:val="24"/>
        </w:rPr>
        <w:tab/>
        <w:t>Consiliul Național de Soluționare a Contestațiilor</w:t>
      </w:r>
    </w:p>
    <w:p w:rsidR="00A030B6" w:rsidRPr="003A7974" w:rsidRDefault="00A030B6" w:rsidP="003A7974">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18.</w:t>
      </w:r>
      <w:r w:rsidRPr="003A7974">
        <w:rPr>
          <w:rFonts w:ascii="Times New Roman" w:hAnsi="Times New Roman" w:cs="Times New Roman"/>
          <w:color w:val="000000" w:themeColor="text1"/>
          <w:sz w:val="24"/>
          <w:szCs w:val="24"/>
        </w:rPr>
        <w:tab/>
        <w:t>Ministerul Economiei, Comerțului și Relațiilor cu Mediul de Afaceri</w:t>
      </w:r>
    </w:p>
    <w:p w:rsidR="00A030B6" w:rsidRPr="003A7974" w:rsidRDefault="00A030B6" w:rsidP="003A7974">
      <w:pPr>
        <w:tabs>
          <w:tab w:val="left" w:pos="567"/>
          <w:tab w:val="left" w:pos="851"/>
        </w:tabs>
        <w:spacing w:after="120" w:line="276" w:lineRule="auto"/>
        <w:ind w:left="567" w:hanging="425"/>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19.</w:t>
      </w:r>
      <w:r w:rsidRPr="003A7974">
        <w:rPr>
          <w:rFonts w:ascii="Times New Roman" w:hAnsi="Times New Roman" w:cs="Times New Roman"/>
          <w:color w:val="000000" w:themeColor="text1"/>
          <w:sz w:val="24"/>
          <w:szCs w:val="24"/>
        </w:rPr>
        <w:tab/>
        <w:t>Secretariatul de Stat pentru Recunoașterea Meritelor Luptătorilor  Împotriva Regimului Comunist Instaurat în Romănia în perioada 1945-1989</w:t>
      </w:r>
    </w:p>
    <w:p w:rsidR="003A7974" w:rsidRDefault="003A7974" w:rsidP="00C113DE">
      <w:pPr>
        <w:tabs>
          <w:tab w:val="left" w:pos="567"/>
          <w:tab w:val="left" w:pos="851"/>
        </w:tabs>
        <w:spacing w:before="240" w:after="120" w:line="276" w:lineRule="auto"/>
        <w:jc w:val="both"/>
        <w:rPr>
          <w:rFonts w:ascii="Times New Roman" w:hAnsi="Times New Roman" w:cs="Times New Roman"/>
          <w:color w:val="FF0000"/>
          <w:sz w:val="24"/>
          <w:szCs w:val="24"/>
        </w:rPr>
      </w:pPr>
    </w:p>
    <w:p w:rsidR="00302C08" w:rsidRPr="003A7974" w:rsidRDefault="00302C08" w:rsidP="00C113DE">
      <w:pPr>
        <w:tabs>
          <w:tab w:val="left" w:pos="567"/>
          <w:tab w:val="left" w:pos="851"/>
        </w:tabs>
        <w:spacing w:before="240" w:after="120" w:line="276" w:lineRule="auto"/>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 xml:space="preserve">În vederea elaborării </w:t>
      </w:r>
      <w:r w:rsidRPr="003A7974">
        <w:rPr>
          <w:rFonts w:ascii="Times New Roman" w:hAnsi="Times New Roman" w:cs="Times New Roman"/>
          <w:i/>
          <w:color w:val="000000" w:themeColor="text1"/>
          <w:sz w:val="24"/>
          <w:szCs w:val="24"/>
        </w:rPr>
        <w:t>Raportului anual privind stadiul implementării sistemului de control intern managerial</w:t>
      </w:r>
      <w:r w:rsidRPr="003A7974">
        <w:rPr>
          <w:rFonts w:ascii="Times New Roman" w:hAnsi="Times New Roman" w:cs="Times New Roman"/>
          <w:color w:val="000000" w:themeColor="text1"/>
          <w:sz w:val="24"/>
          <w:szCs w:val="24"/>
        </w:rPr>
        <w:t xml:space="preserve"> la nivelul instituțiilor publice, personalul Direcției Control Intern Managerial și Relații Interinstituționale a analizat și centralizat raportările privind stadiul implementării sistemelor de control intern managerial la nivelul entităților publice la care se exercită funcția de ordonator principal de credite al bugetului de stat, ala bugetului asigurărilor sociale de stat sau al bugetului oricărui fond special. </w:t>
      </w:r>
    </w:p>
    <w:p w:rsidR="00D21CBD" w:rsidRDefault="00302C08" w:rsidP="00C113DE">
      <w:pPr>
        <w:tabs>
          <w:tab w:val="left" w:pos="567"/>
          <w:tab w:val="left" w:pos="851"/>
        </w:tabs>
        <w:spacing w:before="240" w:after="120" w:line="276" w:lineRule="auto"/>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În cursul anului 2016, Direcția Control Intern Managerial și Relații Interinstituționale a elaborat Raportului anual privind stadiul implementării sistemului de control intern managerial la nivelul instituțiilor publice la 31 decembrie 2015, care a fost aprobat și  postat pe site-ul sg</w:t>
      </w:r>
      <w:r w:rsidR="00FF58F2" w:rsidRPr="003A7974">
        <w:rPr>
          <w:rFonts w:ascii="Times New Roman" w:hAnsi="Times New Roman" w:cs="Times New Roman"/>
          <w:color w:val="000000" w:themeColor="text1"/>
          <w:sz w:val="24"/>
          <w:szCs w:val="24"/>
        </w:rPr>
        <w:t>g.ro/Control intern managerial.</w:t>
      </w:r>
    </w:p>
    <w:p w:rsidR="003A7974" w:rsidRPr="003A7974" w:rsidRDefault="003A7974" w:rsidP="00C113DE">
      <w:pPr>
        <w:tabs>
          <w:tab w:val="left" w:pos="567"/>
          <w:tab w:val="left" w:pos="851"/>
        </w:tabs>
        <w:spacing w:before="240" w:after="120" w:line="276" w:lineRule="auto"/>
        <w:jc w:val="both"/>
        <w:rPr>
          <w:rFonts w:ascii="Times New Roman" w:hAnsi="Times New Roman" w:cs="Times New Roman"/>
          <w:color w:val="000000" w:themeColor="text1"/>
          <w:sz w:val="24"/>
          <w:szCs w:val="24"/>
        </w:rPr>
      </w:pPr>
    </w:p>
    <w:p w:rsidR="00A5194C" w:rsidRPr="00CF64CA" w:rsidRDefault="00A5194C" w:rsidP="003A7974">
      <w:pPr>
        <w:pStyle w:val="Raport"/>
        <w:spacing w:after="360"/>
        <w:jc w:val="both"/>
        <w:rPr>
          <w:sz w:val="24"/>
          <w:szCs w:val="24"/>
        </w:rPr>
      </w:pPr>
      <w:bookmarkStart w:id="18" w:name="_Toc485992679"/>
      <w:r w:rsidRPr="00CF64CA">
        <w:rPr>
          <w:sz w:val="24"/>
          <w:szCs w:val="24"/>
        </w:rPr>
        <w:t>3.2. Analiza perfecționării pregătirii profesionale în domeniul SCIM la entităţile publice centrale</w:t>
      </w:r>
      <w:bookmarkEnd w:id="18"/>
    </w:p>
    <w:p w:rsidR="006B19F3" w:rsidRDefault="00B92231" w:rsidP="003A7974">
      <w:pPr>
        <w:tabs>
          <w:tab w:val="left" w:pos="567"/>
        </w:tabs>
        <w:spacing w:after="120" w:line="276" w:lineRule="auto"/>
        <w:jc w:val="both"/>
        <w:rPr>
          <w:rFonts w:ascii="Times New Roman" w:hAnsi="Times New Roman" w:cs="Times New Roman"/>
          <w:sz w:val="24"/>
          <w:szCs w:val="24"/>
        </w:rPr>
      </w:pPr>
      <w:r>
        <w:rPr>
          <w:rFonts w:ascii="Times New Roman" w:hAnsi="Times New Roman" w:cs="Times New Roman"/>
          <w:sz w:val="24"/>
          <w:szCs w:val="24"/>
        </w:rPr>
        <w:t xml:space="preserve">Din datele prezentate în </w:t>
      </w:r>
      <w:r w:rsidRPr="00F2349F">
        <w:rPr>
          <w:rFonts w:ascii="Times New Roman" w:hAnsi="Times New Roman" w:cs="Times New Roman"/>
          <w:b/>
          <w:i/>
          <w:sz w:val="24"/>
          <w:szCs w:val="24"/>
        </w:rPr>
        <w:t xml:space="preserve">Anexa </w:t>
      </w:r>
      <w:r w:rsidR="006B19F3" w:rsidRPr="00F2349F">
        <w:rPr>
          <w:rFonts w:ascii="Times New Roman" w:hAnsi="Times New Roman" w:cs="Times New Roman"/>
          <w:b/>
          <w:i/>
          <w:sz w:val="24"/>
          <w:szCs w:val="24"/>
        </w:rPr>
        <w:t>3</w:t>
      </w:r>
      <w:r w:rsidR="000005D6" w:rsidRPr="007E3F6D">
        <w:rPr>
          <w:rFonts w:ascii="Times New Roman" w:hAnsi="Times New Roman" w:cs="Times New Roman"/>
          <w:i/>
          <w:sz w:val="24"/>
          <w:szCs w:val="24"/>
        </w:rPr>
        <w:t xml:space="preserve"> la Ra</w:t>
      </w:r>
      <w:r w:rsidRPr="007E3F6D">
        <w:rPr>
          <w:rFonts w:ascii="Times New Roman" w:hAnsi="Times New Roman" w:cs="Times New Roman"/>
          <w:i/>
          <w:sz w:val="24"/>
          <w:szCs w:val="24"/>
        </w:rPr>
        <w:t>port</w:t>
      </w:r>
      <w:r>
        <w:rPr>
          <w:rFonts w:ascii="Times New Roman" w:hAnsi="Times New Roman" w:cs="Times New Roman"/>
          <w:sz w:val="24"/>
          <w:szCs w:val="24"/>
        </w:rPr>
        <w:t xml:space="preserve">, la nivelul ordonatorilor principali de credite, </w:t>
      </w:r>
      <w:r w:rsidR="006B19F3">
        <w:rPr>
          <w:rFonts w:ascii="Times New Roman" w:hAnsi="Times New Roman" w:cs="Times New Roman"/>
          <w:sz w:val="24"/>
          <w:szCs w:val="24"/>
        </w:rPr>
        <w:t xml:space="preserve">rezultă că </w:t>
      </w:r>
      <w:r w:rsidR="006B19F3" w:rsidRPr="007E3F6D">
        <w:rPr>
          <w:rFonts w:ascii="Times New Roman" w:hAnsi="Times New Roman" w:cs="Times New Roman"/>
          <w:i/>
          <w:sz w:val="24"/>
          <w:szCs w:val="24"/>
        </w:rPr>
        <w:t>Programul de dezvoltare</w:t>
      </w:r>
      <w:r w:rsidR="00302C08">
        <w:rPr>
          <w:rFonts w:ascii="Times New Roman" w:hAnsi="Times New Roman" w:cs="Times New Roman"/>
          <w:i/>
          <w:sz w:val="24"/>
          <w:szCs w:val="24"/>
        </w:rPr>
        <w:t xml:space="preserve"> </w:t>
      </w:r>
      <w:r w:rsidR="006B19F3" w:rsidRPr="007E3F6D">
        <w:rPr>
          <w:rFonts w:ascii="Times New Roman" w:hAnsi="Times New Roman" w:cs="Times New Roman"/>
          <w:i/>
          <w:sz w:val="24"/>
          <w:szCs w:val="24"/>
        </w:rPr>
        <w:t>a sistemului de control intern managerial</w:t>
      </w:r>
      <w:r w:rsidR="006B19F3" w:rsidRPr="006B19F3">
        <w:rPr>
          <w:rFonts w:ascii="Times New Roman" w:hAnsi="Times New Roman" w:cs="Times New Roman"/>
          <w:sz w:val="24"/>
          <w:szCs w:val="24"/>
        </w:rPr>
        <w:t>, actualizat</w:t>
      </w:r>
      <w:r w:rsidR="006B19F3">
        <w:rPr>
          <w:rFonts w:ascii="Times New Roman" w:hAnsi="Times New Roman" w:cs="Times New Roman"/>
          <w:sz w:val="24"/>
          <w:szCs w:val="24"/>
        </w:rPr>
        <w:t>:</w:t>
      </w:r>
    </w:p>
    <w:p w:rsidR="000B6EA6" w:rsidRPr="003A7974" w:rsidRDefault="006B19F3" w:rsidP="00C7604C">
      <w:pPr>
        <w:pStyle w:val="ListParagraph"/>
        <w:numPr>
          <w:ilvl w:val="0"/>
          <w:numId w:val="67"/>
        </w:numPr>
        <w:tabs>
          <w:tab w:val="left" w:pos="1260"/>
        </w:tabs>
        <w:spacing w:before="240" w:after="120" w:line="276" w:lineRule="auto"/>
        <w:jc w:val="both"/>
        <w:rPr>
          <w:rFonts w:ascii="Times New Roman" w:hAnsi="Times New Roman" w:cs="Times New Roman"/>
          <w:color w:val="000000" w:themeColor="text1"/>
          <w:sz w:val="24"/>
          <w:szCs w:val="24"/>
        </w:rPr>
      </w:pPr>
      <w:r w:rsidRPr="003A7974">
        <w:rPr>
          <w:rFonts w:ascii="Times New Roman" w:hAnsi="Times New Roman" w:cs="Times New Roman"/>
          <w:i/>
          <w:color w:val="000000" w:themeColor="text1"/>
          <w:sz w:val="24"/>
          <w:szCs w:val="24"/>
        </w:rPr>
        <w:t>cuprinde</w:t>
      </w:r>
      <w:r w:rsidR="00B92231" w:rsidRPr="003A7974">
        <w:rPr>
          <w:i/>
          <w:color w:val="000000" w:themeColor="text1"/>
        </w:rPr>
        <w:t xml:space="preserve"> </w:t>
      </w:r>
      <w:r w:rsidR="00B92231" w:rsidRPr="003A7974">
        <w:rPr>
          <w:rFonts w:ascii="Times New Roman" w:hAnsi="Times New Roman" w:cs="Times New Roman"/>
          <w:i/>
          <w:color w:val="000000" w:themeColor="text1"/>
          <w:sz w:val="24"/>
          <w:szCs w:val="24"/>
        </w:rPr>
        <w:t>acţiuni de perfecţionare profesională</w:t>
      </w:r>
      <w:r w:rsidR="00B92231" w:rsidRPr="003A7974">
        <w:rPr>
          <w:rFonts w:ascii="Times New Roman" w:hAnsi="Times New Roman" w:cs="Times New Roman"/>
          <w:color w:val="000000" w:themeColor="text1"/>
          <w:sz w:val="24"/>
          <w:szCs w:val="24"/>
        </w:rPr>
        <w:t xml:space="preserve"> a personalului de conducere, execuţie şi a auditorilor interni în </w:t>
      </w:r>
      <w:r w:rsidR="000B6EA6" w:rsidRPr="003A7974">
        <w:rPr>
          <w:rFonts w:ascii="Times New Roman" w:hAnsi="Times New Roman" w:cs="Times New Roman"/>
          <w:color w:val="000000" w:themeColor="text1"/>
          <w:sz w:val="24"/>
          <w:szCs w:val="24"/>
        </w:rPr>
        <w:t xml:space="preserve">domeniul SCIM,  </w:t>
      </w:r>
      <w:r w:rsidRPr="003A7974">
        <w:rPr>
          <w:rFonts w:ascii="Times New Roman" w:hAnsi="Times New Roman" w:cs="Times New Roman"/>
          <w:color w:val="000000" w:themeColor="text1"/>
          <w:sz w:val="24"/>
          <w:szCs w:val="24"/>
        </w:rPr>
        <w:t xml:space="preserve">pentru un număr de </w:t>
      </w:r>
      <w:r w:rsidR="00B45A27" w:rsidRPr="003A7974">
        <w:rPr>
          <w:rFonts w:ascii="Times New Roman" w:hAnsi="Times New Roman" w:cs="Times New Roman"/>
          <w:color w:val="000000" w:themeColor="text1"/>
          <w:sz w:val="24"/>
          <w:szCs w:val="24"/>
        </w:rPr>
        <w:t>46</w:t>
      </w:r>
      <w:r w:rsidRPr="003A7974">
        <w:rPr>
          <w:rFonts w:ascii="Times New Roman" w:hAnsi="Times New Roman" w:cs="Times New Roman"/>
          <w:color w:val="000000" w:themeColor="text1"/>
          <w:sz w:val="24"/>
          <w:szCs w:val="24"/>
        </w:rPr>
        <w:t xml:space="preserve"> entități publice centrale, respectiv </w:t>
      </w:r>
      <w:r w:rsidR="00B45A27" w:rsidRPr="003A7974">
        <w:rPr>
          <w:rFonts w:ascii="Times New Roman" w:hAnsi="Times New Roman" w:cs="Times New Roman"/>
          <w:color w:val="000000" w:themeColor="text1"/>
          <w:sz w:val="24"/>
          <w:szCs w:val="24"/>
        </w:rPr>
        <w:t>92,00</w:t>
      </w:r>
      <w:r w:rsidRPr="003A7974">
        <w:rPr>
          <w:rFonts w:ascii="Times New Roman" w:hAnsi="Times New Roman" w:cs="Times New Roman"/>
          <w:color w:val="000000" w:themeColor="text1"/>
          <w:sz w:val="24"/>
          <w:szCs w:val="24"/>
        </w:rPr>
        <w:t>%;</w:t>
      </w:r>
    </w:p>
    <w:p w:rsidR="006B19F3" w:rsidRPr="003A7974" w:rsidRDefault="006B19F3" w:rsidP="00C7604C">
      <w:pPr>
        <w:pStyle w:val="ListParagraph"/>
        <w:numPr>
          <w:ilvl w:val="0"/>
          <w:numId w:val="67"/>
        </w:numPr>
        <w:tabs>
          <w:tab w:val="left" w:pos="1260"/>
        </w:tabs>
        <w:spacing w:before="240" w:after="120" w:line="276" w:lineRule="auto"/>
        <w:jc w:val="both"/>
        <w:rPr>
          <w:rFonts w:ascii="Times New Roman" w:hAnsi="Times New Roman" w:cs="Times New Roman"/>
          <w:color w:val="000000" w:themeColor="text1"/>
          <w:sz w:val="24"/>
          <w:szCs w:val="24"/>
        </w:rPr>
      </w:pPr>
      <w:r w:rsidRPr="003A7974">
        <w:rPr>
          <w:rFonts w:ascii="Times New Roman" w:hAnsi="Times New Roman" w:cs="Times New Roman"/>
          <w:i/>
          <w:color w:val="000000" w:themeColor="text1"/>
          <w:sz w:val="24"/>
          <w:szCs w:val="24"/>
        </w:rPr>
        <w:t>nu cuprinde</w:t>
      </w:r>
      <w:r w:rsidRPr="003A7974">
        <w:rPr>
          <w:rFonts w:ascii="Times New Roman" w:hAnsi="Times New Roman" w:cs="Times New Roman"/>
          <w:color w:val="000000" w:themeColor="text1"/>
          <w:sz w:val="24"/>
          <w:szCs w:val="24"/>
        </w:rPr>
        <w:t xml:space="preserve"> </w:t>
      </w:r>
      <w:r w:rsidRPr="003A7974">
        <w:rPr>
          <w:rFonts w:ascii="Times New Roman" w:hAnsi="Times New Roman" w:cs="Times New Roman"/>
          <w:i/>
          <w:color w:val="000000" w:themeColor="text1"/>
          <w:sz w:val="24"/>
          <w:szCs w:val="24"/>
        </w:rPr>
        <w:t>acţiuni de perfecţionare profesională</w:t>
      </w:r>
      <w:r w:rsidRPr="003A7974">
        <w:rPr>
          <w:rFonts w:ascii="Times New Roman" w:hAnsi="Times New Roman" w:cs="Times New Roman"/>
          <w:color w:val="000000" w:themeColor="text1"/>
          <w:sz w:val="24"/>
          <w:szCs w:val="24"/>
        </w:rPr>
        <w:t xml:space="preserve"> a personalului de conducere, execuţie şi a auditorilor interni în domeniul SCIM, pentru un număr de </w:t>
      </w:r>
      <w:r w:rsidR="00B45A27" w:rsidRPr="003A7974">
        <w:rPr>
          <w:rFonts w:ascii="Times New Roman" w:hAnsi="Times New Roman" w:cs="Times New Roman"/>
          <w:color w:val="000000" w:themeColor="text1"/>
          <w:sz w:val="24"/>
          <w:szCs w:val="24"/>
        </w:rPr>
        <w:t>4</w:t>
      </w:r>
      <w:r w:rsidRPr="003A7974">
        <w:rPr>
          <w:rFonts w:ascii="Times New Roman" w:hAnsi="Times New Roman" w:cs="Times New Roman"/>
          <w:color w:val="000000" w:themeColor="text1"/>
          <w:sz w:val="24"/>
          <w:szCs w:val="24"/>
        </w:rPr>
        <w:t xml:space="preserve"> entități publice centrale, respectiv </w:t>
      </w:r>
      <w:r w:rsidR="00B45A27" w:rsidRPr="003A7974">
        <w:rPr>
          <w:rFonts w:ascii="Times New Roman" w:hAnsi="Times New Roman" w:cs="Times New Roman"/>
          <w:color w:val="000000" w:themeColor="text1"/>
          <w:sz w:val="24"/>
          <w:szCs w:val="24"/>
        </w:rPr>
        <w:t>8,00</w:t>
      </w:r>
      <w:r w:rsidRPr="003A7974">
        <w:rPr>
          <w:rFonts w:ascii="Times New Roman" w:hAnsi="Times New Roman" w:cs="Times New Roman"/>
          <w:color w:val="000000" w:themeColor="text1"/>
          <w:sz w:val="24"/>
          <w:szCs w:val="24"/>
        </w:rPr>
        <w:t>%.</w:t>
      </w:r>
    </w:p>
    <w:p w:rsidR="00B92231" w:rsidRDefault="00B92231" w:rsidP="00602BDC">
      <w:pPr>
        <w:pStyle w:val="ListParagraph"/>
        <w:spacing w:line="276" w:lineRule="auto"/>
        <w:ind w:left="644"/>
        <w:jc w:val="both"/>
        <w:rPr>
          <w:rFonts w:ascii="Times New Roman" w:hAnsi="Times New Roman" w:cs="Times New Roman"/>
          <w:sz w:val="24"/>
          <w:szCs w:val="24"/>
        </w:rPr>
      </w:pPr>
    </w:p>
    <w:p w:rsidR="00A5194C" w:rsidRPr="00CF64CA" w:rsidRDefault="00A5194C" w:rsidP="00CF64CA">
      <w:pPr>
        <w:pStyle w:val="Raport"/>
        <w:spacing w:after="360"/>
        <w:jc w:val="both"/>
        <w:rPr>
          <w:sz w:val="24"/>
          <w:szCs w:val="24"/>
        </w:rPr>
      </w:pPr>
      <w:bookmarkStart w:id="19" w:name="_Toc485992680"/>
      <w:r w:rsidRPr="00CF64CA">
        <w:rPr>
          <w:sz w:val="24"/>
          <w:szCs w:val="24"/>
        </w:rPr>
        <w:t xml:space="preserve">3.3. Analiza activității de implementării a recomandărilor formulate de </w:t>
      </w:r>
      <w:r w:rsidR="00130D86" w:rsidRPr="00CF64CA">
        <w:rPr>
          <w:sz w:val="24"/>
          <w:szCs w:val="24"/>
        </w:rPr>
        <w:t xml:space="preserve">către </w:t>
      </w:r>
      <w:r w:rsidRPr="00CF64CA">
        <w:rPr>
          <w:sz w:val="24"/>
          <w:szCs w:val="24"/>
        </w:rPr>
        <w:t>DCIMRI în baza misiunilor de verificare</w:t>
      </w:r>
      <w:bookmarkEnd w:id="19"/>
    </w:p>
    <w:p w:rsidR="00CF002C" w:rsidRPr="003A7974" w:rsidRDefault="00E11A3E" w:rsidP="003A7974">
      <w:pPr>
        <w:tabs>
          <w:tab w:val="left" w:pos="851"/>
        </w:tabs>
        <w:spacing w:line="276" w:lineRule="auto"/>
        <w:jc w:val="both"/>
        <w:rPr>
          <w:rFonts w:ascii="Times New Roman" w:hAnsi="Times New Roman" w:cs="Times New Roman"/>
          <w:color w:val="FF0000"/>
          <w:sz w:val="24"/>
          <w:szCs w:val="24"/>
        </w:rPr>
      </w:pPr>
      <w:r w:rsidRPr="003A7974">
        <w:rPr>
          <w:rFonts w:ascii="Times New Roman" w:hAnsi="Times New Roman" w:cs="Times New Roman"/>
          <w:sz w:val="24"/>
          <w:szCs w:val="24"/>
        </w:rPr>
        <w:t>Normele</w:t>
      </w:r>
      <w:r w:rsidR="0030147D" w:rsidRPr="003A7974">
        <w:rPr>
          <w:rFonts w:ascii="Times New Roman" w:hAnsi="Times New Roman" w:cs="Times New Roman"/>
          <w:sz w:val="24"/>
          <w:szCs w:val="24"/>
        </w:rPr>
        <w:t xml:space="preserve"> metodologice privind coordonarea, îndrumarea metodologică și supravegherea prin acțiuni de verificare și îndrumare metodologică a stadiului implementării sistemului de control intern managerial au fost aprobate și publicate în Monitorul Oficial al României nr.</w:t>
      </w:r>
      <w:r w:rsidR="007C773B" w:rsidRPr="003A7974">
        <w:rPr>
          <w:rFonts w:ascii="Times New Roman" w:hAnsi="Times New Roman" w:cs="Times New Roman"/>
          <w:sz w:val="24"/>
          <w:szCs w:val="24"/>
        </w:rPr>
        <w:t>276/12.04.2016.</w:t>
      </w:r>
    </w:p>
    <w:p w:rsidR="0051357A" w:rsidRDefault="009636D1" w:rsidP="003A7974">
      <w:pPr>
        <w:spacing w:line="276" w:lineRule="auto"/>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Scopul normelor metodologice îl reprezintă activitatea de reglementarea a politicii în domeniul sistemului de control intern managerial prin desfășurarea</w:t>
      </w:r>
      <w:r w:rsidRPr="004138A7">
        <w:rPr>
          <w:rFonts w:ascii="Times New Roman" w:hAnsi="Times New Roman" w:cs="Times New Roman"/>
          <w:color w:val="000000" w:themeColor="text1"/>
          <w:sz w:val="24"/>
          <w:szCs w:val="24"/>
        </w:rPr>
        <w:t xml:space="preserve"> activităților de verificare a realității și a exactității raportărilor și de îndrumare metodologică a entităților publice în procesul implementării și dezvoltării sistemului de control intern managerial.</w:t>
      </w:r>
    </w:p>
    <w:p w:rsidR="00C325A4" w:rsidRPr="003A7974" w:rsidRDefault="00C325A4" w:rsidP="003A7974">
      <w:pPr>
        <w:tabs>
          <w:tab w:val="left" w:pos="567"/>
        </w:tabs>
        <w:spacing w:after="120" w:line="276" w:lineRule="auto"/>
        <w:jc w:val="both"/>
        <w:rPr>
          <w:rFonts w:ascii="Times New Roman" w:hAnsi="Times New Roman" w:cs="Times New Roman"/>
          <w:color w:val="000000" w:themeColor="text1"/>
          <w:sz w:val="24"/>
          <w:szCs w:val="24"/>
        </w:rPr>
      </w:pPr>
      <w:r w:rsidRPr="003A7974">
        <w:rPr>
          <w:rFonts w:ascii="Times New Roman" w:hAnsi="Times New Roman" w:cs="Times New Roman"/>
          <w:color w:val="000000" w:themeColor="text1"/>
          <w:sz w:val="24"/>
          <w:szCs w:val="24"/>
        </w:rPr>
        <w:t>Prin aceste norme, urmărirea îndeplinirii recomandărilor stabilite în cadrul misiunii de verificare și îndrumare metodologică</w:t>
      </w:r>
      <w:r w:rsidR="007622B8" w:rsidRPr="003A7974">
        <w:rPr>
          <w:rFonts w:ascii="Times New Roman" w:hAnsi="Times New Roman" w:cs="Times New Roman"/>
          <w:color w:val="000000" w:themeColor="text1"/>
          <w:sz w:val="24"/>
          <w:szCs w:val="24"/>
        </w:rPr>
        <w:t xml:space="preserve"> se realizează prin transmiterea </w:t>
      </w:r>
      <w:r w:rsidR="007622B8" w:rsidRPr="003A7974">
        <w:rPr>
          <w:rFonts w:ascii="Times New Roman" w:hAnsi="Times New Roman" w:cs="Times New Roman"/>
          <w:i/>
          <w:color w:val="000000" w:themeColor="text1"/>
          <w:sz w:val="24"/>
          <w:szCs w:val="24"/>
        </w:rPr>
        <w:t>Planului de implementare a recomandărilor</w:t>
      </w:r>
      <w:r w:rsidR="007622B8" w:rsidRPr="003A7974">
        <w:rPr>
          <w:rFonts w:ascii="Times New Roman" w:hAnsi="Times New Roman" w:cs="Times New Roman"/>
          <w:color w:val="000000" w:themeColor="text1"/>
          <w:sz w:val="24"/>
          <w:szCs w:val="24"/>
        </w:rPr>
        <w:t xml:space="preserve"> de către entitățile publice centrale verificate.</w:t>
      </w:r>
    </w:p>
    <w:p w:rsidR="00B92231" w:rsidRPr="003A7974" w:rsidRDefault="00BD62FB" w:rsidP="003A7974">
      <w:pPr>
        <w:pStyle w:val="ListParagraph"/>
        <w:spacing w:after="120" w:line="276" w:lineRule="auto"/>
        <w:ind w:left="0"/>
        <w:contextualSpacing w:val="0"/>
        <w:jc w:val="both"/>
        <w:rPr>
          <w:rFonts w:ascii="Times New Roman" w:hAnsi="Times New Roman" w:cs="Times New Roman"/>
          <w:color w:val="000000" w:themeColor="text1"/>
          <w:sz w:val="24"/>
          <w:szCs w:val="24"/>
        </w:rPr>
      </w:pPr>
      <w:r w:rsidRPr="003A7974">
        <w:rPr>
          <w:rFonts w:ascii="Times New Roman" w:hAnsi="Times New Roman" w:cs="Times New Roman"/>
          <w:i/>
          <w:color w:val="000000" w:themeColor="text1"/>
          <w:sz w:val="24"/>
          <w:szCs w:val="24"/>
        </w:rPr>
        <w:t>Normele</w:t>
      </w:r>
      <w:r w:rsidR="007C773B" w:rsidRPr="003A7974">
        <w:rPr>
          <w:rFonts w:ascii="Times New Roman" w:hAnsi="Times New Roman" w:cs="Times New Roman"/>
          <w:i/>
          <w:color w:val="000000" w:themeColor="text1"/>
          <w:sz w:val="24"/>
          <w:szCs w:val="24"/>
        </w:rPr>
        <w:t xml:space="preserve"> metodologice privind coordonarea, îndrumarea metodologică și supravegherea prin acțiuni de verificare și îndrumare metodologică a stadiului implementării sistemului de control intern managerial</w:t>
      </w:r>
      <w:r w:rsidR="007C773B" w:rsidRPr="003A7974">
        <w:rPr>
          <w:rFonts w:ascii="Times New Roman" w:hAnsi="Times New Roman" w:cs="Times New Roman"/>
          <w:color w:val="000000" w:themeColor="text1"/>
          <w:sz w:val="24"/>
          <w:szCs w:val="24"/>
        </w:rPr>
        <w:t xml:space="preserve"> a</w:t>
      </w:r>
      <w:r w:rsidRPr="003A7974">
        <w:rPr>
          <w:rFonts w:ascii="Times New Roman" w:hAnsi="Times New Roman" w:cs="Times New Roman"/>
          <w:color w:val="000000" w:themeColor="text1"/>
          <w:sz w:val="24"/>
          <w:szCs w:val="24"/>
        </w:rPr>
        <w:t>u</w:t>
      </w:r>
      <w:r w:rsidR="007C773B" w:rsidRPr="003A7974">
        <w:rPr>
          <w:rFonts w:ascii="Times New Roman" w:hAnsi="Times New Roman" w:cs="Times New Roman"/>
          <w:color w:val="000000" w:themeColor="text1"/>
          <w:sz w:val="24"/>
          <w:szCs w:val="24"/>
        </w:rPr>
        <w:t xml:space="preserve"> fost </w:t>
      </w:r>
      <w:r w:rsidRPr="003A7974">
        <w:rPr>
          <w:rFonts w:ascii="Times New Roman" w:hAnsi="Times New Roman" w:cs="Times New Roman"/>
          <w:color w:val="000000" w:themeColor="text1"/>
          <w:sz w:val="24"/>
          <w:szCs w:val="24"/>
        </w:rPr>
        <w:t xml:space="preserve">aprobate </w:t>
      </w:r>
      <w:r w:rsidR="007C773B" w:rsidRPr="003A7974">
        <w:rPr>
          <w:rFonts w:ascii="Times New Roman" w:hAnsi="Times New Roman" w:cs="Times New Roman"/>
          <w:color w:val="000000" w:themeColor="text1"/>
          <w:sz w:val="24"/>
          <w:szCs w:val="24"/>
        </w:rPr>
        <w:t xml:space="preserve">în cursul </w:t>
      </w:r>
      <w:r w:rsidR="00B92231" w:rsidRPr="003A7974">
        <w:rPr>
          <w:rFonts w:ascii="Times New Roman" w:hAnsi="Times New Roman" w:cs="Times New Roman"/>
          <w:color w:val="000000" w:themeColor="text1"/>
          <w:sz w:val="24"/>
          <w:szCs w:val="24"/>
        </w:rPr>
        <w:t>anul</w:t>
      </w:r>
      <w:r w:rsidR="007C773B" w:rsidRPr="003A7974">
        <w:rPr>
          <w:rFonts w:ascii="Times New Roman" w:hAnsi="Times New Roman" w:cs="Times New Roman"/>
          <w:color w:val="000000" w:themeColor="text1"/>
          <w:sz w:val="24"/>
          <w:szCs w:val="24"/>
        </w:rPr>
        <w:t>ui</w:t>
      </w:r>
      <w:r w:rsidRPr="003A7974">
        <w:rPr>
          <w:rFonts w:ascii="Times New Roman" w:hAnsi="Times New Roman" w:cs="Times New Roman"/>
          <w:color w:val="000000" w:themeColor="text1"/>
          <w:sz w:val="24"/>
          <w:szCs w:val="24"/>
        </w:rPr>
        <w:t xml:space="preserve"> </w:t>
      </w:r>
      <w:r w:rsidR="007C773B" w:rsidRPr="003A7974">
        <w:rPr>
          <w:rFonts w:ascii="Times New Roman" w:hAnsi="Times New Roman" w:cs="Times New Roman"/>
          <w:color w:val="000000" w:themeColor="text1"/>
          <w:sz w:val="24"/>
          <w:szCs w:val="24"/>
        </w:rPr>
        <w:t>2016,</w:t>
      </w:r>
      <w:r w:rsidR="00B45A27" w:rsidRPr="003A7974">
        <w:rPr>
          <w:rFonts w:ascii="Times New Roman" w:hAnsi="Times New Roman" w:cs="Times New Roman"/>
          <w:color w:val="000000" w:themeColor="text1"/>
          <w:sz w:val="24"/>
          <w:szCs w:val="24"/>
        </w:rPr>
        <w:t xml:space="preserve"> iar </w:t>
      </w:r>
      <w:r w:rsidR="009636D1" w:rsidRPr="003A7974">
        <w:rPr>
          <w:rFonts w:ascii="Times New Roman" w:hAnsi="Times New Roman" w:cs="Times New Roman"/>
          <w:color w:val="000000" w:themeColor="text1"/>
          <w:sz w:val="24"/>
          <w:szCs w:val="24"/>
        </w:rPr>
        <w:t xml:space="preserve">activitatea de implementare a recomandărilor formulate de către DCIMRI </w:t>
      </w:r>
      <w:r w:rsidR="007C773B" w:rsidRPr="003A7974">
        <w:rPr>
          <w:rFonts w:ascii="Times New Roman" w:hAnsi="Times New Roman" w:cs="Times New Roman"/>
          <w:color w:val="000000" w:themeColor="text1"/>
          <w:sz w:val="24"/>
          <w:szCs w:val="24"/>
        </w:rPr>
        <w:t xml:space="preserve">în cadrul misiunilor de verificare și îndrumare metodologică la instituţiile publice centrale </w:t>
      </w:r>
      <w:r w:rsidR="009636D1" w:rsidRPr="003A7974">
        <w:rPr>
          <w:rFonts w:ascii="Times New Roman" w:hAnsi="Times New Roman" w:cs="Times New Roman"/>
          <w:color w:val="000000" w:themeColor="text1"/>
          <w:sz w:val="24"/>
          <w:szCs w:val="24"/>
        </w:rPr>
        <w:t>s</w:t>
      </w:r>
      <w:r w:rsidR="00B45A27" w:rsidRPr="003A7974">
        <w:rPr>
          <w:rFonts w:ascii="Times New Roman" w:hAnsi="Times New Roman" w:cs="Times New Roman"/>
          <w:color w:val="000000" w:themeColor="text1"/>
          <w:sz w:val="24"/>
          <w:szCs w:val="24"/>
        </w:rPr>
        <w:t>-a</w:t>
      </w:r>
      <w:r w:rsidR="009636D1" w:rsidRPr="003A7974">
        <w:rPr>
          <w:rFonts w:ascii="Times New Roman" w:hAnsi="Times New Roman" w:cs="Times New Roman"/>
          <w:color w:val="000000" w:themeColor="text1"/>
          <w:sz w:val="24"/>
          <w:szCs w:val="24"/>
        </w:rPr>
        <w:t xml:space="preserve"> </w:t>
      </w:r>
      <w:r w:rsidR="00584623" w:rsidRPr="003A7974">
        <w:rPr>
          <w:rFonts w:ascii="Times New Roman" w:hAnsi="Times New Roman" w:cs="Times New Roman"/>
          <w:color w:val="000000" w:themeColor="text1"/>
          <w:sz w:val="24"/>
          <w:szCs w:val="24"/>
        </w:rPr>
        <w:t>desfăș</w:t>
      </w:r>
      <w:r w:rsidR="00B45A27" w:rsidRPr="003A7974">
        <w:rPr>
          <w:rFonts w:ascii="Times New Roman" w:hAnsi="Times New Roman" w:cs="Times New Roman"/>
          <w:color w:val="000000" w:themeColor="text1"/>
          <w:sz w:val="24"/>
          <w:szCs w:val="24"/>
        </w:rPr>
        <w:t>urat</w:t>
      </w:r>
      <w:r w:rsidR="009636D1" w:rsidRPr="003A7974">
        <w:rPr>
          <w:rFonts w:ascii="Times New Roman" w:hAnsi="Times New Roman" w:cs="Times New Roman"/>
          <w:color w:val="000000" w:themeColor="text1"/>
          <w:sz w:val="24"/>
          <w:szCs w:val="24"/>
        </w:rPr>
        <w:t xml:space="preserve"> </w:t>
      </w:r>
      <w:r w:rsidR="00B45A27" w:rsidRPr="003A7974">
        <w:rPr>
          <w:rFonts w:ascii="Times New Roman" w:hAnsi="Times New Roman" w:cs="Times New Roman"/>
          <w:color w:val="000000" w:themeColor="text1"/>
          <w:sz w:val="24"/>
          <w:szCs w:val="24"/>
        </w:rPr>
        <w:t>până la finele</w:t>
      </w:r>
      <w:r w:rsidR="009636D1" w:rsidRPr="003A7974">
        <w:rPr>
          <w:rFonts w:ascii="Times New Roman" w:hAnsi="Times New Roman" w:cs="Times New Roman"/>
          <w:color w:val="000000" w:themeColor="text1"/>
          <w:sz w:val="24"/>
          <w:szCs w:val="24"/>
        </w:rPr>
        <w:t xml:space="preserve"> anul</w:t>
      </w:r>
      <w:r w:rsidR="006033E5" w:rsidRPr="003A7974">
        <w:rPr>
          <w:rFonts w:ascii="Times New Roman" w:hAnsi="Times New Roman" w:cs="Times New Roman"/>
          <w:color w:val="000000" w:themeColor="text1"/>
          <w:sz w:val="24"/>
          <w:szCs w:val="24"/>
        </w:rPr>
        <w:t>ui</w:t>
      </w:r>
      <w:r w:rsidR="009636D1" w:rsidRPr="003A7974">
        <w:rPr>
          <w:rFonts w:ascii="Times New Roman" w:hAnsi="Times New Roman" w:cs="Times New Roman"/>
          <w:color w:val="000000" w:themeColor="text1"/>
          <w:sz w:val="24"/>
          <w:szCs w:val="24"/>
        </w:rPr>
        <w:t xml:space="preserve"> </w:t>
      </w:r>
      <w:r w:rsidR="00B45A27" w:rsidRPr="003A7974">
        <w:rPr>
          <w:rFonts w:ascii="Times New Roman" w:hAnsi="Times New Roman" w:cs="Times New Roman"/>
          <w:color w:val="000000" w:themeColor="text1"/>
          <w:sz w:val="24"/>
          <w:szCs w:val="24"/>
        </w:rPr>
        <w:t>2016</w:t>
      </w:r>
      <w:r w:rsidR="009636D1" w:rsidRPr="003A7974">
        <w:rPr>
          <w:rFonts w:ascii="Times New Roman" w:hAnsi="Times New Roman" w:cs="Times New Roman"/>
          <w:color w:val="000000" w:themeColor="text1"/>
          <w:sz w:val="24"/>
          <w:szCs w:val="24"/>
        </w:rPr>
        <w:t>.</w:t>
      </w:r>
    </w:p>
    <w:p w:rsidR="00E11A3E" w:rsidRPr="00D931A1" w:rsidRDefault="00E11A3E" w:rsidP="00D931A1">
      <w:pPr>
        <w:tabs>
          <w:tab w:val="left" w:pos="567"/>
          <w:tab w:val="left" w:pos="851"/>
        </w:tabs>
        <w:spacing w:after="0" w:line="276" w:lineRule="auto"/>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 xml:space="preserve">Următoarele entități publice au transmis </w:t>
      </w:r>
      <w:r w:rsidRPr="00D931A1">
        <w:rPr>
          <w:rFonts w:ascii="Times New Roman" w:hAnsi="Times New Roman" w:cs="Times New Roman"/>
          <w:b/>
          <w:color w:val="000000" w:themeColor="text1"/>
          <w:sz w:val="24"/>
          <w:szCs w:val="24"/>
        </w:rPr>
        <w:t>Planul de implementare a recomandărilor</w:t>
      </w:r>
      <w:r w:rsidRPr="00D931A1">
        <w:rPr>
          <w:rFonts w:ascii="Times New Roman" w:hAnsi="Times New Roman" w:cs="Times New Roman"/>
          <w:color w:val="000000" w:themeColor="text1"/>
          <w:sz w:val="24"/>
          <w:szCs w:val="24"/>
        </w:rPr>
        <w:t>,  stabilite în cadrul misiunilor de verificare și îndrumare metodologică:</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1.</w:t>
      </w:r>
      <w:r w:rsidRPr="00D931A1">
        <w:rPr>
          <w:rFonts w:ascii="Times New Roman" w:hAnsi="Times New Roman" w:cs="Times New Roman"/>
          <w:color w:val="000000" w:themeColor="text1"/>
          <w:sz w:val="24"/>
          <w:szCs w:val="24"/>
        </w:rPr>
        <w:tab/>
        <w:t>Regia Autonomă Monitorul Oficial</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2.</w:t>
      </w:r>
      <w:r w:rsidRPr="00D931A1">
        <w:rPr>
          <w:rFonts w:ascii="Times New Roman" w:hAnsi="Times New Roman" w:cs="Times New Roman"/>
          <w:color w:val="000000" w:themeColor="text1"/>
          <w:sz w:val="24"/>
          <w:szCs w:val="24"/>
        </w:rPr>
        <w:tab/>
        <w:t>Comisia Națională pentru Controlul Activităților Nucleare</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3.</w:t>
      </w:r>
      <w:r w:rsidRPr="00D931A1">
        <w:rPr>
          <w:rFonts w:ascii="Times New Roman" w:hAnsi="Times New Roman" w:cs="Times New Roman"/>
          <w:color w:val="000000" w:themeColor="text1"/>
          <w:sz w:val="24"/>
          <w:szCs w:val="24"/>
        </w:rPr>
        <w:tab/>
        <w:t>Institutul Național de Statistică</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4.</w:t>
      </w:r>
      <w:r w:rsidRPr="00D931A1">
        <w:rPr>
          <w:rFonts w:ascii="Times New Roman" w:hAnsi="Times New Roman" w:cs="Times New Roman"/>
          <w:color w:val="000000" w:themeColor="text1"/>
          <w:sz w:val="24"/>
          <w:szCs w:val="24"/>
        </w:rPr>
        <w:tab/>
        <w:t>Oficiul Național pentru Jocurile de Noroc</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5.</w:t>
      </w:r>
      <w:r w:rsidRPr="00D931A1">
        <w:rPr>
          <w:rFonts w:ascii="Times New Roman" w:hAnsi="Times New Roman" w:cs="Times New Roman"/>
          <w:color w:val="000000" w:themeColor="text1"/>
          <w:sz w:val="24"/>
          <w:szCs w:val="24"/>
        </w:rPr>
        <w:tab/>
        <w:t>Agenția Domeniilor Statului</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6.</w:t>
      </w:r>
      <w:r w:rsidRPr="00D931A1">
        <w:rPr>
          <w:rFonts w:ascii="Times New Roman" w:hAnsi="Times New Roman" w:cs="Times New Roman"/>
          <w:color w:val="000000" w:themeColor="text1"/>
          <w:sz w:val="24"/>
          <w:szCs w:val="24"/>
        </w:rPr>
        <w:tab/>
        <w:t>Departamentul pentru Relația cu Parlamentul</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7.</w:t>
      </w:r>
      <w:r w:rsidRPr="00D931A1">
        <w:rPr>
          <w:rFonts w:ascii="Times New Roman" w:hAnsi="Times New Roman" w:cs="Times New Roman"/>
          <w:color w:val="000000" w:themeColor="text1"/>
          <w:sz w:val="24"/>
          <w:szCs w:val="24"/>
        </w:rPr>
        <w:tab/>
        <w:t>Departamentul pentru Luptă Antifraudă</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8.</w:t>
      </w:r>
      <w:r w:rsidRPr="00D931A1">
        <w:rPr>
          <w:rFonts w:ascii="Times New Roman" w:hAnsi="Times New Roman" w:cs="Times New Roman"/>
          <w:color w:val="000000" w:themeColor="text1"/>
          <w:sz w:val="24"/>
          <w:szCs w:val="24"/>
        </w:rPr>
        <w:tab/>
        <w:t>Secretariatul de Stat pentru Culte</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9.</w:t>
      </w:r>
      <w:r w:rsidRPr="00D931A1">
        <w:rPr>
          <w:rFonts w:ascii="Times New Roman" w:hAnsi="Times New Roman" w:cs="Times New Roman"/>
          <w:color w:val="000000" w:themeColor="text1"/>
          <w:sz w:val="24"/>
          <w:szCs w:val="24"/>
        </w:rPr>
        <w:tab/>
        <w:t>Agenția Națională pentru Resurse Minerale</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10.</w:t>
      </w:r>
      <w:r w:rsidRPr="00D931A1">
        <w:rPr>
          <w:rFonts w:ascii="Times New Roman" w:hAnsi="Times New Roman" w:cs="Times New Roman"/>
          <w:color w:val="000000" w:themeColor="text1"/>
          <w:sz w:val="24"/>
          <w:szCs w:val="24"/>
        </w:rPr>
        <w:tab/>
        <w:t>Autoritatea Națională de Management al Calității în Sănătate</w:t>
      </w:r>
    </w:p>
    <w:p w:rsidR="00E11A3E" w:rsidRPr="00D931A1" w:rsidRDefault="00E11A3E" w:rsidP="00D931A1">
      <w:pPr>
        <w:tabs>
          <w:tab w:val="left" w:pos="567"/>
          <w:tab w:val="left" w:pos="851"/>
        </w:tabs>
        <w:spacing w:after="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i/>
          <w:color w:val="000000" w:themeColor="text1"/>
          <w:sz w:val="24"/>
          <w:szCs w:val="24"/>
        </w:rPr>
        <w:t>Recomandările  aferente anului 2016 au fost implementate în totalitate de către</w:t>
      </w:r>
      <w:r w:rsidRPr="00D931A1">
        <w:rPr>
          <w:rFonts w:ascii="Times New Roman" w:hAnsi="Times New Roman" w:cs="Times New Roman"/>
          <w:color w:val="000000" w:themeColor="text1"/>
          <w:sz w:val="24"/>
          <w:szCs w:val="24"/>
        </w:rPr>
        <w:t xml:space="preserve"> :</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1.</w:t>
      </w:r>
      <w:r w:rsidRPr="00D931A1">
        <w:rPr>
          <w:rFonts w:ascii="Times New Roman" w:hAnsi="Times New Roman" w:cs="Times New Roman"/>
          <w:color w:val="000000" w:themeColor="text1"/>
          <w:sz w:val="24"/>
          <w:szCs w:val="24"/>
        </w:rPr>
        <w:tab/>
        <w:t>Regia Autonomă Monitorul Oficial</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2.</w:t>
      </w:r>
      <w:r w:rsidRPr="00D931A1">
        <w:rPr>
          <w:rFonts w:ascii="Times New Roman" w:hAnsi="Times New Roman" w:cs="Times New Roman"/>
          <w:color w:val="000000" w:themeColor="text1"/>
          <w:sz w:val="24"/>
          <w:szCs w:val="24"/>
        </w:rPr>
        <w:tab/>
        <w:t>Departamentul pentru Luptă Antifraudă</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3.</w:t>
      </w:r>
      <w:r w:rsidRPr="00D931A1">
        <w:rPr>
          <w:rFonts w:ascii="Times New Roman" w:hAnsi="Times New Roman" w:cs="Times New Roman"/>
          <w:color w:val="000000" w:themeColor="text1"/>
          <w:sz w:val="24"/>
          <w:szCs w:val="24"/>
        </w:rPr>
        <w:tab/>
        <w:t>Secretariatul de Stat pentru Culte</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4.</w:t>
      </w:r>
      <w:r w:rsidRPr="00D931A1">
        <w:rPr>
          <w:rFonts w:ascii="Times New Roman" w:hAnsi="Times New Roman" w:cs="Times New Roman"/>
          <w:color w:val="000000" w:themeColor="text1"/>
          <w:sz w:val="24"/>
          <w:szCs w:val="24"/>
        </w:rPr>
        <w:tab/>
        <w:t>Autoritatea Națională de Management al Calității în Sănătate</w:t>
      </w:r>
    </w:p>
    <w:p w:rsidR="00E11A3E" w:rsidRPr="00D931A1" w:rsidRDefault="00E11A3E" w:rsidP="00D931A1">
      <w:pPr>
        <w:tabs>
          <w:tab w:val="left" w:pos="567"/>
          <w:tab w:val="left" w:pos="851"/>
        </w:tabs>
        <w:spacing w:after="0" w:line="276" w:lineRule="auto"/>
        <w:ind w:firstLine="142"/>
        <w:jc w:val="both"/>
        <w:rPr>
          <w:rFonts w:ascii="Times New Roman" w:hAnsi="Times New Roman" w:cs="Times New Roman"/>
          <w:i/>
          <w:color w:val="000000" w:themeColor="text1"/>
          <w:sz w:val="24"/>
          <w:szCs w:val="24"/>
        </w:rPr>
      </w:pPr>
      <w:r w:rsidRPr="00D931A1">
        <w:rPr>
          <w:rFonts w:ascii="Times New Roman" w:hAnsi="Times New Roman" w:cs="Times New Roman"/>
          <w:i/>
          <w:color w:val="000000" w:themeColor="text1"/>
          <w:sz w:val="24"/>
          <w:szCs w:val="24"/>
        </w:rPr>
        <w:t>Recomandările  aferente anului 2016 au fost implementate parțial de către :</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1.</w:t>
      </w:r>
      <w:r w:rsidRPr="00D931A1">
        <w:rPr>
          <w:rFonts w:ascii="Times New Roman" w:hAnsi="Times New Roman" w:cs="Times New Roman"/>
          <w:color w:val="000000" w:themeColor="text1"/>
          <w:sz w:val="24"/>
          <w:szCs w:val="24"/>
        </w:rPr>
        <w:tab/>
        <w:t>Comisia Națională pentru Controlul Activităților Nucleare</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2.</w:t>
      </w:r>
      <w:r w:rsidRPr="00D931A1">
        <w:rPr>
          <w:rFonts w:ascii="Times New Roman" w:hAnsi="Times New Roman" w:cs="Times New Roman"/>
          <w:color w:val="000000" w:themeColor="text1"/>
          <w:sz w:val="24"/>
          <w:szCs w:val="24"/>
        </w:rPr>
        <w:tab/>
        <w:t>Institutul Național de Statistică</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3.</w:t>
      </w:r>
      <w:r w:rsidRPr="00D931A1">
        <w:rPr>
          <w:rFonts w:ascii="Times New Roman" w:hAnsi="Times New Roman" w:cs="Times New Roman"/>
          <w:color w:val="000000" w:themeColor="text1"/>
          <w:sz w:val="24"/>
          <w:szCs w:val="24"/>
        </w:rPr>
        <w:tab/>
        <w:t>Oficiul Național pentru Jocurile de Noroc</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4.</w:t>
      </w:r>
      <w:r w:rsidRPr="00D931A1">
        <w:rPr>
          <w:rFonts w:ascii="Times New Roman" w:hAnsi="Times New Roman" w:cs="Times New Roman"/>
          <w:color w:val="000000" w:themeColor="text1"/>
          <w:sz w:val="24"/>
          <w:szCs w:val="24"/>
        </w:rPr>
        <w:tab/>
        <w:t>Agenția Domeniilor Statului</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5.</w:t>
      </w:r>
      <w:r w:rsidRPr="00D931A1">
        <w:rPr>
          <w:rFonts w:ascii="Times New Roman" w:hAnsi="Times New Roman" w:cs="Times New Roman"/>
          <w:color w:val="000000" w:themeColor="text1"/>
          <w:sz w:val="24"/>
          <w:szCs w:val="24"/>
        </w:rPr>
        <w:tab/>
        <w:t>Departamentul pentru Relația cu Parlamentul</w:t>
      </w:r>
    </w:p>
    <w:p w:rsidR="00E11A3E" w:rsidRPr="00D931A1" w:rsidRDefault="00E11A3E" w:rsidP="00D931A1">
      <w:pPr>
        <w:tabs>
          <w:tab w:val="left" w:pos="567"/>
          <w:tab w:val="left" w:pos="851"/>
        </w:tabs>
        <w:spacing w:after="120" w:line="276" w:lineRule="auto"/>
        <w:ind w:firstLine="142"/>
        <w:jc w:val="both"/>
        <w:rPr>
          <w:rFonts w:ascii="Times New Roman" w:hAnsi="Times New Roman" w:cs="Times New Roman"/>
          <w:color w:val="000000" w:themeColor="text1"/>
          <w:sz w:val="24"/>
          <w:szCs w:val="24"/>
        </w:rPr>
      </w:pPr>
      <w:r w:rsidRPr="00D931A1">
        <w:rPr>
          <w:rFonts w:ascii="Times New Roman" w:hAnsi="Times New Roman" w:cs="Times New Roman"/>
          <w:color w:val="000000" w:themeColor="text1"/>
          <w:sz w:val="24"/>
          <w:szCs w:val="24"/>
        </w:rPr>
        <w:t>6.</w:t>
      </w:r>
      <w:r w:rsidRPr="00D931A1">
        <w:rPr>
          <w:rFonts w:ascii="Times New Roman" w:hAnsi="Times New Roman" w:cs="Times New Roman"/>
          <w:color w:val="000000" w:themeColor="text1"/>
          <w:sz w:val="24"/>
          <w:szCs w:val="24"/>
        </w:rPr>
        <w:tab/>
        <w:t>Agenția Națională pentru Resurse Minerale</w:t>
      </w:r>
    </w:p>
    <w:p w:rsidR="00B836CA" w:rsidRPr="007D3FE6" w:rsidRDefault="00D931A1" w:rsidP="00D931A1">
      <w:pPr>
        <w:pStyle w:val="Raport"/>
        <w:spacing w:after="360"/>
        <w:jc w:val="both"/>
        <w:rPr>
          <w:sz w:val="24"/>
          <w:szCs w:val="24"/>
        </w:rPr>
      </w:pPr>
      <w:bookmarkStart w:id="20" w:name="_Toc485992681"/>
      <w:r w:rsidRPr="007D3FE6">
        <w:rPr>
          <w:sz w:val="24"/>
          <w:szCs w:val="24"/>
        </w:rPr>
        <w:t>CAP.</w:t>
      </w:r>
      <w:r w:rsidR="00154E06" w:rsidRPr="007D3FE6">
        <w:rPr>
          <w:sz w:val="24"/>
          <w:szCs w:val="24"/>
        </w:rPr>
        <w:t>4 CONCLUZII ȘI PROPUNERI DE MĂSURI PENTRU DEZVOLTAREA SISTEMELOR DE CONTROL INTERN MANAGERIAL ÎN CADRUL ENTITĂŢILE PUBLICE CENTRALE</w:t>
      </w:r>
      <w:bookmarkEnd w:id="20"/>
    </w:p>
    <w:p w:rsidR="009A2669" w:rsidRPr="009D4AA2" w:rsidRDefault="00644AC7" w:rsidP="009D4AA2">
      <w:pPr>
        <w:widowControl w:val="0"/>
        <w:tabs>
          <w:tab w:val="left" w:pos="567"/>
          <w:tab w:val="left" w:pos="6525"/>
        </w:tabs>
        <w:autoSpaceDE w:val="0"/>
        <w:autoSpaceDN w:val="0"/>
        <w:adjustRightInd w:val="0"/>
        <w:spacing w:before="120" w:after="120" w:line="276" w:lineRule="auto"/>
        <w:jc w:val="both"/>
        <w:rPr>
          <w:rFonts w:ascii="Times New Roman" w:eastAsia="Times New Roman" w:hAnsi="Times New Roman" w:cs="Times New Roman"/>
          <w:noProof/>
          <w:color w:val="000000" w:themeColor="text1"/>
          <w:sz w:val="24"/>
          <w:szCs w:val="24"/>
          <w:lang w:eastAsia="sk-SK"/>
        </w:rPr>
      </w:pPr>
      <w:r w:rsidRPr="009D4AA2">
        <w:rPr>
          <w:rFonts w:ascii="Times New Roman" w:eastAsia="Times New Roman" w:hAnsi="Times New Roman" w:cs="Times New Roman"/>
          <w:noProof/>
          <w:color w:val="000000" w:themeColor="text1"/>
          <w:sz w:val="24"/>
          <w:szCs w:val="24"/>
          <w:lang w:eastAsia="sk-SK"/>
        </w:rPr>
        <w:t>În urma evaluării sistemelo</w:t>
      </w:r>
      <w:r w:rsidR="00F959D4" w:rsidRPr="009D4AA2">
        <w:rPr>
          <w:rFonts w:ascii="Times New Roman" w:eastAsia="Times New Roman" w:hAnsi="Times New Roman" w:cs="Times New Roman"/>
          <w:noProof/>
          <w:color w:val="000000" w:themeColor="text1"/>
          <w:sz w:val="24"/>
          <w:szCs w:val="24"/>
          <w:lang w:eastAsia="sk-SK"/>
        </w:rPr>
        <w:t>r de control intern managerial pentru anul 201</w:t>
      </w:r>
      <w:r w:rsidR="00E11A3E" w:rsidRPr="009D4AA2">
        <w:rPr>
          <w:rFonts w:ascii="Times New Roman" w:eastAsia="Times New Roman" w:hAnsi="Times New Roman" w:cs="Times New Roman"/>
          <w:noProof/>
          <w:color w:val="000000" w:themeColor="text1"/>
          <w:sz w:val="24"/>
          <w:szCs w:val="24"/>
          <w:lang w:eastAsia="sk-SK"/>
        </w:rPr>
        <w:t>6</w:t>
      </w:r>
      <w:r w:rsidR="00F959D4" w:rsidRPr="009D4AA2">
        <w:rPr>
          <w:rFonts w:ascii="Times New Roman" w:eastAsia="Times New Roman" w:hAnsi="Times New Roman" w:cs="Times New Roman"/>
          <w:noProof/>
          <w:color w:val="000000" w:themeColor="text1"/>
          <w:sz w:val="24"/>
          <w:szCs w:val="24"/>
          <w:lang w:eastAsia="sk-SK"/>
        </w:rPr>
        <w:t xml:space="preserve">, </w:t>
      </w:r>
      <w:r w:rsidRPr="009D4AA2">
        <w:rPr>
          <w:rFonts w:ascii="Times New Roman" w:eastAsia="Times New Roman" w:hAnsi="Times New Roman" w:cs="Times New Roman"/>
          <w:noProof/>
          <w:color w:val="000000" w:themeColor="text1"/>
          <w:sz w:val="24"/>
          <w:szCs w:val="24"/>
          <w:lang w:eastAsia="sk-SK"/>
        </w:rPr>
        <w:t>pe baza raportărilor ordonatorilor principali de credite s-au constatat următoarele:</w:t>
      </w:r>
    </w:p>
    <w:p w:rsidR="00287874" w:rsidRPr="007D3FE6" w:rsidRDefault="00CA16E5" w:rsidP="009D4AA2">
      <w:pPr>
        <w:pStyle w:val="Raport"/>
        <w:spacing w:after="360"/>
        <w:rPr>
          <w:rFonts w:eastAsia="Times New Roman"/>
          <w:noProof/>
          <w:sz w:val="24"/>
          <w:szCs w:val="24"/>
          <w:lang w:eastAsia="sk-SK"/>
        </w:rPr>
      </w:pPr>
      <w:bookmarkStart w:id="21" w:name="_Toc485992682"/>
      <w:r w:rsidRPr="007D3FE6">
        <w:rPr>
          <w:rFonts w:eastAsia="Times New Roman"/>
          <w:noProof/>
          <w:sz w:val="24"/>
          <w:szCs w:val="24"/>
          <w:lang w:eastAsia="sk-SK"/>
        </w:rPr>
        <w:t>4.1.</w:t>
      </w:r>
      <w:r w:rsidR="00287874" w:rsidRPr="007D3FE6">
        <w:rPr>
          <w:rFonts w:eastAsia="Times New Roman"/>
          <w:noProof/>
          <w:sz w:val="24"/>
          <w:szCs w:val="24"/>
          <w:lang w:eastAsia="sk-SK"/>
        </w:rPr>
        <w:t xml:space="preserve"> </w:t>
      </w:r>
      <w:r w:rsidR="0054347A" w:rsidRPr="007D3FE6">
        <w:rPr>
          <w:rFonts w:eastAsia="Times New Roman"/>
          <w:noProof/>
          <w:sz w:val="24"/>
          <w:szCs w:val="24"/>
          <w:lang w:eastAsia="sk-SK"/>
        </w:rPr>
        <w:t xml:space="preserve">Situația centralizatoare </w:t>
      </w:r>
      <w:r w:rsidR="00330F31" w:rsidRPr="007D3FE6">
        <w:rPr>
          <w:sz w:val="24"/>
          <w:szCs w:val="24"/>
        </w:rPr>
        <w:t>privind stadiul implementării și dezvoltării SCIM la data de 31 decembrie 201</w:t>
      </w:r>
      <w:r w:rsidR="00B45A27" w:rsidRPr="007D3FE6">
        <w:rPr>
          <w:sz w:val="24"/>
          <w:szCs w:val="24"/>
        </w:rPr>
        <w:t>6</w:t>
      </w:r>
      <w:r w:rsidR="00330F31" w:rsidRPr="007D3FE6">
        <w:rPr>
          <w:sz w:val="24"/>
          <w:szCs w:val="24"/>
        </w:rPr>
        <w:t>,</w:t>
      </w:r>
      <w:r w:rsidR="0054347A" w:rsidRPr="007D3FE6">
        <w:rPr>
          <w:rFonts w:eastAsia="Times New Roman"/>
          <w:noProof/>
          <w:sz w:val="24"/>
          <w:szCs w:val="24"/>
          <w:lang w:eastAsia="sk-SK"/>
        </w:rPr>
        <w:t xml:space="preserve"> Anexa </w:t>
      </w:r>
      <w:r w:rsidR="00330F31" w:rsidRPr="007D3FE6">
        <w:rPr>
          <w:rFonts w:eastAsia="Times New Roman"/>
          <w:noProof/>
          <w:sz w:val="24"/>
          <w:szCs w:val="24"/>
          <w:lang w:eastAsia="sk-SK"/>
        </w:rPr>
        <w:t>3</w:t>
      </w:r>
      <w:r w:rsidR="009D4AA2" w:rsidRPr="007D3FE6">
        <w:rPr>
          <w:rFonts w:eastAsia="Times New Roman"/>
          <w:noProof/>
          <w:sz w:val="24"/>
          <w:szCs w:val="24"/>
          <w:lang w:eastAsia="sk-SK"/>
        </w:rPr>
        <w:t>,</w:t>
      </w:r>
      <w:r w:rsidR="00330F31" w:rsidRPr="007D3FE6">
        <w:rPr>
          <w:rFonts w:eastAsia="Times New Roman"/>
          <w:noProof/>
          <w:sz w:val="24"/>
          <w:szCs w:val="24"/>
          <w:lang w:eastAsia="sk-SK"/>
        </w:rPr>
        <w:t xml:space="preserve"> Cap. I – Informații generale</w:t>
      </w:r>
      <w:bookmarkEnd w:id="21"/>
    </w:p>
    <w:p w:rsidR="00CA16E5" w:rsidRPr="009D4AA2" w:rsidRDefault="00CA16E5" w:rsidP="009D4AA2">
      <w:pPr>
        <w:pStyle w:val="ListParagraph"/>
        <w:tabs>
          <w:tab w:val="left" w:pos="900"/>
          <w:tab w:val="left" w:pos="993"/>
        </w:tabs>
        <w:spacing w:after="120" w:line="276" w:lineRule="auto"/>
        <w:ind w:left="0"/>
        <w:contextualSpacing w:val="0"/>
        <w:jc w:val="both"/>
        <w:rPr>
          <w:rFonts w:ascii="Times New Roman" w:hAnsi="Times New Roman" w:cs="Times New Roman"/>
          <w:color w:val="000000" w:themeColor="text1"/>
          <w:sz w:val="24"/>
          <w:szCs w:val="24"/>
        </w:rPr>
      </w:pPr>
      <w:r w:rsidRPr="009D4AA2">
        <w:rPr>
          <w:rFonts w:ascii="Times New Roman" w:hAnsi="Times New Roman" w:cs="Times New Roman"/>
          <w:color w:val="000000" w:themeColor="text1"/>
          <w:sz w:val="24"/>
          <w:szCs w:val="24"/>
        </w:rPr>
        <w:t xml:space="preserve">Prin centralizarea informațiile transmise de entitățile publice centrale, DCIMRI a elaborat </w:t>
      </w:r>
      <w:r w:rsidR="00F2349F" w:rsidRPr="009D4AA2">
        <w:rPr>
          <w:rFonts w:ascii="Times New Roman" w:hAnsi="Times New Roman" w:cs="Times New Roman"/>
          <w:color w:val="000000" w:themeColor="text1"/>
          <w:sz w:val="24"/>
          <w:szCs w:val="24"/>
        </w:rPr>
        <w:t>C</w:t>
      </w:r>
      <w:r w:rsidR="00F2349F" w:rsidRPr="009D4AA2">
        <w:rPr>
          <w:rFonts w:ascii="Times New Roman" w:hAnsi="Times New Roman" w:cs="Times New Roman"/>
          <w:i/>
          <w:color w:val="000000" w:themeColor="text1"/>
          <w:sz w:val="24"/>
          <w:szCs w:val="24"/>
        </w:rPr>
        <w:t>entralizarea</w:t>
      </w:r>
      <w:r w:rsidR="00330F31" w:rsidRPr="009D4AA2">
        <w:rPr>
          <w:rFonts w:ascii="Times New Roman" w:hAnsi="Times New Roman" w:cs="Times New Roman"/>
          <w:i/>
          <w:color w:val="000000" w:themeColor="text1"/>
          <w:sz w:val="24"/>
          <w:szCs w:val="24"/>
        </w:rPr>
        <w:t xml:space="preserve"> privind stadiul implementării și dezvoltării SCIM la data de 31 decembrie 20</w:t>
      </w:r>
      <w:r w:rsidR="00B45A27" w:rsidRPr="009D4AA2">
        <w:rPr>
          <w:rFonts w:ascii="Times New Roman" w:hAnsi="Times New Roman" w:cs="Times New Roman"/>
          <w:i/>
          <w:color w:val="000000" w:themeColor="text1"/>
          <w:sz w:val="24"/>
          <w:szCs w:val="24"/>
        </w:rPr>
        <w:t>16</w:t>
      </w:r>
      <w:r w:rsidRPr="009D4AA2">
        <w:rPr>
          <w:rFonts w:ascii="Times New Roman" w:hAnsi="Times New Roman" w:cs="Times New Roman"/>
          <w:i/>
          <w:color w:val="000000" w:themeColor="text1"/>
          <w:sz w:val="24"/>
          <w:szCs w:val="24"/>
        </w:rPr>
        <w:t xml:space="preserve">, </w:t>
      </w:r>
      <w:r w:rsidRPr="009D4AA2">
        <w:rPr>
          <w:rFonts w:ascii="Times New Roman" w:hAnsi="Times New Roman" w:cs="Times New Roman"/>
          <w:color w:val="000000" w:themeColor="text1"/>
          <w:sz w:val="24"/>
          <w:szCs w:val="24"/>
        </w:rPr>
        <w:t xml:space="preserve">prezentată în  </w:t>
      </w:r>
      <w:r w:rsidRPr="009D4AA2">
        <w:rPr>
          <w:rFonts w:ascii="Times New Roman" w:hAnsi="Times New Roman" w:cs="Times New Roman"/>
          <w:i/>
          <w:color w:val="000000" w:themeColor="text1"/>
          <w:sz w:val="24"/>
          <w:szCs w:val="24"/>
        </w:rPr>
        <w:t>Anexa nr.1 la</w:t>
      </w:r>
      <w:r w:rsidRPr="009D4AA2">
        <w:rPr>
          <w:rFonts w:ascii="Times New Roman" w:hAnsi="Times New Roman" w:cs="Times New Roman"/>
          <w:color w:val="000000" w:themeColor="text1"/>
          <w:sz w:val="24"/>
          <w:szCs w:val="24"/>
        </w:rPr>
        <w:t xml:space="preserve"> </w:t>
      </w:r>
      <w:r w:rsidRPr="009D4AA2">
        <w:rPr>
          <w:rFonts w:ascii="Times New Roman" w:hAnsi="Times New Roman" w:cs="Times New Roman"/>
          <w:i/>
          <w:color w:val="000000" w:themeColor="text1"/>
          <w:sz w:val="24"/>
          <w:szCs w:val="24"/>
        </w:rPr>
        <w:t>Raport</w:t>
      </w:r>
      <w:r w:rsidRPr="009D4AA2">
        <w:rPr>
          <w:rFonts w:ascii="Times New Roman" w:hAnsi="Times New Roman" w:cs="Times New Roman"/>
          <w:color w:val="000000" w:themeColor="text1"/>
          <w:sz w:val="24"/>
          <w:szCs w:val="24"/>
        </w:rPr>
        <w:t>,  din analiza căreia au rezultat următoarele observații:</w:t>
      </w:r>
    </w:p>
    <w:p w:rsidR="00A46916" w:rsidRPr="009D4AA2" w:rsidRDefault="00A46916" w:rsidP="00C7604C">
      <w:pPr>
        <w:pStyle w:val="ListParagraph"/>
        <w:numPr>
          <w:ilvl w:val="0"/>
          <w:numId w:val="84"/>
        </w:numPr>
        <w:tabs>
          <w:tab w:val="left" w:pos="810"/>
        </w:tabs>
        <w:spacing w:after="120" w:line="276" w:lineRule="auto"/>
        <w:ind w:left="426" w:hanging="426"/>
        <w:contextualSpacing w:val="0"/>
        <w:jc w:val="both"/>
        <w:rPr>
          <w:rFonts w:ascii="Times New Roman" w:hAnsi="Times New Roman" w:cs="Times New Roman"/>
          <w:color w:val="000000" w:themeColor="text1"/>
          <w:sz w:val="24"/>
          <w:szCs w:val="24"/>
        </w:rPr>
      </w:pPr>
      <w:r w:rsidRPr="009D4AA2">
        <w:rPr>
          <w:rFonts w:ascii="Times New Roman" w:hAnsi="Times New Roman" w:cs="Times New Roman"/>
          <w:color w:val="000000" w:themeColor="text1"/>
          <w:sz w:val="24"/>
          <w:szCs w:val="24"/>
        </w:rPr>
        <w:t>Numărul total de entități publice centrale la care se implementează SCIM este de 5</w:t>
      </w:r>
      <w:r w:rsidR="00B45A27" w:rsidRPr="009D4AA2">
        <w:rPr>
          <w:rFonts w:ascii="Times New Roman" w:hAnsi="Times New Roman" w:cs="Times New Roman"/>
          <w:color w:val="000000" w:themeColor="text1"/>
          <w:sz w:val="24"/>
          <w:szCs w:val="24"/>
        </w:rPr>
        <w:t>4</w:t>
      </w:r>
      <w:r w:rsidRPr="009D4AA2">
        <w:rPr>
          <w:rFonts w:ascii="Times New Roman" w:hAnsi="Times New Roman" w:cs="Times New Roman"/>
          <w:color w:val="000000" w:themeColor="text1"/>
          <w:sz w:val="24"/>
          <w:szCs w:val="24"/>
        </w:rPr>
        <w:t>, raportările fiind efectuate de către un număr de 5</w:t>
      </w:r>
      <w:r w:rsidR="00B45A27" w:rsidRPr="009D4AA2">
        <w:rPr>
          <w:rFonts w:ascii="Times New Roman" w:hAnsi="Times New Roman" w:cs="Times New Roman"/>
          <w:color w:val="000000" w:themeColor="text1"/>
          <w:sz w:val="24"/>
          <w:szCs w:val="24"/>
        </w:rPr>
        <w:t>0</w:t>
      </w:r>
      <w:r w:rsidRPr="009D4AA2">
        <w:rPr>
          <w:rFonts w:ascii="Times New Roman" w:hAnsi="Times New Roman" w:cs="Times New Roman"/>
          <w:color w:val="000000" w:themeColor="text1"/>
          <w:sz w:val="24"/>
          <w:szCs w:val="24"/>
        </w:rPr>
        <w:t xml:space="preserve"> entități publice centrale, mai puțin</w:t>
      </w:r>
      <w:r w:rsidR="00FF58F2" w:rsidRPr="009D4AA2">
        <w:rPr>
          <w:rFonts w:ascii="Times New Roman" w:hAnsi="Times New Roman" w:cs="Times New Roman"/>
          <w:color w:val="000000" w:themeColor="text1"/>
          <w:sz w:val="24"/>
          <w:szCs w:val="24"/>
        </w:rPr>
        <w:t xml:space="preserve"> Ministerul Economiei, Comerțului și Relațiilor cu Mediul de Afaceri, Ministerul pentru Consultare Publică și Dialog Civic și 2 entități publice care sunt exceptate de la raportare  (conform art.8</w:t>
      </w:r>
      <w:r w:rsidR="00FF58F2" w:rsidRPr="009D4AA2">
        <w:rPr>
          <w:rFonts w:ascii="Times New Roman" w:hAnsi="Times New Roman" w:cs="Times New Roman"/>
          <w:color w:val="000000" w:themeColor="text1"/>
          <w:sz w:val="28"/>
          <w:szCs w:val="24"/>
          <w:vertAlign w:val="superscript"/>
        </w:rPr>
        <w:t>1</w:t>
      </w:r>
      <w:r w:rsidR="00FF58F2" w:rsidRPr="009D4AA2">
        <w:rPr>
          <w:rFonts w:ascii="Times New Roman" w:hAnsi="Times New Roman" w:cs="Times New Roman"/>
          <w:color w:val="000000" w:themeColor="text1"/>
          <w:sz w:val="28"/>
          <w:szCs w:val="24"/>
        </w:rPr>
        <w:t xml:space="preserve">, </w:t>
      </w:r>
      <w:r w:rsidR="00FF58F2" w:rsidRPr="009D4AA2">
        <w:rPr>
          <w:rFonts w:ascii="Times New Roman" w:hAnsi="Times New Roman" w:cs="Times New Roman"/>
          <w:color w:val="000000" w:themeColor="text1"/>
          <w:sz w:val="24"/>
          <w:szCs w:val="24"/>
        </w:rPr>
        <w:t>alin. 3 din OSGG nr. 400/2015 cu modificările și completările ulterioare): Serviciul de Protecție și Pază și Serviciul de Telecomunicații Speciale</w:t>
      </w:r>
      <w:r w:rsidRPr="009D4AA2">
        <w:rPr>
          <w:rFonts w:ascii="Times New Roman" w:hAnsi="Times New Roman" w:cs="Times New Roman"/>
          <w:color w:val="000000" w:themeColor="text1"/>
          <w:sz w:val="24"/>
          <w:szCs w:val="24"/>
        </w:rPr>
        <w:t>;</w:t>
      </w:r>
    </w:p>
    <w:p w:rsidR="00A46916" w:rsidRPr="009D4AA2" w:rsidRDefault="00A46916" w:rsidP="00C7604C">
      <w:pPr>
        <w:pStyle w:val="ListParagraph"/>
        <w:numPr>
          <w:ilvl w:val="0"/>
          <w:numId w:val="84"/>
        </w:numPr>
        <w:tabs>
          <w:tab w:val="left" w:pos="810"/>
        </w:tabs>
        <w:spacing w:after="120" w:line="276" w:lineRule="auto"/>
        <w:ind w:left="426" w:hanging="426"/>
        <w:contextualSpacing w:val="0"/>
        <w:jc w:val="both"/>
        <w:rPr>
          <w:rFonts w:ascii="Times New Roman" w:hAnsi="Times New Roman" w:cs="Times New Roman"/>
          <w:color w:val="000000" w:themeColor="text1"/>
          <w:sz w:val="24"/>
          <w:szCs w:val="24"/>
        </w:rPr>
      </w:pPr>
      <w:r w:rsidRPr="009D4AA2">
        <w:rPr>
          <w:rFonts w:ascii="Times New Roman" w:hAnsi="Times New Roman" w:cs="Times New Roman"/>
          <w:color w:val="000000" w:themeColor="text1"/>
          <w:sz w:val="24"/>
          <w:szCs w:val="24"/>
        </w:rPr>
        <w:t xml:space="preserve"> Cele </w:t>
      </w:r>
      <w:r w:rsidR="00FF58F2" w:rsidRPr="009D4AA2">
        <w:rPr>
          <w:rFonts w:ascii="Times New Roman" w:hAnsi="Times New Roman" w:cs="Times New Roman"/>
          <w:color w:val="000000" w:themeColor="text1"/>
          <w:sz w:val="24"/>
          <w:szCs w:val="24"/>
        </w:rPr>
        <w:t>50</w:t>
      </w:r>
      <w:r w:rsidRPr="009D4AA2">
        <w:rPr>
          <w:rFonts w:ascii="Times New Roman" w:hAnsi="Times New Roman" w:cs="Times New Roman"/>
          <w:color w:val="000000" w:themeColor="text1"/>
          <w:sz w:val="24"/>
          <w:szCs w:val="24"/>
        </w:rPr>
        <w:t xml:space="preserve"> de entități publice centrale, care au efectuat raportările au  în subordonare sau în coordonare un număr de </w:t>
      </w:r>
      <w:r w:rsidR="00FF58F2" w:rsidRPr="009D4AA2">
        <w:rPr>
          <w:rFonts w:ascii="Times New Roman" w:hAnsi="Times New Roman" w:cs="Times New Roman"/>
          <w:color w:val="000000" w:themeColor="text1"/>
          <w:sz w:val="24"/>
          <w:szCs w:val="24"/>
        </w:rPr>
        <w:t xml:space="preserve">2.040 </w:t>
      </w:r>
      <w:r w:rsidRPr="009D4AA2">
        <w:rPr>
          <w:rFonts w:ascii="Times New Roman" w:hAnsi="Times New Roman" w:cs="Times New Roman"/>
          <w:color w:val="000000" w:themeColor="text1"/>
          <w:sz w:val="24"/>
          <w:szCs w:val="24"/>
        </w:rPr>
        <w:t>de entități publice;</w:t>
      </w:r>
    </w:p>
    <w:p w:rsidR="005E7372" w:rsidRPr="009D4AA2" w:rsidRDefault="005E7372" w:rsidP="00C7604C">
      <w:pPr>
        <w:pStyle w:val="ListParagraph"/>
        <w:numPr>
          <w:ilvl w:val="0"/>
          <w:numId w:val="84"/>
        </w:numPr>
        <w:tabs>
          <w:tab w:val="left" w:pos="810"/>
        </w:tabs>
        <w:spacing w:after="120" w:line="276" w:lineRule="auto"/>
        <w:ind w:left="426" w:hanging="426"/>
        <w:contextualSpacing w:val="0"/>
        <w:jc w:val="both"/>
        <w:rPr>
          <w:rFonts w:ascii="Times New Roman" w:hAnsi="Times New Roman" w:cs="Times New Roman"/>
          <w:color w:val="000000" w:themeColor="text1"/>
          <w:sz w:val="24"/>
          <w:szCs w:val="24"/>
        </w:rPr>
      </w:pPr>
      <w:r w:rsidRPr="009D4AA2">
        <w:rPr>
          <w:rFonts w:ascii="Times New Roman" w:hAnsi="Times New Roman" w:cs="Times New Roman"/>
          <w:i/>
          <w:color w:val="000000" w:themeColor="text1"/>
          <w:sz w:val="24"/>
          <w:szCs w:val="24"/>
        </w:rPr>
        <w:t>Comisia  de monitorizare</w:t>
      </w:r>
      <w:r w:rsidRPr="009D4AA2">
        <w:rPr>
          <w:rFonts w:ascii="Times New Roman" w:hAnsi="Times New Roman" w:cs="Times New Roman"/>
          <w:color w:val="000000" w:themeColor="text1"/>
          <w:sz w:val="24"/>
          <w:szCs w:val="24"/>
        </w:rPr>
        <w:t xml:space="preserve">  a fost constituită la toate cele 5</w:t>
      </w:r>
      <w:r w:rsidR="00FF58F2" w:rsidRPr="009D4AA2">
        <w:rPr>
          <w:rFonts w:ascii="Times New Roman" w:hAnsi="Times New Roman" w:cs="Times New Roman"/>
          <w:color w:val="000000" w:themeColor="text1"/>
          <w:sz w:val="24"/>
          <w:szCs w:val="24"/>
        </w:rPr>
        <w:t>0</w:t>
      </w:r>
      <w:r w:rsidRPr="009D4AA2">
        <w:rPr>
          <w:rFonts w:ascii="Times New Roman" w:hAnsi="Times New Roman" w:cs="Times New Roman"/>
          <w:color w:val="000000" w:themeColor="text1"/>
          <w:sz w:val="24"/>
          <w:szCs w:val="24"/>
        </w:rPr>
        <w:t xml:space="preserve"> de entități publice centrale și la </w:t>
      </w:r>
      <w:r w:rsidR="00FF58F2" w:rsidRPr="009D4AA2">
        <w:rPr>
          <w:rFonts w:ascii="Times New Roman" w:hAnsi="Times New Roman" w:cs="Times New Roman"/>
          <w:color w:val="000000" w:themeColor="text1"/>
          <w:sz w:val="24"/>
          <w:szCs w:val="24"/>
        </w:rPr>
        <w:t>1.954</w:t>
      </w:r>
      <w:r w:rsidRPr="009D4AA2">
        <w:rPr>
          <w:rFonts w:ascii="Times New Roman" w:hAnsi="Times New Roman" w:cs="Times New Roman"/>
          <w:color w:val="000000" w:themeColor="text1"/>
          <w:sz w:val="24"/>
          <w:szCs w:val="24"/>
        </w:rPr>
        <w:t xml:space="preserve"> de entități publice aflate în subordonare sau în coordonare, care reprezintă un procent de 95,</w:t>
      </w:r>
      <w:r w:rsidR="00FF58F2" w:rsidRPr="009D4AA2">
        <w:rPr>
          <w:rFonts w:ascii="Times New Roman" w:hAnsi="Times New Roman" w:cs="Times New Roman"/>
          <w:color w:val="000000" w:themeColor="text1"/>
          <w:sz w:val="24"/>
          <w:szCs w:val="24"/>
        </w:rPr>
        <w:t>78</w:t>
      </w:r>
      <w:r w:rsidRPr="009D4AA2">
        <w:rPr>
          <w:rFonts w:ascii="Times New Roman" w:hAnsi="Times New Roman" w:cs="Times New Roman"/>
          <w:color w:val="000000" w:themeColor="text1"/>
          <w:sz w:val="24"/>
          <w:szCs w:val="24"/>
        </w:rPr>
        <w:t>%;</w:t>
      </w:r>
    </w:p>
    <w:p w:rsidR="005E7372" w:rsidRPr="009D4AA2" w:rsidRDefault="005E7372" w:rsidP="00C7604C">
      <w:pPr>
        <w:pStyle w:val="ListParagraph"/>
        <w:numPr>
          <w:ilvl w:val="0"/>
          <w:numId w:val="84"/>
        </w:numPr>
        <w:tabs>
          <w:tab w:val="left" w:pos="810"/>
        </w:tabs>
        <w:spacing w:after="120" w:line="276" w:lineRule="auto"/>
        <w:ind w:left="426" w:hanging="426"/>
        <w:contextualSpacing w:val="0"/>
        <w:jc w:val="both"/>
        <w:rPr>
          <w:rFonts w:ascii="Times New Roman" w:hAnsi="Times New Roman" w:cs="Times New Roman"/>
          <w:color w:val="000000" w:themeColor="text1"/>
          <w:sz w:val="24"/>
          <w:szCs w:val="24"/>
        </w:rPr>
      </w:pPr>
      <w:r w:rsidRPr="009D4AA2">
        <w:rPr>
          <w:rFonts w:ascii="Times New Roman" w:hAnsi="Times New Roman" w:cs="Times New Roman"/>
          <w:i/>
          <w:color w:val="000000" w:themeColor="text1"/>
          <w:sz w:val="24"/>
          <w:szCs w:val="24"/>
        </w:rPr>
        <w:t>Programul de dezvoltare a sistemului de control intern managerial</w:t>
      </w:r>
      <w:r w:rsidRPr="009D4AA2">
        <w:rPr>
          <w:rFonts w:ascii="Times New Roman" w:hAnsi="Times New Roman" w:cs="Times New Roman"/>
          <w:color w:val="000000" w:themeColor="text1"/>
          <w:sz w:val="24"/>
          <w:szCs w:val="24"/>
        </w:rPr>
        <w:t xml:space="preserve"> a fost elaborat și aprobat la toate entitățile publice centrale și la </w:t>
      </w:r>
      <w:r w:rsidR="0002539F" w:rsidRPr="009D4AA2">
        <w:rPr>
          <w:rFonts w:ascii="Times New Roman" w:hAnsi="Times New Roman" w:cs="Times New Roman"/>
          <w:color w:val="000000" w:themeColor="text1"/>
          <w:sz w:val="24"/>
          <w:szCs w:val="24"/>
        </w:rPr>
        <w:t>1.950</w:t>
      </w:r>
      <w:r w:rsidRPr="009D4AA2">
        <w:rPr>
          <w:rFonts w:ascii="Times New Roman" w:hAnsi="Times New Roman" w:cs="Times New Roman"/>
          <w:color w:val="000000" w:themeColor="text1"/>
          <w:sz w:val="24"/>
          <w:szCs w:val="24"/>
        </w:rPr>
        <w:t xml:space="preserve"> de entități publice aflate în subordonare sau în coordonare, care reprezintă 95,</w:t>
      </w:r>
      <w:r w:rsidR="0002539F" w:rsidRPr="009D4AA2">
        <w:rPr>
          <w:rFonts w:ascii="Times New Roman" w:hAnsi="Times New Roman" w:cs="Times New Roman"/>
          <w:color w:val="000000" w:themeColor="text1"/>
          <w:sz w:val="24"/>
          <w:szCs w:val="24"/>
        </w:rPr>
        <w:t>59</w:t>
      </w:r>
      <w:r w:rsidRPr="009D4AA2">
        <w:rPr>
          <w:rFonts w:ascii="Times New Roman" w:hAnsi="Times New Roman" w:cs="Times New Roman"/>
          <w:color w:val="000000" w:themeColor="text1"/>
          <w:sz w:val="24"/>
          <w:szCs w:val="24"/>
        </w:rPr>
        <w:t xml:space="preserve">%; </w:t>
      </w:r>
    </w:p>
    <w:p w:rsidR="006A2846" w:rsidRPr="009D4AA2" w:rsidRDefault="006A2846" w:rsidP="00C7604C">
      <w:pPr>
        <w:pStyle w:val="ListParagraph"/>
        <w:numPr>
          <w:ilvl w:val="0"/>
          <w:numId w:val="84"/>
        </w:numPr>
        <w:tabs>
          <w:tab w:val="left" w:pos="810"/>
        </w:tabs>
        <w:spacing w:after="120" w:line="276" w:lineRule="auto"/>
        <w:ind w:left="426" w:hanging="426"/>
        <w:contextualSpacing w:val="0"/>
        <w:jc w:val="both"/>
        <w:rPr>
          <w:rFonts w:ascii="Times New Roman" w:hAnsi="Times New Roman" w:cs="Times New Roman"/>
          <w:color w:val="000000" w:themeColor="text1"/>
          <w:sz w:val="24"/>
          <w:szCs w:val="24"/>
        </w:rPr>
      </w:pPr>
      <w:r w:rsidRPr="009D4AA2">
        <w:rPr>
          <w:rFonts w:ascii="Times New Roman" w:hAnsi="Times New Roman" w:cs="Times New Roman"/>
          <w:i/>
          <w:color w:val="000000" w:themeColor="text1"/>
          <w:sz w:val="24"/>
          <w:szCs w:val="24"/>
        </w:rPr>
        <w:t>Obiectivele generale</w:t>
      </w:r>
      <w:r w:rsidRPr="009D4AA2">
        <w:rPr>
          <w:rFonts w:ascii="Times New Roman" w:hAnsi="Times New Roman" w:cs="Times New Roman"/>
          <w:color w:val="000000" w:themeColor="text1"/>
          <w:sz w:val="24"/>
          <w:szCs w:val="24"/>
        </w:rPr>
        <w:t xml:space="preserve"> au fost stabilite pentru </w:t>
      </w:r>
      <w:r w:rsidR="0002539F" w:rsidRPr="009D4AA2">
        <w:rPr>
          <w:rFonts w:ascii="Times New Roman" w:hAnsi="Times New Roman" w:cs="Times New Roman"/>
          <w:color w:val="000000" w:themeColor="text1"/>
          <w:sz w:val="24"/>
          <w:szCs w:val="24"/>
        </w:rPr>
        <w:t>49 entități</w:t>
      </w:r>
      <w:r w:rsidR="000B5A11" w:rsidRPr="009D4AA2">
        <w:rPr>
          <w:rFonts w:ascii="Times New Roman" w:hAnsi="Times New Roman" w:cs="Times New Roman"/>
          <w:color w:val="000000" w:themeColor="text1"/>
          <w:sz w:val="24"/>
          <w:szCs w:val="24"/>
        </w:rPr>
        <w:t xml:space="preserve"> publice centrale</w:t>
      </w:r>
      <w:r w:rsidR="0002539F" w:rsidRPr="009D4AA2">
        <w:rPr>
          <w:rFonts w:ascii="Times New Roman" w:hAnsi="Times New Roman" w:cs="Times New Roman"/>
          <w:color w:val="000000" w:themeColor="text1"/>
          <w:sz w:val="24"/>
          <w:szCs w:val="24"/>
        </w:rPr>
        <w:t>, mai puțin Ministerul Fondurilor Europene</w:t>
      </w:r>
      <w:r w:rsidR="000B5A11" w:rsidRPr="009D4AA2">
        <w:rPr>
          <w:rFonts w:ascii="Times New Roman" w:hAnsi="Times New Roman" w:cs="Times New Roman"/>
          <w:color w:val="000000" w:themeColor="text1"/>
          <w:sz w:val="24"/>
          <w:szCs w:val="24"/>
        </w:rPr>
        <w:t xml:space="preserve"> și</w:t>
      </w:r>
      <w:r w:rsidRPr="009D4AA2">
        <w:rPr>
          <w:rFonts w:ascii="Times New Roman" w:hAnsi="Times New Roman" w:cs="Times New Roman"/>
          <w:color w:val="000000" w:themeColor="text1"/>
          <w:sz w:val="24"/>
          <w:szCs w:val="24"/>
        </w:rPr>
        <w:t xml:space="preserve"> pentru 2.0</w:t>
      </w:r>
      <w:r w:rsidR="0002539F" w:rsidRPr="009D4AA2">
        <w:rPr>
          <w:rFonts w:ascii="Times New Roman" w:hAnsi="Times New Roman" w:cs="Times New Roman"/>
          <w:color w:val="000000" w:themeColor="text1"/>
          <w:sz w:val="24"/>
          <w:szCs w:val="24"/>
        </w:rPr>
        <w:t>00</w:t>
      </w:r>
      <w:r w:rsidRPr="009D4AA2">
        <w:rPr>
          <w:rFonts w:ascii="Times New Roman" w:hAnsi="Times New Roman" w:cs="Times New Roman"/>
          <w:color w:val="000000" w:themeColor="text1"/>
          <w:sz w:val="24"/>
          <w:szCs w:val="24"/>
        </w:rPr>
        <w:t xml:space="preserve"> de entități publice aflate în subordonare sau în coordonare</w:t>
      </w:r>
      <w:r w:rsidR="000B5A11" w:rsidRPr="009D4AA2">
        <w:rPr>
          <w:rFonts w:ascii="Times New Roman" w:hAnsi="Times New Roman" w:cs="Times New Roman"/>
          <w:color w:val="000000" w:themeColor="text1"/>
          <w:sz w:val="24"/>
          <w:szCs w:val="24"/>
        </w:rPr>
        <w:t>,</w:t>
      </w:r>
      <w:r w:rsidRPr="009D4AA2">
        <w:rPr>
          <w:rFonts w:ascii="Times New Roman" w:hAnsi="Times New Roman" w:cs="Times New Roman"/>
          <w:color w:val="000000" w:themeColor="text1"/>
          <w:sz w:val="24"/>
          <w:szCs w:val="24"/>
        </w:rPr>
        <w:t xml:space="preserve"> în procent  de </w:t>
      </w:r>
      <w:r w:rsidR="0002539F" w:rsidRPr="009D4AA2">
        <w:rPr>
          <w:rFonts w:ascii="Times New Roman" w:hAnsi="Times New Roman" w:cs="Times New Roman"/>
          <w:color w:val="000000" w:themeColor="text1"/>
          <w:sz w:val="24"/>
          <w:szCs w:val="24"/>
        </w:rPr>
        <w:t>98,04</w:t>
      </w:r>
      <w:r w:rsidRPr="009D4AA2">
        <w:rPr>
          <w:rFonts w:ascii="Times New Roman" w:hAnsi="Times New Roman" w:cs="Times New Roman"/>
          <w:color w:val="000000" w:themeColor="text1"/>
          <w:sz w:val="24"/>
          <w:szCs w:val="24"/>
        </w:rPr>
        <w:t>%;</w:t>
      </w:r>
    </w:p>
    <w:p w:rsidR="007F07BE" w:rsidRPr="009D4AA2" w:rsidRDefault="006A2846" w:rsidP="00C7604C">
      <w:pPr>
        <w:pStyle w:val="ListParagraph"/>
        <w:numPr>
          <w:ilvl w:val="0"/>
          <w:numId w:val="84"/>
        </w:numPr>
        <w:tabs>
          <w:tab w:val="left" w:pos="810"/>
        </w:tabs>
        <w:spacing w:after="120" w:line="276" w:lineRule="auto"/>
        <w:ind w:left="426" w:hanging="426"/>
        <w:contextualSpacing w:val="0"/>
        <w:jc w:val="both"/>
        <w:rPr>
          <w:rFonts w:ascii="Times New Roman" w:hAnsi="Times New Roman" w:cs="Times New Roman"/>
          <w:color w:val="000000" w:themeColor="text1"/>
          <w:sz w:val="24"/>
          <w:szCs w:val="24"/>
        </w:rPr>
      </w:pPr>
      <w:r w:rsidRPr="009D4AA2">
        <w:rPr>
          <w:rFonts w:ascii="Times New Roman" w:hAnsi="Times New Roman" w:cs="Times New Roman"/>
          <w:i/>
          <w:color w:val="000000" w:themeColor="text1"/>
          <w:sz w:val="24"/>
          <w:szCs w:val="24"/>
        </w:rPr>
        <w:t>Activitățile procedurabile</w:t>
      </w:r>
      <w:r w:rsidRPr="009D4AA2">
        <w:rPr>
          <w:rFonts w:ascii="Times New Roman" w:hAnsi="Times New Roman" w:cs="Times New Roman"/>
          <w:color w:val="000000" w:themeColor="text1"/>
          <w:sz w:val="24"/>
          <w:szCs w:val="24"/>
        </w:rPr>
        <w:t xml:space="preserve"> au fost inventariate </w:t>
      </w:r>
      <w:r w:rsidR="00E11A3E" w:rsidRPr="009D4AA2">
        <w:rPr>
          <w:rFonts w:ascii="Times New Roman" w:hAnsi="Times New Roman" w:cs="Times New Roman"/>
          <w:color w:val="000000" w:themeColor="text1"/>
          <w:sz w:val="24"/>
          <w:szCs w:val="24"/>
        </w:rPr>
        <w:t>către toate cele 50 entități</w:t>
      </w:r>
      <w:r w:rsidR="000B5A11" w:rsidRPr="009D4AA2">
        <w:rPr>
          <w:rFonts w:ascii="Times New Roman" w:hAnsi="Times New Roman" w:cs="Times New Roman"/>
          <w:color w:val="000000" w:themeColor="text1"/>
          <w:sz w:val="24"/>
          <w:szCs w:val="24"/>
        </w:rPr>
        <w:t xml:space="preserve"> publice centrale și </w:t>
      </w:r>
      <w:r w:rsidRPr="009D4AA2">
        <w:rPr>
          <w:rFonts w:ascii="Times New Roman" w:hAnsi="Times New Roman" w:cs="Times New Roman"/>
          <w:color w:val="000000" w:themeColor="text1"/>
          <w:sz w:val="24"/>
          <w:szCs w:val="24"/>
        </w:rPr>
        <w:t>pentru 2.</w:t>
      </w:r>
      <w:r w:rsidR="0002539F" w:rsidRPr="009D4AA2">
        <w:rPr>
          <w:rFonts w:ascii="Times New Roman" w:hAnsi="Times New Roman" w:cs="Times New Roman"/>
          <w:color w:val="000000" w:themeColor="text1"/>
          <w:sz w:val="24"/>
          <w:szCs w:val="24"/>
        </w:rPr>
        <w:t>010</w:t>
      </w:r>
      <w:r w:rsidRPr="009D4AA2">
        <w:rPr>
          <w:rFonts w:ascii="Times New Roman" w:hAnsi="Times New Roman" w:cs="Times New Roman"/>
          <w:color w:val="000000" w:themeColor="text1"/>
          <w:sz w:val="24"/>
          <w:szCs w:val="24"/>
        </w:rPr>
        <w:t xml:space="preserve"> de entități publice aflate în subordonare sau în coordonare</w:t>
      </w:r>
      <w:r w:rsidR="000B5A11" w:rsidRPr="009D4AA2">
        <w:rPr>
          <w:rFonts w:ascii="Times New Roman" w:hAnsi="Times New Roman" w:cs="Times New Roman"/>
          <w:color w:val="000000" w:themeColor="text1"/>
          <w:sz w:val="24"/>
          <w:szCs w:val="24"/>
        </w:rPr>
        <w:t>,</w:t>
      </w:r>
      <w:r w:rsidRPr="009D4AA2">
        <w:rPr>
          <w:rFonts w:ascii="Times New Roman" w:hAnsi="Times New Roman" w:cs="Times New Roman"/>
          <w:color w:val="000000" w:themeColor="text1"/>
          <w:sz w:val="24"/>
          <w:szCs w:val="24"/>
        </w:rPr>
        <w:t xml:space="preserve"> în procent de  98,</w:t>
      </w:r>
      <w:r w:rsidR="0002539F" w:rsidRPr="009D4AA2">
        <w:rPr>
          <w:rFonts w:ascii="Times New Roman" w:hAnsi="Times New Roman" w:cs="Times New Roman"/>
          <w:color w:val="000000" w:themeColor="text1"/>
          <w:sz w:val="24"/>
          <w:szCs w:val="24"/>
        </w:rPr>
        <w:t>53</w:t>
      </w:r>
      <w:r w:rsidRPr="009D4AA2">
        <w:rPr>
          <w:rFonts w:ascii="Times New Roman" w:hAnsi="Times New Roman" w:cs="Times New Roman"/>
          <w:color w:val="000000" w:themeColor="text1"/>
          <w:sz w:val="24"/>
          <w:szCs w:val="24"/>
        </w:rPr>
        <w:t>%;</w:t>
      </w:r>
    </w:p>
    <w:p w:rsidR="005E7372" w:rsidRPr="009D4AA2" w:rsidRDefault="006A2846" w:rsidP="00C7604C">
      <w:pPr>
        <w:pStyle w:val="ListParagraph"/>
        <w:numPr>
          <w:ilvl w:val="0"/>
          <w:numId w:val="84"/>
        </w:numPr>
        <w:tabs>
          <w:tab w:val="left" w:pos="810"/>
        </w:tabs>
        <w:spacing w:after="120" w:line="276" w:lineRule="auto"/>
        <w:ind w:left="426" w:hanging="426"/>
        <w:contextualSpacing w:val="0"/>
        <w:jc w:val="both"/>
        <w:rPr>
          <w:rFonts w:ascii="Times New Roman" w:hAnsi="Times New Roman" w:cs="Times New Roman"/>
          <w:color w:val="000000" w:themeColor="text1"/>
          <w:sz w:val="24"/>
          <w:szCs w:val="24"/>
        </w:rPr>
      </w:pPr>
      <w:r w:rsidRPr="009D4AA2">
        <w:rPr>
          <w:rFonts w:ascii="Times New Roman" w:hAnsi="Times New Roman" w:cs="Times New Roman"/>
          <w:i/>
          <w:color w:val="000000" w:themeColor="text1"/>
          <w:sz w:val="24"/>
          <w:szCs w:val="24"/>
        </w:rPr>
        <w:t>Procedurile</w:t>
      </w:r>
      <w:r w:rsidRPr="009D4AA2">
        <w:rPr>
          <w:rFonts w:ascii="Times New Roman" w:hAnsi="Times New Roman" w:cs="Times New Roman"/>
          <w:color w:val="000000" w:themeColor="text1"/>
          <w:sz w:val="24"/>
          <w:szCs w:val="24"/>
        </w:rPr>
        <w:t xml:space="preserve"> au fost elaborate și actualizate de către toate </w:t>
      </w:r>
      <w:r w:rsidR="00E11A3E" w:rsidRPr="009D4AA2">
        <w:rPr>
          <w:rFonts w:ascii="Times New Roman" w:hAnsi="Times New Roman" w:cs="Times New Roman"/>
          <w:color w:val="000000" w:themeColor="text1"/>
          <w:sz w:val="24"/>
          <w:szCs w:val="24"/>
        </w:rPr>
        <w:t xml:space="preserve">cele 50 </w:t>
      </w:r>
      <w:r w:rsidRPr="009D4AA2">
        <w:rPr>
          <w:rFonts w:ascii="Times New Roman" w:hAnsi="Times New Roman" w:cs="Times New Roman"/>
          <w:color w:val="000000" w:themeColor="text1"/>
          <w:sz w:val="24"/>
          <w:szCs w:val="24"/>
        </w:rPr>
        <w:t>entități publice centrale</w:t>
      </w:r>
      <w:r w:rsidR="000B5A11" w:rsidRPr="009D4AA2">
        <w:rPr>
          <w:rFonts w:ascii="Times New Roman" w:hAnsi="Times New Roman" w:cs="Times New Roman"/>
          <w:color w:val="000000" w:themeColor="text1"/>
          <w:sz w:val="24"/>
          <w:szCs w:val="24"/>
        </w:rPr>
        <w:t xml:space="preserve"> și</w:t>
      </w:r>
      <w:r w:rsidRPr="009D4AA2">
        <w:rPr>
          <w:rFonts w:ascii="Times New Roman" w:hAnsi="Times New Roman" w:cs="Times New Roman"/>
          <w:color w:val="000000" w:themeColor="text1"/>
          <w:sz w:val="24"/>
          <w:szCs w:val="24"/>
        </w:rPr>
        <w:t xml:space="preserve">  pentru 2.</w:t>
      </w:r>
      <w:r w:rsidR="0002539F" w:rsidRPr="009D4AA2">
        <w:rPr>
          <w:rFonts w:ascii="Times New Roman" w:hAnsi="Times New Roman" w:cs="Times New Roman"/>
          <w:color w:val="000000" w:themeColor="text1"/>
          <w:sz w:val="24"/>
          <w:szCs w:val="24"/>
        </w:rPr>
        <w:t>002</w:t>
      </w:r>
      <w:r w:rsidRPr="009D4AA2">
        <w:rPr>
          <w:rFonts w:ascii="Times New Roman" w:hAnsi="Times New Roman" w:cs="Times New Roman"/>
          <w:color w:val="000000" w:themeColor="text1"/>
          <w:sz w:val="24"/>
          <w:szCs w:val="24"/>
        </w:rPr>
        <w:t xml:space="preserve"> de entități publice aflate în subordonare sau în coordonare</w:t>
      </w:r>
      <w:r w:rsidR="000B5A11" w:rsidRPr="009D4AA2">
        <w:rPr>
          <w:rFonts w:ascii="Times New Roman" w:hAnsi="Times New Roman" w:cs="Times New Roman"/>
          <w:color w:val="000000" w:themeColor="text1"/>
          <w:sz w:val="24"/>
          <w:szCs w:val="24"/>
        </w:rPr>
        <w:t>,</w:t>
      </w:r>
      <w:r w:rsidRPr="009D4AA2">
        <w:rPr>
          <w:rFonts w:ascii="Times New Roman" w:hAnsi="Times New Roman" w:cs="Times New Roman"/>
          <w:color w:val="000000" w:themeColor="text1"/>
          <w:sz w:val="24"/>
          <w:szCs w:val="24"/>
        </w:rPr>
        <w:t xml:space="preserve"> în procent de </w:t>
      </w:r>
      <w:r w:rsidR="0002539F" w:rsidRPr="009D4AA2">
        <w:rPr>
          <w:rFonts w:ascii="Times New Roman" w:hAnsi="Times New Roman" w:cs="Times New Roman"/>
          <w:color w:val="000000" w:themeColor="text1"/>
          <w:sz w:val="24"/>
          <w:szCs w:val="24"/>
        </w:rPr>
        <w:t>98,14</w:t>
      </w:r>
      <w:r w:rsidRPr="009D4AA2">
        <w:rPr>
          <w:rFonts w:ascii="Times New Roman" w:hAnsi="Times New Roman" w:cs="Times New Roman"/>
          <w:color w:val="000000" w:themeColor="text1"/>
          <w:sz w:val="24"/>
          <w:szCs w:val="24"/>
        </w:rPr>
        <w:t>%;</w:t>
      </w:r>
    </w:p>
    <w:p w:rsidR="0002539F" w:rsidRPr="009D4AA2" w:rsidRDefault="0002539F" w:rsidP="00C7604C">
      <w:pPr>
        <w:pStyle w:val="ListParagraph"/>
        <w:numPr>
          <w:ilvl w:val="0"/>
          <w:numId w:val="84"/>
        </w:numPr>
        <w:tabs>
          <w:tab w:val="left" w:pos="426"/>
          <w:tab w:val="left" w:pos="709"/>
          <w:tab w:val="left" w:pos="851"/>
        </w:tabs>
        <w:spacing w:after="120" w:line="276" w:lineRule="auto"/>
        <w:ind w:left="426" w:hanging="426"/>
        <w:contextualSpacing w:val="0"/>
        <w:jc w:val="both"/>
        <w:rPr>
          <w:rFonts w:ascii="Times New Roman" w:hAnsi="Times New Roman" w:cs="Times New Roman"/>
          <w:color w:val="000000" w:themeColor="text1"/>
          <w:sz w:val="24"/>
          <w:szCs w:val="24"/>
        </w:rPr>
      </w:pPr>
      <w:r w:rsidRPr="009D4AA2">
        <w:rPr>
          <w:rFonts w:ascii="Times New Roman" w:hAnsi="Times New Roman" w:cs="Times New Roman"/>
          <w:i/>
          <w:color w:val="000000" w:themeColor="text1"/>
          <w:sz w:val="24"/>
          <w:szCs w:val="24"/>
        </w:rPr>
        <w:t xml:space="preserve">Indicatorii de performanță sau de rezultat </w:t>
      </w:r>
      <w:r w:rsidRPr="009D4AA2">
        <w:rPr>
          <w:rFonts w:ascii="Times New Roman" w:hAnsi="Times New Roman" w:cs="Times New Roman"/>
          <w:color w:val="000000" w:themeColor="text1"/>
          <w:sz w:val="24"/>
          <w:szCs w:val="24"/>
        </w:rPr>
        <w:t xml:space="preserve">asociați obiectivelor specifice au fost stabiliți la 49 de entități publice centrale în procent de 98,00% (mai puțin Societatea Română de Televiziune), iar la entități publice aflate în subordonare sau în coordonare în procent de 92,21%. Excepție face Serviciul de Informații Externe, care declară aceste </w:t>
      </w:r>
      <w:r w:rsidR="00F055A6">
        <w:rPr>
          <w:rFonts w:ascii="Times New Roman" w:hAnsi="Times New Roman" w:cs="Times New Roman"/>
          <w:color w:val="000000" w:themeColor="text1"/>
          <w:sz w:val="24"/>
          <w:szCs w:val="24"/>
        </w:rPr>
        <w:t>informații ca fiind clasificate;</w:t>
      </w:r>
    </w:p>
    <w:p w:rsidR="00E90578" w:rsidRPr="009D4AA2" w:rsidRDefault="00E90578" w:rsidP="00C7604C">
      <w:pPr>
        <w:pStyle w:val="ListParagraph"/>
        <w:numPr>
          <w:ilvl w:val="0"/>
          <w:numId w:val="84"/>
        </w:numPr>
        <w:tabs>
          <w:tab w:val="left" w:pos="426"/>
          <w:tab w:val="left" w:pos="491"/>
        </w:tabs>
        <w:spacing w:after="120" w:line="276" w:lineRule="auto"/>
        <w:ind w:left="426" w:hanging="426"/>
        <w:contextualSpacing w:val="0"/>
        <w:jc w:val="both"/>
        <w:rPr>
          <w:rFonts w:ascii="Times New Roman" w:hAnsi="Times New Roman" w:cs="Times New Roman"/>
          <w:color w:val="000000" w:themeColor="text1"/>
          <w:sz w:val="24"/>
          <w:szCs w:val="24"/>
        </w:rPr>
      </w:pPr>
      <w:r w:rsidRPr="009D4AA2">
        <w:rPr>
          <w:rFonts w:ascii="Times New Roman" w:hAnsi="Times New Roman" w:cs="Times New Roman"/>
          <w:i/>
          <w:color w:val="000000" w:themeColor="text1"/>
          <w:sz w:val="24"/>
          <w:szCs w:val="24"/>
        </w:rPr>
        <w:t>Riscurile au fost identificate</w:t>
      </w:r>
      <w:r w:rsidRPr="009D4AA2">
        <w:rPr>
          <w:rFonts w:ascii="Times New Roman" w:hAnsi="Times New Roman" w:cs="Times New Roman"/>
          <w:color w:val="000000" w:themeColor="text1"/>
          <w:sz w:val="24"/>
          <w:szCs w:val="24"/>
        </w:rPr>
        <w:t xml:space="preserve"> la entitățile publice centrale în procent de 94,00% (mai puțin Senatul României; Societatea Română de Radiodifuziune; Societatea Română de Televiziune), iar la entități publice aflate în subordonare sau în coordonare în procent de 93,53%. Excepție face Serviciul de Informații Externe, care declară aceste informații ca fiind clasificate.</w:t>
      </w:r>
    </w:p>
    <w:p w:rsidR="0054347A" w:rsidRPr="007D3FE6" w:rsidRDefault="00CA16E5" w:rsidP="009D4AA2">
      <w:pPr>
        <w:pStyle w:val="Raport"/>
        <w:spacing w:after="360"/>
        <w:jc w:val="both"/>
        <w:rPr>
          <w:sz w:val="24"/>
          <w:szCs w:val="24"/>
        </w:rPr>
      </w:pPr>
      <w:bookmarkStart w:id="22" w:name="_Toc485992683"/>
      <w:r w:rsidRPr="007D3FE6">
        <w:rPr>
          <w:rFonts w:eastAsia="Times New Roman"/>
          <w:noProof/>
          <w:sz w:val="24"/>
          <w:szCs w:val="24"/>
          <w:lang w:eastAsia="sk-SK"/>
        </w:rPr>
        <w:t xml:space="preserve">4.2. </w:t>
      </w:r>
      <w:r w:rsidR="00330F31" w:rsidRPr="007D3FE6">
        <w:rPr>
          <w:rFonts w:eastAsia="Times New Roman"/>
          <w:noProof/>
          <w:sz w:val="24"/>
          <w:szCs w:val="24"/>
          <w:lang w:eastAsia="sk-SK"/>
        </w:rPr>
        <w:t xml:space="preserve">Situația centralizatoare </w:t>
      </w:r>
      <w:r w:rsidR="00330F31" w:rsidRPr="007D3FE6">
        <w:rPr>
          <w:sz w:val="24"/>
          <w:szCs w:val="24"/>
        </w:rPr>
        <w:t>privind stadiul implementării și dezvoltării SCIM la data de 31 decembrie 2015,</w:t>
      </w:r>
      <w:r w:rsidR="00330F31" w:rsidRPr="007D3FE6">
        <w:rPr>
          <w:rFonts w:eastAsia="Times New Roman"/>
          <w:noProof/>
          <w:sz w:val="24"/>
          <w:szCs w:val="24"/>
          <w:lang w:eastAsia="sk-SK"/>
        </w:rPr>
        <w:t xml:space="preserve"> Anexa 3 Cap. II - </w:t>
      </w:r>
      <w:r w:rsidR="0054347A" w:rsidRPr="007D3FE6">
        <w:rPr>
          <w:rFonts w:eastAsia="Times New Roman"/>
          <w:noProof/>
          <w:sz w:val="24"/>
          <w:szCs w:val="24"/>
          <w:lang w:eastAsia="sk-SK"/>
        </w:rPr>
        <w:t>Stadiul implementării standardelor de control intern ma</w:t>
      </w:r>
      <w:r w:rsidR="00D92C56" w:rsidRPr="007D3FE6">
        <w:rPr>
          <w:rFonts w:eastAsia="Times New Roman"/>
          <w:noProof/>
          <w:sz w:val="24"/>
          <w:szCs w:val="24"/>
          <w:lang w:eastAsia="sk-SK"/>
        </w:rPr>
        <w:t>nagerial</w:t>
      </w:r>
      <w:r w:rsidR="00330F31" w:rsidRPr="007D3FE6">
        <w:rPr>
          <w:rFonts w:eastAsia="Times New Roman"/>
          <w:noProof/>
          <w:sz w:val="24"/>
          <w:szCs w:val="24"/>
          <w:lang w:eastAsia="sk-SK"/>
        </w:rPr>
        <w:t>, conform rezultatelor autoevaluării</w:t>
      </w:r>
      <w:bookmarkEnd w:id="22"/>
    </w:p>
    <w:p w:rsidR="00330F31" w:rsidRPr="006B185E" w:rsidRDefault="00330F31" w:rsidP="006B185E">
      <w:pPr>
        <w:pStyle w:val="ListParagraph"/>
        <w:tabs>
          <w:tab w:val="left" w:pos="810"/>
          <w:tab w:val="left" w:pos="990"/>
          <w:tab w:val="left" w:pos="1080"/>
          <w:tab w:val="left" w:pos="1170"/>
        </w:tabs>
        <w:spacing w:after="120" w:line="276" w:lineRule="auto"/>
        <w:ind w:left="0"/>
        <w:contextualSpacing w:val="0"/>
        <w:jc w:val="both"/>
        <w:rPr>
          <w:rFonts w:ascii="Times New Roman" w:hAnsi="Times New Roman" w:cs="Times New Roman"/>
          <w:sz w:val="24"/>
          <w:szCs w:val="24"/>
        </w:rPr>
      </w:pPr>
      <w:r w:rsidRPr="006B185E">
        <w:rPr>
          <w:rFonts w:ascii="Times New Roman" w:hAnsi="Times New Roman" w:cs="Times New Roman"/>
          <w:color w:val="000000" w:themeColor="text1"/>
          <w:sz w:val="24"/>
          <w:szCs w:val="24"/>
        </w:rPr>
        <w:t>Prin centralizarea informațiile transmise de entitățile publice centrale, DCIMRI a elaborat C</w:t>
      </w:r>
      <w:r w:rsidRPr="006B185E">
        <w:rPr>
          <w:rFonts w:ascii="Times New Roman" w:hAnsi="Times New Roman" w:cs="Times New Roman"/>
          <w:i/>
          <w:color w:val="000000" w:themeColor="text1"/>
          <w:sz w:val="24"/>
          <w:szCs w:val="24"/>
        </w:rPr>
        <w:t>entralizarea privind stadiul implementării standardelor de control intern managerial la data de 31 decembrie 201</w:t>
      </w:r>
      <w:r w:rsidR="00E90578" w:rsidRPr="006B185E">
        <w:rPr>
          <w:rFonts w:ascii="Times New Roman" w:hAnsi="Times New Roman" w:cs="Times New Roman"/>
          <w:i/>
          <w:color w:val="000000" w:themeColor="text1"/>
          <w:sz w:val="24"/>
          <w:szCs w:val="24"/>
        </w:rPr>
        <w:t>6</w:t>
      </w:r>
      <w:r w:rsidRPr="006B185E">
        <w:rPr>
          <w:rFonts w:ascii="Times New Roman" w:hAnsi="Times New Roman" w:cs="Times New Roman"/>
          <w:color w:val="000000" w:themeColor="text1"/>
          <w:sz w:val="24"/>
          <w:szCs w:val="24"/>
        </w:rPr>
        <w:t>, prezentată în  Anexa nr. 2 la Raport,  din analiza căreia au rezultat următoarele observații</w:t>
      </w:r>
      <w:r w:rsidRPr="006B185E">
        <w:rPr>
          <w:rFonts w:ascii="Times New Roman" w:hAnsi="Times New Roman" w:cs="Times New Roman"/>
          <w:sz w:val="24"/>
          <w:szCs w:val="24"/>
        </w:rPr>
        <w:t>:</w:t>
      </w:r>
    </w:p>
    <w:p w:rsidR="00090B7E" w:rsidRPr="00997412" w:rsidRDefault="006B185E" w:rsidP="006B185E">
      <w:pPr>
        <w:tabs>
          <w:tab w:val="left" w:pos="810"/>
          <w:tab w:val="left" w:pos="990"/>
          <w:tab w:val="left" w:pos="1080"/>
          <w:tab w:val="left" w:pos="1170"/>
        </w:tabs>
        <w:spacing w:after="120" w:line="276" w:lineRule="auto"/>
        <w:jc w:val="both"/>
        <w:rPr>
          <w:rFonts w:ascii="Times New Roman" w:hAnsi="Times New Roman" w:cs="Times New Roman"/>
          <w:color w:val="000000" w:themeColor="text1"/>
          <w:sz w:val="24"/>
          <w:szCs w:val="24"/>
        </w:rPr>
      </w:pPr>
      <w:r w:rsidRPr="006B185E">
        <w:rPr>
          <w:rFonts w:ascii="Times New Roman" w:hAnsi="Times New Roman" w:cs="Times New Roman"/>
          <w:b/>
          <w:color w:val="000000" w:themeColor="text1"/>
          <w:sz w:val="24"/>
          <w:szCs w:val="24"/>
        </w:rPr>
        <w:t>A.</w:t>
      </w:r>
      <w:r>
        <w:rPr>
          <w:rFonts w:ascii="Times New Roman" w:hAnsi="Times New Roman" w:cs="Times New Roman"/>
          <w:color w:val="000000" w:themeColor="text1"/>
          <w:sz w:val="24"/>
          <w:szCs w:val="24"/>
        </w:rPr>
        <w:t xml:space="preserve"> </w:t>
      </w:r>
      <w:r w:rsidR="00090B7E" w:rsidRPr="00997412">
        <w:rPr>
          <w:rFonts w:ascii="Times New Roman" w:hAnsi="Times New Roman" w:cs="Times New Roman"/>
          <w:color w:val="000000" w:themeColor="text1"/>
          <w:sz w:val="24"/>
          <w:szCs w:val="24"/>
        </w:rPr>
        <w:t>Gradul mediu de implementare al standardelor de control intern managerial la nivelul celor 5</w:t>
      </w:r>
      <w:r w:rsidR="00E90578" w:rsidRPr="00997412">
        <w:rPr>
          <w:rFonts w:ascii="Times New Roman" w:hAnsi="Times New Roman" w:cs="Times New Roman"/>
          <w:color w:val="000000" w:themeColor="text1"/>
          <w:sz w:val="24"/>
          <w:szCs w:val="24"/>
        </w:rPr>
        <w:t>0</w:t>
      </w:r>
      <w:r w:rsidR="00090B7E" w:rsidRPr="00997412">
        <w:rPr>
          <w:rFonts w:ascii="Times New Roman" w:hAnsi="Times New Roman" w:cs="Times New Roman"/>
          <w:color w:val="000000" w:themeColor="text1"/>
          <w:sz w:val="24"/>
          <w:szCs w:val="24"/>
        </w:rPr>
        <w:t xml:space="preserve"> de ordonatori principali de credite, care au raportat la 31 decembrie 201</w:t>
      </w:r>
      <w:r w:rsidR="00E90578" w:rsidRPr="00997412">
        <w:rPr>
          <w:rFonts w:ascii="Times New Roman" w:hAnsi="Times New Roman" w:cs="Times New Roman"/>
          <w:color w:val="000000" w:themeColor="text1"/>
          <w:sz w:val="24"/>
          <w:szCs w:val="24"/>
        </w:rPr>
        <w:t>6</w:t>
      </w:r>
      <w:r w:rsidR="00E12E9B" w:rsidRPr="00997412">
        <w:rPr>
          <w:rFonts w:ascii="Times New Roman" w:hAnsi="Times New Roman" w:cs="Times New Roman"/>
          <w:color w:val="000000" w:themeColor="text1"/>
          <w:sz w:val="24"/>
          <w:szCs w:val="24"/>
        </w:rPr>
        <w:t>,</w:t>
      </w:r>
      <w:r w:rsidR="00090B7E" w:rsidRPr="00997412">
        <w:rPr>
          <w:rFonts w:ascii="Times New Roman" w:hAnsi="Times New Roman" w:cs="Times New Roman"/>
          <w:color w:val="000000" w:themeColor="text1"/>
          <w:sz w:val="24"/>
          <w:szCs w:val="24"/>
        </w:rPr>
        <w:t xml:space="preserve"> </w:t>
      </w:r>
      <w:r w:rsidR="00E12E9B" w:rsidRPr="00997412">
        <w:rPr>
          <w:rFonts w:ascii="Times New Roman" w:hAnsi="Times New Roman" w:cs="Times New Roman"/>
          <w:color w:val="000000" w:themeColor="text1"/>
          <w:sz w:val="24"/>
          <w:szCs w:val="24"/>
        </w:rPr>
        <w:t>așa cum rezultă din situațiile centralizatoare, se prezintă astfel</w:t>
      </w:r>
      <w:r w:rsidR="00090B7E" w:rsidRPr="00997412">
        <w:rPr>
          <w:rFonts w:ascii="Times New Roman" w:hAnsi="Times New Roman" w:cs="Times New Roman"/>
          <w:color w:val="000000" w:themeColor="text1"/>
          <w:sz w:val="24"/>
          <w:szCs w:val="24"/>
        </w:rPr>
        <w:t>:</w:t>
      </w:r>
    </w:p>
    <w:p w:rsidR="00090B7E" w:rsidRPr="006B185E" w:rsidRDefault="00D92A65" w:rsidP="00C7604C">
      <w:pPr>
        <w:pStyle w:val="ListParagraph"/>
        <w:numPr>
          <w:ilvl w:val="0"/>
          <w:numId w:val="81"/>
        </w:numPr>
        <w:spacing w:after="120" w:line="276" w:lineRule="auto"/>
        <w:contextualSpacing w:val="0"/>
        <w:jc w:val="both"/>
        <w:rPr>
          <w:rFonts w:ascii="Times New Roman" w:hAnsi="Times New Roman" w:cs="Times New Roman"/>
          <w:color w:val="000000" w:themeColor="text1"/>
          <w:sz w:val="24"/>
          <w:szCs w:val="24"/>
        </w:rPr>
      </w:pPr>
      <w:r w:rsidRPr="006B185E">
        <w:rPr>
          <w:rFonts w:ascii="Times New Roman" w:hAnsi="Times New Roman" w:cs="Times New Roman"/>
          <w:color w:val="000000" w:themeColor="text1"/>
          <w:sz w:val="24"/>
          <w:szCs w:val="24"/>
        </w:rPr>
        <w:t>78,25</w:t>
      </w:r>
      <w:r w:rsidR="00090B7E" w:rsidRPr="006B185E">
        <w:rPr>
          <w:rFonts w:ascii="Times New Roman" w:hAnsi="Times New Roman" w:cs="Times New Roman"/>
          <w:color w:val="000000" w:themeColor="text1"/>
          <w:sz w:val="24"/>
          <w:szCs w:val="24"/>
        </w:rPr>
        <w:t xml:space="preserve"> % standarde implementate;</w:t>
      </w:r>
    </w:p>
    <w:p w:rsidR="00090B7E" w:rsidRPr="006B185E" w:rsidRDefault="000B2485" w:rsidP="00C7604C">
      <w:pPr>
        <w:pStyle w:val="ListParagraph"/>
        <w:numPr>
          <w:ilvl w:val="0"/>
          <w:numId w:val="81"/>
        </w:numPr>
        <w:spacing w:after="120" w:line="276" w:lineRule="auto"/>
        <w:contextualSpacing w:val="0"/>
        <w:jc w:val="both"/>
        <w:rPr>
          <w:rFonts w:ascii="Times New Roman" w:hAnsi="Times New Roman" w:cs="Times New Roman"/>
          <w:color w:val="000000" w:themeColor="text1"/>
          <w:sz w:val="24"/>
          <w:szCs w:val="24"/>
        </w:rPr>
      </w:pPr>
      <w:r w:rsidRPr="006B185E">
        <w:rPr>
          <w:rFonts w:ascii="Times New Roman" w:hAnsi="Times New Roman" w:cs="Times New Roman"/>
          <w:color w:val="000000" w:themeColor="text1"/>
          <w:sz w:val="24"/>
          <w:szCs w:val="24"/>
        </w:rPr>
        <w:t>19,63</w:t>
      </w:r>
      <w:r w:rsidR="00090B7E" w:rsidRPr="006B185E">
        <w:rPr>
          <w:rFonts w:ascii="Times New Roman" w:hAnsi="Times New Roman" w:cs="Times New Roman"/>
          <w:color w:val="000000" w:themeColor="text1"/>
          <w:sz w:val="24"/>
          <w:szCs w:val="24"/>
        </w:rPr>
        <w:t xml:space="preserve"> % standarde parţial implementate;</w:t>
      </w:r>
    </w:p>
    <w:p w:rsidR="00286F56" w:rsidRPr="006B185E" w:rsidRDefault="000B2485" w:rsidP="00C7604C">
      <w:pPr>
        <w:pStyle w:val="ListParagraph"/>
        <w:numPr>
          <w:ilvl w:val="0"/>
          <w:numId w:val="81"/>
        </w:numPr>
        <w:spacing w:after="120" w:line="276" w:lineRule="auto"/>
        <w:contextualSpacing w:val="0"/>
        <w:jc w:val="both"/>
        <w:rPr>
          <w:rFonts w:ascii="Times New Roman" w:hAnsi="Times New Roman" w:cs="Times New Roman"/>
          <w:color w:val="000000" w:themeColor="text1"/>
          <w:sz w:val="24"/>
          <w:szCs w:val="24"/>
        </w:rPr>
      </w:pPr>
      <w:r w:rsidRPr="006B185E">
        <w:rPr>
          <w:rFonts w:ascii="Times New Roman" w:hAnsi="Times New Roman" w:cs="Times New Roman"/>
          <w:color w:val="000000" w:themeColor="text1"/>
          <w:sz w:val="24"/>
          <w:szCs w:val="24"/>
        </w:rPr>
        <w:t>2,12</w:t>
      </w:r>
      <w:r w:rsidR="00090B7E" w:rsidRPr="006B185E">
        <w:rPr>
          <w:rFonts w:ascii="Times New Roman" w:hAnsi="Times New Roman" w:cs="Times New Roman"/>
          <w:color w:val="000000" w:themeColor="text1"/>
          <w:sz w:val="24"/>
          <w:szCs w:val="24"/>
        </w:rPr>
        <w:t xml:space="preserve"> % standarde neimplementate.</w:t>
      </w:r>
    </w:p>
    <w:p w:rsidR="00A74F71" w:rsidRPr="006B185E" w:rsidRDefault="006B185E" w:rsidP="006B185E">
      <w:pPr>
        <w:tabs>
          <w:tab w:val="left" w:pos="720"/>
          <w:tab w:val="left" w:pos="900"/>
        </w:tabs>
        <w:spacing w:after="120" w:line="276" w:lineRule="auto"/>
        <w:jc w:val="both"/>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 xml:space="preserve">B. </w:t>
      </w:r>
      <w:r w:rsidR="0000249F" w:rsidRPr="006B185E">
        <w:rPr>
          <w:rFonts w:ascii="Times New Roman" w:hAnsi="Times New Roman" w:cs="Times New Roman"/>
          <w:color w:val="000000" w:themeColor="text1"/>
          <w:sz w:val="24"/>
          <w:szCs w:val="24"/>
        </w:rPr>
        <w:t>Gradul de implementare al standardelor de control intern managerial este diferențiat</w:t>
      </w:r>
      <w:r w:rsidR="00F56B97" w:rsidRPr="006B185E">
        <w:rPr>
          <w:rFonts w:ascii="Times New Roman" w:hAnsi="Times New Roman" w:cs="Times New Roman"/>
          <w:color w:val="000000" w:themeColor="text1"/>
          <w:sz w:val="24"/>
          <w:szCs w:val="24"/>
        </w:rPr>
        <w:t>,</w:t>
      </w:r>
      <w:r w:rsidR="0000249F" w:rsidRPr="006B185E">
        <w:rPr>
          <w:rFonts w:ascii="Times New Roman" w:hAnsi="Times New Roman" w:cs="Times New Roman"/>
          <w:color w:val="000000" w:themeColor="text1"/>
          <w:sz w:val="24"/>
          <w:szCs w:val="24"/>
        </w:rPr>
        <w:t xml:space="preserve">  l</w:t>
      </w:r>
      <w:r w:rsidR="00A74F71" w:rsidRPr="006B185E">
        <w:rPr>
          <w:rFonts w:ascii="Times New Roman" w:hAnsi="Times New Roman" w:cs="Times New Roman"/>
          <w:color w:val="000000" w:themeColor="text1"/>
          <w:sz w:val="24"/>
          <w:szCs w:val="24"/>
        </w:rPr>
        <w:t>a nivelul celor 5</w:t>
      </w:r>
      <w:r w:rsidR="00E90578" w:rsidRPr="006B185E">
        <w:rPr>
          <w:rFonts w:ascii="Times New Roman" w:hAnsi="Times New Roman" w:cs="Times New Roman"/>
          <w:color w:val="000000" w:themeColor="text1"/>
          <w:sz w:val="24"/>
          <w:szCs w:val="24"/>
        </w:rPr>
        <w:t>0</w:t>
      </w:r>
      <w:r w:rsidR="00A74F71" w:rsidRPr="006B185E">
        <w:rPr>
          <w:rFonts w:ascii="Times New Roman" w:hAnsi="Times New Roman" w:cs="Times New Roman"/>
          <w:color w:val="000000" w:themeColor="text1"/>
          <w:sz w:val="24"/>
          <w:szCs w:val="24"/>
        </w:rPr>
        <w:t xml:space="preserve"> de ordonatori principali de credite, </w:t>
      </w:r>
      <w:r w:rsidR="0000249F" w:rsidRPr="006B185E">
        <w:rPr>
          <w:rFonts w:ascii="Times New Roman" w:hAnsi="Times New Roman" w:cs="Times New Roman"/>
          <w:color w:val="000000" w:themeColor="text1"/>
          <w:sz w:val="24"/>
          <w:szCs w:val="24"/>
        </w:rPr>
        <w:t>după cum urmează</w:t>
      </w:r>
      <w:r w:rsidR="00A74F71" w:rsidRPr="006B185E">
        <w:rPr>
          <w:rFonts w:ascii="Times New Roman" w:hAnsi="Times New Roman" w:cs="Times New Roman"/>
          <w:color w:val="000000" w:themeColor="text1"/>
          <w:sz w:val="24"/>
          <w:szCs w:val="24"/>
        </w:rPr>
        <w:t>:</w:t>
      </w:r>
    </w:p>
    <w:p w:rsidR="00A74F71" w:rsidRPr="006B185E" w:rsidRDefault="00E90578" w:rsidP="00C7604C">
      <w:pPr>
        <w:pStyle w:val="ListParagraph"/>
        <w:numPr>
          <w:ilvl w:val="0"/>
          <w:numId w:val="82"/>
        </w:numPr>
        <w:spacing w:after="120" w:line="276" w:lineRule="auto"/>
        <w:contextualSpacing w:val="0"/>
        <w:jc w:val="both"/>
        <w:rPr>
          <w:rFonts w:ascii="Times New Roman" w:hAnsi="Times New Roman" w:cs="Times New Roman"/>
          <w:color w:val="000000" w:themeColor="text1"/>
          <w:sz w:val="24"/>
          <w:szCs w:val="24"/>
        </w:rPr>
      </w:pPr>
      <w:r w:rsidRPr="006B185E">
        <w:rPr>
          <w:rFonts w:ascii="Times New Roman" w:hAnsi="Times New Roman" w:cs="Times New Roman"/>
          <w:color w:val="000000" w:themeColor="text1"/>
          <w:sz w:val="24"/>
          <w:szCs w:val="24"/>
        </w:rPr>
        <w:t xml:space="preserve">20 </w:t>
      </w:r>
      <w:r w:rsidR="00A74F71" w:rsidRPr="006B185E">
        <w:rPr>
          <w:rFonts w:ascii="Times New Roman" w:hAnsi="Times New Roman" w:cs="Times New Roman"/>
          <w:color w:val="000000" w:themeColor="text1"/>
          <w:sz w:val="24"/>
          <w:szCs w:val="24"/>
        </w:rPr>
        <w:t xml:space="preserve">de ordonatori principali de credite, reprezentând </w:t>
      </w:r>
      <w:r w:rsidRPr="006B185E">
        <w:rPr>
          <w:rFonts w:ascii="Times New Roman" w:hAnsi="Times New Roman" w:cs="Times New Roman"/>
          <w:color w:val="000000" w:themeColor="text1"/>
          <w:sz w:val="24"/>
          <w:szCs w:val="24"/>
        </w:rPr>
        <w:t>40,00</w:t>
      </w:r>
      <w:r w:rsidR="00A74F71" w:rsidRPr="006B185E">
        <w:rPr>
          <w:rFonts w:ascii="Times New Roman" w:hAnsi="Times New Roman" w:cs="Times New Roman"/>
          <w:color w:val="000000" w:themeColor="text1"/>
          <w:sz w:val="24"/>
          <w:szCs w:val="24"/>
        </w:rPr>
        <w:t xml:space="preserve">%, au un grad de implementare de peste 90%; </w:t>
      </w:r>
    </w:p>
    <w:p w:rsidR="00A74F71" w:rsidRPr="006B185E" w:rsidRDefault="00E90578" w:rsidP="00C7604C">
      <w:pPr>
        <w:pStyle w:val="ListParagraph"/>
        <w:numPr>
          <w:ilvl w:val="0"/>
          <w:numId w:val="82"/>
        </w:numPr>
        <w:spacing w:after="120" w:line="276" w:lineRule="auto"/>
        <w:contextualSpacing w:val="0"/>
        <w:jc w:val="both"/>
        <w:rPr>
          <w:rFonts w:ascii="Times New Roman" w:hAnsi="Times New Roman" w:cs="Times New Roman"/>
          <w:color w:val="000000" w:themeColor="text1"/>
          <w:sz w:val="24"/>
          <w:szCs w:val="24"/>
        </w:rPr>
      </w:pPr>
      <w:r w:rsidRPr="006B185E">
        <w:rPr>
          <w:rFonts w:ascii="Times New Roman" w:hAnsi="Times New Roman" w:cs="Times New Roman"/>
          <w:color w:val="000000" w:themeColor="text1"/>
          <w:sz w:val="24"/>
          <w:szCs w:val="24"/>
        </w:rPr>
        <w:t>7</w:t>
      </w:r>
      <w:r w:rsidR="00A74F71" w:rsidRPr="006B185E">
        <w:rPr>
          <w:rFonts w:ascii="Times New Roman" w:hAnsi="Times New Roman" w:cs="Times New Roman"/>
          <w:color w:val="000000" w:themeColor="text1"/>
          <w:sz w:val="24"/>
          <w:szCs w:val="24"/>
        </w:rPr>
        <w:t xml:space="preserve"> ordonatori principali de credite, reprezentând </w:t>
      </w:r>
      <w:r w:rsidRPr="006B185E">
        <w:rPr>
          <w:rFonts w:ascii="Times New Roman" w:hAnsi="Times New Roman" w:cs="Times New Roman"/>
          <w:color w:val="000000" w:themeColor="text1"/>
          <w:sz w:val="24"/>
          <w:szCs w:val="24"/>
        </w:rPr>
        <w:t>14,00</w:t>
      </w:r>
      <w:r w:rsidR="009B77CA" w:rsidRPr="006B185E">
        <w:rPr>
          <w:rFonts w:ascii="Times New Roman" w:hAnsi="Times New Roman" w:cs="Times New Roman"/>
          <w:color w:val="000000" w:themeColor="text1"/>
          <w:sz w:val="24"/>
          <w:szCs w:val="24"/>
        </w:rPr>
        <w:t>%</w:t>
      </w:r>
      <w:r w:rsidR="00A74F71" w:rsidRPr="006B185E">
        <w:rPr>
          <w:rFonts w:ascii="Times New Roman" w:hAnsi="Times New Roman" w:cs="Times New Roman"/>
          <w:color w:val="000000" w:themeColor="text1"/>
          <w:sz w:val="24"/>
          <w:szCs w:val="24"/>
        </w:rPr>
        <w:t>, au un grad de implementare cuprins între 75% și 90%;</w:t>
      </w:r>
    </w:p>
    <w:p w:rsidR="00A74F71" w:rsidRPr="006B185E" w:rsidRDefault="00D92A65" w:rsidP="00C7604C">
      <w:pPr>
        <w:pStyle w:val="ListParagraph"/>
        <w:numPr>
          <w:ilvl w:val="0"/>
          <w:numId w:val="82"/>
        </w:numPr>
        <w:spacing w:after="120" w:line="276" w:lineRule="auto"/>
        <w:contextualSpacing w:val="0"/>
        <w:jc w:val="both"/>
        <w:rPr>
          <w:rFonts w:ascii="Times New Roman" w:hAnsi="Times New Roman" w:cs="Times New Roman"/>
          <w:color w:val="000000" w:themeColor="text1"/>
          <w:sz w:val="24"/>
          <w:szCs w:val="24"/>
        </w:rPr>
      </w:pPr>
      <w:r w:rsidRPr="006B185E">
        <w:rPr>
          <w:rFonts w:ascii="Times New Roman" w:hAnsi="Times New Roman" w:cs="Times New Roman"/>
          <w:color w:val="000000" w:themeColor="text1"/>
          <w:sz w:val="24"/>
          <w:szCs w:val="24"/>
        </w:rPr>
        <w:t>23</w:t>
      </w:r>
      <w:r w:rsidR="00A74F71" w:rsidRPr="006B185E">
        <w:rPr>
          <w:rFonts w:ascii="Times New Roman" w:hAnsi="Times New Roman" w:cs="Times New Roman"/>
          <w:color w:val="000000" w:themeColor="text1"/>
          <w:sz w:val="24"/>
          <w:szCs w:val="24"/>
        </w:rPr>
        <w:t xml:space="preserve"> ordonatori principali de credite, reprezentând </w:t>
      </w:r>
      <w:r w:rsidRPr="006B185E">
        <w:rPr>
          <w:rFonts w:ascii="Times New Roman" w:hAnsi="Times New Roman" w:cs="Times New Roman"/>
          <w:color w:val="000000" w:themeColor="text1"/>
          <w:sz w:val="24"/>
          <w:szCs w:val="24"/>
        </w:rPr>
        <w:t>46,00</w:t>
      </w:r>
      <w:r w:rsidR="00A74F71" w:rsidRPr="006B185E">
        <w:rPr>
          <w:rFonts w:ascii="Times New Roman" w:hAnsi="Times New Roman" w:cs="Times New Roman"/>
          <w:color w:val="000000" w:themeColor="text1"/>
          <w:sz w:val="24"/>
          <w:szCs w:val="24"/>
        </w:rPr>
        <w:t>%, au un grad de implem</w:t>
      </w:r>
      <w:r w:rsidR="001A5AA4">
        <w:rPr>
          <w:rFonts w:ascii="Times New Roman" w:hAnsi="Times New Roman" w:cs="Times New Roman"/>
          <w:color w:val="000000" w:themeColor="text1"/>
          <w:sz w:val="24"/>
          <w:szCs w:val="24"/>
        </w:rPr>
        <w:t>entare cuprins între 50% și 75%.</w:t>
      </w:r>
      <w:r w:rsidR="00A74F71" w:rsidRPr="006B185E">
        <w:rPr>
          <w:rFonts w:ascii="Times New Roman" w:hAnsi="Times New Roman" w:cs="Times New Roman"/>
          <w:color w:val="000000" w:themeColor="text1"/>
          <w:sz w:val="24"/>
          <w:szCs w:val="24"/>
        </w:rPr>
        <w:t xml:space="preserve"> </w:t>
      </w:r>
    </w:p>
    <w:p w:rsidR="00A74F71" w:rsidRPr="006B185E" w:rsidRDefault="00A74F71" w:rsidP="006B185E">
      <w:pPr>
        <w:pStyle w:val="ListParagraph"/>
        <w:spacing w:after="120" w:line="276" w:lineRule="auto"/>
        <w:ind w:left="0"/>
        <w:contextualSpacing w:val="0"/>
        <w:jc w:val="both"/>
        <w:rPr>
          <w:rFonts w:ascii="Times New Roman" w:hAnsi="Times New Roman" w:cs="Times New Roman"/>
          <w:i/>
          <w:color w:val="000000" w:themeColor="text1"/>
          <w:sz w:val="24"/>
          <w:szCs w:val="24"/>
        </w:rPr>
      </w:pPr>
      <w:r w:rsidRPr="006B185E">
        <w:rPr>
          <w:rFonts w:ascii="Times New Roman" w:hAnsi="Times New Roman" w:cs="Times New Roman"/>
          <w:i/>
          <w:color w:val="000000" w:themeColor="text1"/>
          <w:sz w:val="24"/>
          <w:szCs w:val="24"/>
        </w:rPr>
        <w:t>În concluzie, constatăm că din cei 5</w:t>
      </w:r>
      <w:r w:rsidR="00D92A65" w:rsidRPr="006B185E">
        <w:rPr>
          <w:rFonts w:ascii="Times New Roman" w:hAnsi="Times New Roman" w:cs="Times New Roman"/>
          <w:i/>
          <w:color w:val="000000" w:themeColor="text1"/>
          <w:sz w:val="24"/>
          <w:szCs w:val="24"/>
        </w:rPr>
        <w:t>0</w:t>
      </w:r>
      <w:r w:rsidRPr="006B185E">
        <w:rPr>
          <w:rFonts w:ascii="Times New Roman" w:hAnsi="Times New Roman" w:cs="Times New Roman"/>
          <w:i/>
          <w:color w:val="000000" w:themeColor="text1"/>
          <w:sz w:val="24"/>
          <w:szCs w:val="24"/>
        </w:rPr>
        <w:t xml:space="preserve"> de ordonatori principali de credite, numai 13 au declarat toate cele 16 standarde de control intern managerial implementate, </w:t>
      </w:r>
      <w:r w:rsidR="00286F56" w:rsidRPr="006B185E">
        <w:rPr>
          <w:rFonts w:ascii="Times New Roman" w:hAnsi="Times New Roman" w:cs="Times New Roman"/>
          <w:i/>
          <w:color w:val="000000" w:themeColor="text1"/>
          <w:sz w:val="24"/>
          <w:szCs w:val="24"/>
        </w:rPr>
        <w:t xml:space="preserve">care reprezintă </w:t>
      </w:r>
      <w:r w:rsidRPr="006B185E">
        <w:rPr>
          <w:rFonts w:ascii="Times New Roman" w:hAnsi="Times New Roman" w:cs="Times New Roman"/>
          <w:i/>
          <w:color w:val="000000" w:themeColor="text1"/>
          <w:sz w:val="24"/>
          <w:szCs w:val="24"/>
        </w:rPr>
        <w:t>2</w:t>
      </w:r>
      <w:r w:rsidR="00D92A65" w:rsidRPr="006B185E">
        <w:rPr>
          <w:rFonts w:ascii="Times New Roman" w:hAnsi="Times New Roman" w:cs="Times New Roman"/>
          <w:i/>
          <w:color w:val="000000" w:themeColor="text1"/>
          <w:sz w:val="24"/>
          <w:szCs w:val="24"/>
        </w:rPr>
        <w:t>6</w:t>
      </w:r>
      <w:r w:rsidRPr="006B185E">
        <w:rPr>
          <w:rFonts w:ascii="Times New Roman" w:hAnsi="Times New Roman" w:cs="Times New Roman"/>
          <w:i/>
          <w:color w:val="000000" w:themeColor="text1"/>
          <w:sz w:val="24"/>
          <w:szCs w:val="24"/>
        </w:rPr>
        <w:t>%.</w:t>
      </w:r>
    </w:p>
    <w:p w:rsidR="00A74F71" w:rsidRPr="006B185E" w:rsidRDefault="006B185E" w:rsidP="006B185E">
      <w:pPr>
        <w:spacing w:after="120" w:line="276" w:lineRule="auto"/>
        <w:jc w:val="both"/>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 xml:space="preserve">C. </w:t>
      </w:r>
      <w:r w:rsidR="00A74F71" w:rsidRPr="006B185E">
        <w:rPr>
          <w:rFonts w:ascii="Times New Roman" w:hAnsi="Times New Roman" w:cs="Times New Roman"/>
          <w:color w:val="000000" w:themeColor="text1"/>
          <w:sz w:val="24"/>
          <w:szCs w:val="24"/>
        </w:rPr>
        <w:t>Gradul mediu de implementare al standardelor de control intern managerial la nivelul entităţilor publice subordonate sau aflate în coordonarea ordonatorilor principali de credite, la data de 31 decembrie 201</w:t>
      </w:r>
      <w:r w:rsidR="00D92A65" w:rsidRPr="006B185E">
        <w:rPr>
          <w:rFonts w:ascii="Times New Roman" w:hAnsi="Times New Roman" w:cs="Times New Roman"/>
          <w:color w:val="000000" w:themeColor="text1"/>
          <w:sz w:val="24"/>
          <w:szCs w:val="24"/>
        </w:rPr>
        <w:t>6</w:t>
      </w:r>
      <w:r w:rsidR="00A74F71" w:rsidRPr="006B185E">
        <w:rPr>
          <w:rFonts w:ascii="Times New Roman" w:hAnsi="Times New Roman" w:cs="Times New Roman"/>
          <w:color w:val="000000" w:themeColor="text1"/>
          <w:sz w:val="24"/>
          <w:szCs w:val="24"/>
        </w:rPr>
        <w:t xml:space="preserve">, pe baza datelor cuprinse în </w:t>
      </w:r>
      <w:r w:rsidR="00286F56" w:rsidRPr="006B185E">
        <w:rPr>
          <w:rFonts w:ascii="Times New Roman" w:hAnsi="Times New Roman" w:cs="Times New Roman"/>
          <w:color w:val="000000" w:themeColor="text1"/>
          <w:sz w:val="24"/>
          <w:szCs w:val="24"/>
        </w:rPr>
        <w:t>Anexa nr. 2 la Raport</w:t>
      </w:r>
      <w:r w:rsidR="00A74F71" w:rsidRPr="006B185E">
        <w:rPr>
          <w:rFonts w:ascii="Times New Roman" w:hAnsi="Times New Roman" w:cs="Times New Roman"/>
          <w:color w:val="000000" w:themeColor="text1"/>
          <w:sz w:val="24"/>
          <w:szCs w:val="24"/>
        </w:rPr>
        <w:t xml:space="preserve">, este următorul: </w:t>
      </w:r>
    </w:p>
    <w:p w:rsidR="00A74F71" w:rsidRPr="006B185E" w:rsidRDefault="00522700" w:rsidP="00C7604C">
      <w:pPr>
        <w:numPr>
          <w:ilvl w:val="0"/>
          <w:numId w:val="83"/>
        </w:numPr>
        <w:spacing w:after="0" w:line="276" w:lineRule="auto"/>
        <w:ind w:left="850" w:hanging="425"/>
        <w:jc w:val="both"/>
        <w:rPr>
          <w:rFonts w:ascii="Times New Roman" w:hAnsi="Times New Roman" w:cs="Times New Roman"/>
          <w:color w:val="000000" w:themeColor="text1"/>
          <w:sz w:val="24"/>
          <w:szCs w:val="24"/>
        </w:rPr>
      </w:pPr>
      <w:r w:rsidRPr="006B185E">
        <w:rPr>
          <w:rFonts w:ascii="Times New Roman" w:eastAsia="Times New Roman" w:hAnsi="Times New Roman" w:cs="Times New Roman"/>
          <w:bCs/>
          <w:color w:val="000000" w:themeColor="text1"/>
          <w:sz w:val="24"/>
          <w:szCs w:val="24"/>
          <w:lang w:eastAsia="ro-RO"/>
        </w:rPr>
        <w:t>90,14</w:t>
      </w:r>
      <w:r w:rsidR="00A74F71" w:rsidRPr="006B185E">
        <w:rPr>
          <w:rFonts w:ascii="Times New Roman" w:hAnsi="Times New Roman" w:cs="Times New Roman"/>
          <w:color w:val="000000" w:themeColor="text1"/>
          <w:sz w:val="24"/>
          <w:szCs w:val="24"/>
        </w:rPr>
        <w:t>% standarde implementate;</w:t>
      </w:r>
    </w:p>
    <w:p w:rsidR="00A74F71" w:rsidRPr="006B185E" w:rsidRDefault="00522700" w:rsidP="00C7604C">
      <w:pPr>
        <w:numPr>
          <w:ilvl w:val="0"/>
          <w:numId w:val="83"/>
        </w:numPr>
        <w:spacing w:after="0" w:line="276" w:lineRule="auto"/>
        <w:ind w:left="850" w:hanging="425"/>
        <w:jc w:val="both"/>
        <w:rPr>
          <w:rFonts w:ascii="Times New Roman" w:hAnsi="Times New Roman" w:cs="Times New Roman"/>
          <w:color w:val="000000" w:themeColor="text1"/>
          <w:sz w:val="24"/>
          <w:szCs w:val="24"/>
        </w:rPr>
      </w:pPr>
      <w:r w:rsidRPr="006B185E">
        <w:rPr>
          <w:rFonts w:ascii="Times New Roman" w:eastAsia="Times New Roman" w:hAnsi="Times New Roman" w:cs="Times New Roman"/>
          <w:bCs/>
          <w:color w:val="000000" w:themeColor="text1"/>
          <w:sz w:val="24"/>
          <w:szCs w:val="24"/>
          <w:lang w:eastAsia="ro-RO"/>
        </w:rPr>
        <w:t>7,44</w:t>
      </w:r>
      <w:r w:rsidR="00A74F71" w:rsidRPr="006B185E">
        <w:rPr>
          <w:rFonts w:ascii="Times New Roman" w:hAnsi="Times New Roman" w:cs="Times New Roman"/>
          <w:color w:val="000000" w:themeColor="text1"/>
          <w:sz w:val="24"/>
          <w:szCs w:val="24"/>
        </w:rPr>
        <w:t>% standarde parţial implementate;</w:t>
      </w:r>
    </w:p>
    <w:p w:rsidR="00A74F71" w:rsidRPr="006B185E" w:rsidRDefault="00522700" w:rsidP="00C7604C">
      <w:pPr>
        <w:pStyle w:val="ListParagraph"/>
        <w:numPr>
          <w:ilvl w:val="0"/>
          <w:numId w:val="83"/>
        </w:numPr>
        <w:spacing w:after="0" w:line="276" w:lineRule="auto"/>
        <w:ind w:left="850" w:hanging="425"/>
        <w:contextualSpacing w:val="0"/>
        <w:jc w:val="both"/>
        <w:rPr>
          <w:rFonts w:ascii="Times New Roman" w:hAnsi="Times New Roman" w:cs="Times New Roman"/>
          <w:color w:val="000000" w:themeColor="text1"/>
          <w:sz w:val="24"/>
          <w:szCs w:val="24"/>
        </w:rPr>
      </w:pPr>
      <w:r w:rsidRPr="006B185E">
        <w:rPr>
          <w:rFonts w:ascii="Times New Roman" w:eastAsia="Times New Roman" w:hAnsi="Times New Roman" w:cs="Times New Roman"/>
          <w:bCs/>
          <w:color w:val="000000" w:themeColor="text1"/>
          <w:sz w:val="24"/>
          <w:szCs w:val="24"/>
          <w:lang w:eastAsia="ro-RO"/>
        </w:rPr>
        <w:t>2,42</w:t>
      </w:r>
      <w:r w:rsidR="00A74F71" w:rsidRPr="006B185E">
        <w:rPr>
          <w:rFonts w:ascii="Times New Roman" w:hAnsi="Times New Roman" w:cs="Times New Roman"/>
          <w:color w:val="000000" w:themeColor="text1"/>
          <w:sz w:val="24"/>
          <w:szCs w:val="24"/>
        </w:rPr>
        <w:t>% standarde neimplementate.</w:t>
      </w:r>
    </w:p>
    <w:p w:rsidR="00E236DC" w:rsidRPr="00997412" w:rsidRDefault="00E236DC" w:rsidP="006B185E">
      <w:pPr>
        <w:pStyle w:val="ListParagraph"/>
        <w:spacing w:after="120" w:line="276" w:lineRule="auto"/>
        <w:ind w:left="0"/>
        <w:contextualSpacing w:val="0"/>
        <w:jc w:val="both"/>
        <w:rPr>
          <w:rFonts w:ascii="Times New Roman" w:hAnsi="Times New Roman" w:cs="Times New Roman"/>
          <w:sz w:val="24"/>
          <w:szCs w:val="24"/>
        </w:rPr>
      </w:pPr>
      <w:r w:rsidRPr="00997412">
        <w:rPr>
          <w:rFonts w:ascii="Times New Roman" w:hAnsi="Times New Roman" w:cs="Times New Roman"/>
          <w:sz w:val="24"/>
          <w:szCs w:val="24"/>
        </w:rPr>
        <w:t>Din analiza standardelor de control intern managerial se constată că gradul de implementare a acestora la nivelul ordonatorilor principali de credite este inferior gradului de implementare a standardelor de control intern managerial de la nivelul or</w:t>
      </w:r>
      <w:r w:rsidR="00286F56" w:rsidRPr="00997412">
        <w:rPr>
          <w:rFonts w:ascii="Times New Roman" w:hAnsi="Times New Roman" w:cs="Times New Roman"/>
          <w:sz w:val="24"/>
          <w:szCs w:val="24"/>
        </w:rPr>
        <w:t>donatorilor secundari și terțiar</w:t>
      </w:r>
      <w:r w:rsidRPr="00997412">
        <w:rPr>
          <w:rFonts w:ascii="Times New Roman" w:hAnsi="Times New Roman" w:cs="Times New Roman"/>
          <w:sz w:val="24"/>
          <w:szCs w:val="24"/>
        </w:rPr>
        <w:t>i</w:t>
      </w:r>
      <w:r w:rsidR="00286F56" w:rsidRPr="00997412">
        <w:rPr>
          <w:rFonts w:ascii="Times New Roman" w:hAnsi="Times New Roman" w:cs="Times New Roman"/>
          <w:sz w:val="24"/>
          <w:szCs w:val="24"/>
        </w:rPr>
        <w:t xml:space="preserve"> de credite</w:t>
      </w:r>
      <w:r w:rsidRPr="00997412">
        <w:rPr>
          <w:rFonts w:ascii="Times New Roman" w:hAnsi="Times New Roman" w:cs="Times New Roman"/>
          <w:sz w:val="24"/>
          <w:szCs w:val="24"/>
        </w:rPr>
        <w:t>.</w:t>
      </w:r>
    </w:p>
    <w:p w:rsidR="006D6317" w:rsidRPr="006D6317" w:rsidRDefault="006D6317" w:rsidP="00602BDC">
      <w:pPr>
        <w:pStyle w:val="ListParagraph"/>
        <w:spacing w:line="276" w:lineRule="auto"/>
        <w:jc w:val="both"/>
        <w:rPr>
          <w:rFonts w:ascii="Times New Roman" w:hAnsi="Times New Roman" w:cs="Times New Roman"/>
          <w:sz w:val="24"/>
          <w:szCs w:val="24"/>
        </w:rPr>
      </w:pPr>
    </w:p>
    <w:p w:rsidR="006D6317" w:rsidRPr="007D3FE6" w:rsidRDefault="00CA16E5" w:rsidP="009D4AA2">
      <w:pPr>
        <w:pStyle w:val="Raport"/>
        <w:spacing w:after="360"/>
        <w:jc w:val="both"/>
        <w:rPr>
          <w:sz w:val="24"/>
          <w:szCs w:val="24"/>
        </w:rPr>
      </w:pPr>
      <w:bookmarkStart w:id="23" w:name="_Toc485992684"/>
      <w:r w:rsidRPr="007D3FE6">
        <w:rPr>
          <w:sz w:val="24"/>
          <w:szCs w:val="24"/>
        </w:rPr>
        <w:t xml:space="preserve">4.3. </w:t>
      </w:r>
      <w:r w:rsidR="00330F31" w:rsidRPr="007D3FE6">
        <w:rPr>
          <w:sz w:val="24"/>
          <w:szCs w:val="24"/>
        </w:rPr>
        <w:t xml:space="preserve">Raport asupra </w:t>
      </w:r>
      <w:r w:rsidR="0056194C">
        <w:rPr>
          <w:sz w:val="24"/>
          <w:szCs w:val="24"/>
        </w:rPr>
        <w:t>SCIM</w:t>
      </w:r>
      <w:r w:rsidR="00776186">
        <w:rPr>
          <w:sz w:val="24"/>
          <w:szCs w:val="24"/>
        </w:rPr>
        <w:t xml:space="preserve"> la data de 31 decembrie 2016</w:t>
      </w:r>
      <w:r w:rsidR="0056194C">
        <w:rPr>
          <w:sz w:val="24"/>
          <w:szCs w:val="24"/>
        </w:rPr>
        <w:t xml:space="preserve"> - </w:t>
      </w:r>
      <w:r w:rsidR="008F0E28">
        <w:rPr>
          <w:sz w:val="24"/>
          <w:szCs w:val="24"/>
        </w:rPr>
        <w:t xml:space="preserve">Anexa </w:t>
      </w:r>
      <w:r w:rsidR="00997412" w:rsidRPr="007D3FE6">
        <w:rPr>
          <w:sz w:val="24"/>
          <w:szCs w:val="24"/>
        </w:rPr>
        <w:t>4</w:t>
      </w:r>
      <w:r w:rsidR="00330F31" w:rsidRPr="007D3FE6">
        <w:rPr>
          <w:sz w:val="24"/>
          <w:szCs w:val="24"/>
        </w:rPr>
        <w:t>.3</w:t>
      </w:r>
      <w:bookmarkEnd w:id="23"/>
      <w:r w:rsidR="007814BF" w:rsidRPr="007D3FE6">
        <w:rPr>
          <w:sz w:val="24"/>
          <w:szCs w:val="24"/>
        </w:rPr>
        <w:t xml:space="preserve"> </w:t>
      </w:r>
    </w:p>
    <w:p w:rsidR="00330F31" w:rsidRPr="00997412" w:rsidRDefault="00330F31" w:rsidP="00997412">
      <w:pPr>
        <w:pStyle w:val="ListParagraph"/>
        <w:tabs>
          <w:tab w:val="left" w:pos="810"/>
          <w:tab w:val="left" w:pos="990"/>
          <w:tab w:val="left" w:pos="1080"/>
          <w:tab w:val="left" w:pos="1170"/>
        </w:tabs>
        <w:spacing w:line="276" w:lineRule="auto"/>
        <w:ind w:left="0"/>
        <w:jc w:val="both"/>
        <w:rPr>
          <w:rFonts w:ascii="Times New Roman" w:hAnsi="Times New Roman" w:cs="Times New Roman"/>
          <w:color w:val="000000" w:themeColor="text1"/>
          <w:sz w:val="24"/>
          <w:szCs w:val="24"/>
        </w:rPr>
      </w:pPr>
      <w:r w:rsidRPr="00997412">
        <w:rPr>
          <w:rFonts w:ascii="Times New Roman" w:hAnsi="Times New Roman" w:cs="Times New Roman"/>
          <w:color w:val="000000" w:themeColor="text1"/>
          <w:sz w:val="24"/>
          <w:szCs w:val="24"/>
        </w:rPr>
        <w:t xml:space="preserve">Prin centralizarea informațiile transmise de entitățile publice centrale, DCIMRI a elaborat </w:t>
      </w:r>
      <w:r w:rsidR="00997412">
        <w:rPr>
          <w:rFonts w:ascii="Times New Roman" w:hAnsi="Times New Roman" w:cs="Times New Roman"/>
          <w:color w:val="000000" w:themeColor="text1"/>
          <w:sz w:val="24"/>
          <w:szCs w:val="24"/>
        </w:rPr>
        <w:t>c</w:t>
      </w:r>
      <w:r w:rsidRPr="00997412">
        <w:rPr>
          <w:rFonts w:ascii="Times New Roman" w:hAnsi="Times New Roman" w:cs="Times New Roman"/>
          <w:color w:val="000000" w:themeColor="text1"/>
          <w:sz w:val="24"/>
          <w:szCs w:val="24"/>
        </w:rPr>
        <w:t>entralizarea privind rapoartele asupra SCIM la data de 31 decembrie 201</w:t>
      </w:r>
      <w:r w:rsidR="00522700" w:rsidRPr="00997412">
        <w:rPr>
          <w:rFonts w:ascii="Times New Roman" w:hAnsi="Times New Roman" w:cs="Times New Roman"/>
          <w:color w:val="000000" w:themeColor="text1"/>
          <w:sz w:val="24"/>
          <w:szCs w:val="24"/>
        </w:rPr>
        <w:t>6</w:t>
      </w:r>
      <w:r w:rsidRPr="00997412">
        <w:rPr>
          <w:rFonts w:ascii="Times New Roman" w:hAnsi="Times New Roman" w:cs="Times New Roman"/>
          <w:color w:val="000000" w:themeColor="text1"/>
          <w:sz w:val="24"/>
          <w:szCs w:val="24"/>
        </w:rPr>
        <w:t>, prezentată în  Anexa nr.</w:t>
      </w:r>
      <w:r w:rsidR="00997412">
        <w:rPr>
          <w:rFonts w:ascii="Times New Roman" w:hAnsi="Times New Roman" w:cs="Times New Roman"/>
          <w:color w:val="000000" w:themeColor="text1"/>
          <w:sz w:val="24"/>
          <w:szCs w:val="24"/>
        </w:rPr>
        <w:t>3 la Raport,</w:t>
      </w:r>
      <w:r w:rsidRPr="00997412">
        <w:rPr>
          <w:rFonts w:ascii="Times New Roman" w:hAnsi="Times New Roman" w:cs="Times New Roman"/>
          <w:color w:val="000000" w:themeColor="text1"/>
          <w:sz w:val="24"/>
          <w:szCs w:val="24"/>
        </w:rPr>
        <w:t xml:space="preserve"> din analiza căreia au rezultat următoarele:</w:t>
      </w:r>
    </w:p>
    <w:p w:rsidR="00E236DC" w:rsidRPr="00997412" w:rsidRDefault="00997412" w:rsidP="00997412">
      <w:pPr>
        <w:tabs>
          <w:tab w:val="left" w:pos="540"/>
          <w:tab w:val="left" w:pos="630"/>
        </w:tabs>
        <w:spacing w:line="276" w:lineRule="auto"/>
        <w:jc w:val="both"/>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A</w:t>
      </w:r>
      <w:r w:rsidRPr="00997412">
        <w:rPr>
          <w:rFonts w:ascii="Times New Roman" w:hAnsi="Times New Roman" w:cs="Times New Roman"/>
          <w:b/>
          <w:color w:val="000000" w:themeColor="text1"/>
          <w:sz w:val="24"/>
          <w:szCs w:val="24"/>
        </w:rPr>
        <w:t>.</w:t>
      </w:r>
      <w:r>
        <w:rPr>
          <w:rFonts w:ascii="Times New Roman" w:hAnsi="Times New Roman" w:cs="Times New Roman"/>
          <w:color w:val="000000" w:themeColor="text1"/>
          <w:sz w:val="24"/>
          <w:szCs w:val="24"/>
        </w:rPr>
        <w:t xml:space="preserve"> </w:t>
      </w:r>
      <w:r w:rsidR="00E236DC" w:rsidRPr="00997412">
        <w:rPr>
          <w:rFonts w:ascii="Times New Roman" w:hAnsi="Times New Roman" w:cs="Times New Roman"/>
          <w:color w:val="000000" w:themeColor="text1"/>
          <w:sz w:val="24"/>
          <w:szCs w:val="24"/>
        </w:rPr>
        <w:t xml:space="preserve">Stadiul implementării sistemului de control intern managerial la nivelul celor </w:t>
      </w:r>
      <w:r w:rsidR="00522700" w:rsidRPr="00997412">
        <w:rPr>
          <w:rFonts w:ascii="Times New Roman" w:hAnsi="Times New Roman" w:cs="Times New Roman"/>
          <w:color w:val="000000" w:themeColor="text1"/>
          <w:sz w:val="24"/>
          <w:szCs w:val="24"/>
        </w:rPr>
        <w:t>50</w:t>
      </w:r>
      <w:r w:rsidR="00E236DC" w:rsidRPr="00997412">
        <w:rPr>
          <w:rFonts w:ascii="Times New Roman" w:hAnsi="Times New Roman" w:cs="Times New Roman"/>
          <w:color w:val="000000" w:themeColor="text1"/>
          <w:sz w:val="24"/>
          <w:szCs w:val="24"/>
        </w:rPr>
        <w:t xml:space="preserve"> de ordonatori principali de credite, la </w:t>
      </w:r>
      <w:r w:rsidR="00286F56" w:rsidRPr="00997412">
        <w:rPr>
          <w:rFonts w:ascii="Times New Roman" w:hAnsi="Times New Roman" w:cs="Times New Roman"/>
          <w:color w:val="000000" w:themeColor="text1"/>
          <w:sz w:val="24"/>
          <w:szCs w:val="24"/>
        </w:rPr>
        <w:t>sfârșitul</w:t>
      </w:r>
      <w:r w:rsidR="00E236DC" w:rsidRPr="00997412">
        <w:rPr>
          <w:rFonts w:ascii="Times New Roman" w:hAnsi="Times New Roman" w:cs="Times New Roman"/>
          <w:color w:val="000000" w:themeColor="text1"/>
          <w:sz w:val="24"/>
          <w:szCs w:val="24"/>
        </w:rPr>
        <w:t xml:space="preserve"> anului 201</w:t>
      </w:r>
      <w:r w:rsidR="00522700" w:rsidRPr="00997412">
        <w:rPr>
          <w:rFonts w:ascii="Times New Roman" w:hAnsi="Times New Roman" w:cs="Times New Roman"/>
          <w:color w:val="000000" w:themeColor="text1"/>
          <w:sz w:val="24"/>
          <w:szCs w:val="24"/>
        </w:rPr>
        <w:t>6</w:t>
      </w:r>
      <w:r w:rsidR="00E236DC" w:rsidRPr="00997412">
        <w:rPr>
          <w:rFonts w:ascii="Times New Roman" w:hAnsi="Times New Roman" w:cs="Times New Roman"/>
          <w:color w:val="000000" w:themeColor="text1"/>
          <w:sz w:val="24"/>
          <w:szCs w:val="24"/>
        </w:rPr>
        <w:t>, se prezintă astfel:</w:t>
      </w:r>
    </w:p>
    <w:p w:rsidR="00E236DC" w:rsidRPr="00997412" w:rsidRDefault="00184AFE" w:rsidP="00C7604C">
      <w:pPr>
        <w:pStyle w:val="ListParagraph"/>
        <w:numPr>
          <w:ilvl w:val="0"/>
          <w:numId w:val="85"/>
        </w:numPr>
        <w:tabs>
          <w:tab w:val="left" w:pos="851"/>
        </w:tabs>
        <w:spacing w:after="0" w:line="276" w:lineRule="auto"/>
        <w:ind w:left="851" w:hanging="284"/>
        <w:contextualSpacing w:val="0"/>
        <w:jc w:val="both"/>
        <w:rPr>
          <w:rFonts w:ascii="Times New Roman" w:hAnsi="Times New Roman" w:cs="Times New Roman"/>
          <w:color w:val="000000" w:themeColor="text1"/>
          <w:sz w:val="24"/>
          <w:szCs w:val="24"/>
        </w:rPr>
      </w:pPr>
      <w:r w:rsidRPr="00C0521D">
        <w:rPr>
          <w:rFonts w:ascii="Times New Roman" w:hAnsi="Times New Roman" w:cs="Times New Roman"/>
          <w:b/>
          <w:color w:val="000000" w:themeColor="text1"/>
          <w:sz w:val="24"/>
          <w:szCs w:val="24"/>
        </w:rPr>
        <w:t>24,00</w:t>
      </w:r>
      <w:r w:rsidR="00E236DC" w:rsidRPr="00C0521D">
        <w:rPr>
          <w:rFonts w:ascii="Times New Roman" w:hAnsi="Times New Roman" w:cs="Times New Roman"/>
          <w:b/>
          <w:color w:val="000000" w:themeColor="text1"/>
          <w:sz w:val="24"/>
          <w:szCs w:val="24"/>
        </w:rPr>
        <w:t>%</w:t>
      </w:r>
      <w:r w:rsidR="00E236DC" w:rsidRPr="00997412">
        <w:rPr>
          <w:rFonts w:ascii="Times New Roman" w:hAnsi="Times New Roman" w:cs="Times New Roman"/>
          <w:color w:val="000000" w:themeColor="text1"/>
          <w:sz w:val="24"/>
          <w:szCs w:val="24"/>
        </w:rPr>
        <w:t xml:space="preserve"> reprezintă 1</w:t>
      </w:r>
      <w:r w:rsidRPr="00997412">
        <w:rPr>
          <w:rFonts w:ascii="Times New Roman" w:hAnsi="Times New Roman" w:cs="Times New Roman"/>
          <w:color w:val="000000" w:themeColor="text1"/>
          <w:sz w:val="24"/>
          <w:szCs w:val="24"/>
        </w:rPr>
        <w:t>2</w:t>
      </w:r>
      <w:r w:rsidR="00E236DC" w:rsidRPr="00997412">
        <w:rPr>
          <w:rFonts w:ascii="Times New Roman" w:hAnsi="Times New Roman" w:cs="Times New Roman"/>
          <w:color w:val="000000" w:themeColor="text1"/>
          <w:sz w:val="24"/>
          <w:szCs w:val="24"/>
        </w:rPr>
        <w:t xml:space="preserve"> entități publice care au raportat un sistem de control intern managerial </w:t>
      </w:r>
      <w:r w:rsidR="00E236DC" w:rsidRPr="00997412">
        <w:rPr>
          <w:rFonts w:ascii="Times New Roman" w:hAnsi="Times New Roman" w:cs="Times New Roman"/>
          <w:bCs/>
          <w:color w:val="000000" w:themeColor="text1"/>
          <w:sz w:val="24"/>
          <w:szCs w:val="24"/>
        </w:rPr>
        <w:t xml:space="preserve">conform </w:t>
      </w:r>
      <w:r w:rsidR="00E236DC" w:rsidRPr="00997412">
        <w:rPr>
          <w:rFonts w:ascii="Times New Roman" w:hAnsi="Times New Roman" w:cs="Times New Roman"/>
          <w:color w:val="000000" w:themeColor="text1"/>
          <w:sz w:val="24"/>
          <w:szCs w:val="24"/>
        </w:rPr>
        <w:t>cu standarde</w:t>
      </w:r>
      <w:r w:rsidR="003E2317">
        <w:rPr>
          <w:rFonts w:ascii="Times New Roman" w:hAnsi="Times New Roman" w:cs="Times New Roman"/>
          <w:color w:val="000000" w:themeColor="text1"/>
          <w:sz w:val="24"/>
          <w:szCs w:val="24"/>
        </w:rPr>
        <w:t>le de control intern managerial;</w:t>
      </w:r>
      <w:r w:rsidR="00E236DC" w:rsidRPr="00997412">
        <w:rPr>
          <w:rFonts w:ascii="Times New Roman" w:hAnsi="Times New Roman" w:cs="Times New Roman"/>
          <w:color w:val="000000" w:themeColor="text1"/>
          <w:sz w:val="24"/>
          <w:szCs w:val="24"/>
        </w:rPr>
        <w:t xml:space="preserve"> </w:t>
      </w:r>
    </w:p>
    <w:p w:rsidR="00E236DC" w:rsidRDefault="00E236DC" w:rsidP="00C7604C">
      <w:pPr>
        <w:pStyle w:val="ListParagraph"/>
        <w:numPr>
          <w:ilvl w:val="0"/>
          <w:numId w:val="85"/>
        </w:numPr>
        <w:tabs>
          <w:tab w:val="left" w:pos="810"/>
        </w:tabs>
        <w:spacing w:after="0" w:line="276" w:lineRule="auto"/>
        <w:ind w:left="851" w:hanging="284"/>
        <w:contextualSpacing w:val="0"/>
        <w:jc w:val="both"/>
        <w:rPr>
          <w:rFonts w:ascii="Times New Roman" w:hAnsi="Times New Roman" w:cs="Times New Roman"/>
          <w:sz w:val="24"/>
          <w:szCs w:val="24"/>
        </w:rPr>
      </w:pPr>
      <w:r w:rsidRPr="00997412">
        <w:rPr>
          <w:rFonts w:ascii="Times New Roman" w:hAnsi="Times New Roman" w:cs="Times New Roman"/>
          <w:color w:val="000000" w:themeColor="text1"/>
          <w:sz w:val="24"/>
          <w:szCs w:val="24"/>
        </w:rPr>
        <w:t xml:space="preserve"> </w:t>
      </w:r>
      <w:r w:rsidR="00184AFE" w:rsidRPr="00C0521D">
        <w:rPr>
          <w:rFonts w:ascii="Times New Roman" w:hAnsi="Times New Roman" w:cs="Times New Roman"/>
          <w:b/>
          <w:color w:val="000000" w:themeColor="text1"/>
          <w:sz w:val="24"/>
          <w:szCs w:val="24"/>
        </w:rPr>
        <w:t>76,00</w:t>
      </w:r>
      <w:r w:rsidRPr="00C0521D">
        <w:rPr>
          <w:rFonts w:ascii="Times New Roman" w:hAnsi="Times New Roman" w:cs="Times New Roman"/>
          <w:b/>
          <w:color w:val="000000" w:themeColor="text1"/>
          <w:sz w:val="24"/>
          <w:szCs w:val="24"/>
        </w:rPr>
        <w:t>%</w:t>
      </w:r>
      <w:r w:rsidRPr="00997412">
        <w:rPr>
          <w:rFonts w:ascii="Times New Roman" w:hAnsi="Times New Roman" w:cs="Times New Roman"/>
          <w:color w:val="000000" w:themeColor="text1"/>
          <w:sz w:val="24"/>
          <w:szCs w:val="24"/>
        </w:rPr>
        <w:t xml:space="preserve"> reprezintă majoritatea entităților publice, respectiv </w:t>
      </w:r>
      <w:r w:rsidR="00184AFE" w:rsidRPr="00997412">
        <w:rPr>
          <w:rFonts w:ascii="Times New Roman" w:hAnsi="Times New Roman" w:cs="Times New Roman"/>
          <w:color w:val="000000" w:themeColor="text1"/>
          <w:sz w:val="24"/>
          <w:szCs w:val="24"/>
        </w:rPr>
        <w:t>38</w:t>
      </w:r>
      <w:r w:rsidRPr="00997412">
        <w:rPr>
          <w:rFonts w:ascii="Times New Roman" w:hAnsi="Times New Roman" w:cs="Times New Roman"/>
          <w:color w:val="000000" w:themeColor="text1"/>
          <w:sz w:val="24"/>
          <w:szCs w:val="24"/>
        </w:rPr>
        <w:t xml:space="preserve"> de entități publice, care au raportat  un sistem de control intern managerial </w:t>
      </w:r>
      <w:r w:rsidRPr="00997412">
        <w:rPr>
          <w:rFonts w:ascii="Times New Roman" w:hAnsi="Times New Roman" w:cs="Times New Roman"/>
          <w:bCs/>
          <w:color w:val="000000" w:themeColor="text1"/>
          <w:sz w:val="24"/>
          <w:szCs w:val="24"/>
        </w:rPr>
        <w:t xml:space="preserve">parţial conform </w:t>
      </w:r>
      <w:r w:rsidRPr="00997412">
        <w:rPr>
          <w:rFonts w:ascii="Times New Roman" w:hAnsi="Times New Roman" w:cs="Times New Roman"/>
          <w:color w:val="000000" w:themeColor="text1"/>
          <w:sz w:val="24"/>
          <w:szCs w:val="24"/>
        </w:rPr>
        <w:t>cu standardele de control intern</w:t>
      </w:r>
      <w:r w:rsidRPr="00AC75AE">
        <w:rPr>
          <w:rFonts w:ascii="Times New Roman" w:hAnsi="Times New Roman" w:cs="Times New Roman"/>
          <w:sz w:val="24"/>
          <w:szCs w:val="24"/>
        </w:rPr>
        <w:t xml:space="preserve">. </w:t>
      </w:r>
    </w:p>
    <w:p w:rsidR="00E236DC" w:rsidRPr="00997412" w:rsidRDefault="00997412" w:rsidP="00997412">
      <w:pPr>
        <w:tabs>
          <w:tab w:val="left" w:pos="720"/>
          <w:tab w:val="left" w:pos="900"/>
        </w:tabs>
        <w:spacing w:after="120" w:line="276" w:lineRule="auto"/>
        <w:jc w:val="both"/>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B</w:t>
      </w:r>
      <w:r w:rsidRPr="00997412">
        <w:rPr>
          <w:rFonts w:ascii="Times New Roman" w:hAnsi="Times New Roman" w:cs="Times New Roman"/>
          <w:b/>
          <w:color w:val="000000" w:themeColor="text1"/>
          <w:sz w:val="24"/>
          <w:szCs w:val="24"/>
        </w:rPr>
        <w:t>.</w:t>
      </w:r>
      <w:r>
        <w:rPr>
          <w:rFonts w:ascii="Times New Roman" w:hAnsi="Times New Roman" w:cs="Times New Roman"/>
          <w:color w:val="000000" w:themeColor="text1"/>
          <w:sz w:val="24"/>
          <w:szCs w:val="24"/>
        </w:rPr>
        <w:t xml:space="preserve"> </w:t>
      </w:r>
      <w:r w:rsidR="00E236DC" w:rsidRPr="00997412">
        <w:rPr>
          <w:rFonts w:ascii="Times New Roman" w:hAnsi="Times New Roman" w:cs="Times New Roman"/>
          <w:color w:val="000000" w:themeColor="text1"/>
          <w:sz w:val="24"/>
          <w:szCs w:val="24"/>
        </w:rPr>
        <w:t>Stadiul implementării sistemului de control intern managerial la nivelul entităților subordonate sau aflate în coordonarea ordonatorilor principali de credite, la nivelul anului 20</w:t>
      </w:r>
      <w:r w:rsidR="00184AFE" w:rsidRPr="00997412">
        <w:rPr>
          <w:rFonts w:ascii="Times New Roman" w:hAnsi="Times New Roman" w:cs="Times New Roman"/>
          <w:color w:val="000000" w:themeColor="text1"/>
          <w:sz w:val="24"/>
          <w:szCs w:val="24"/>
        </w:rPr>
        <w:t>16</w:t>
      </w:r>
      <w:r w:rsidR="00E236DC" w:rsidRPr="00997412">
        <w:rPr>
          <w:rFonts w:ascii="Times New Roman" w:hAnsi="Times New Roman" w:cs="Times New Roman"/>
          <w:color w:val="000000" w:themeColor="text1"/>
          <w:sz w:val="24"/>
          <w:szCs w:val="24"/>
        </w:rPr>
        <w:t>, se prezintă astfel:</w:t>
      </w:r>
    </w:p>
    <w:p w:rsidR="00E236DC" w:rsidRPr="00997412" w:rsidRDefault="00184AFE" w:rsidP="00C7604C">
      <w:pPr>
        <w:pStyle w:val="ListParagraph"/>
        <w:numPr>
          <w:ilvl w:val="0"/>
          <w:numId w:val="80"/>
        </w:numPr>
        <w:tabs>
          <w:tab w:val="left" w:pos="1170"/>
          <w:tab w:val="left" w:pos="1560"/>
        </w:tabs>
        <w:spacing w:after="0" w:line="276" w:lineRule="auto"/>
        <w:ind w:left="851" w:hanging="284"/>
        <w:contextualSpacing w:val="0"/>
        <w:jc w:val="both"/>
        <w:rPr>
          <w:rFonts w:ascii="Times New Roman" w:hAnsi="Times New Roman" w:cs="Times New Roman"/>
          <w:color w:val="000000" w:themeColor="text1"/>
          <w:sz w:val="24"/>
          <w:szCs w:val="24"/>
        </w:rPr>
      </w:pPr>
      <w:r w:rsidRPr="00997412">
        <w:rPr>
          <w:rFonts w:ascii="Times New Roman" w:hAnsi="Times New Roman" w:cs="Times New Roman"/>
          <w:b/>
          <w:color w:val="000000" w:themeColor="text1"/>
          <w:sz w:val="24"/>
          <w:szCs w:val="24"/>
        </w:rPr>
        <w:t>50,23</w:t>
      </w:r>
      <w:r w:rsidR="00E236DC" w:rsidRPr="00997412">
        <w:rPr>
          <w:rFonts w:ascii="Times New Roman" w:hAnsi="Times New Roman" w:cs="Times New Roman"/>
          <w:b/>
          <w:color w:val="000000" w:themeColor="text1"/>
          <w:sz w:val="24"/>
          <w:szCs w:val="24"/>
        </w:rPr>
        <w:t>%,</w:t>
      </w:r>
      <w:r w:rsidR="00E236DC" w:rsidRPr="00997412">
        <w:rPr>
          <w:rFonts w:ascii="Times New Roman" w:hAnsi="Times New Roman" w:cs="Times New Roman"/>
          <w:color w:val="000000" w:themeColor="text1"/>
          <w:sz w:val="24"/>
          <w:szCs w:val="24"/>
        </w:rPr>
        <w:t xml:space="preserve"> reprezentând 1.</w:t>
      </w:r>
      <w:r w:rsidRPr="00997412">
        <w:rPr>
          <w:rFonts w:ascii="Times New Roman" w:hAnsi="Times New Roman" w:cs="Times New Roman"/>
          <w:color w:val="000000" w:themeColor="text1"/>
          <w:sz w:val="24"/>
          <w:szCs w:val="24"/>
        </w:rPr>
        <w:t>003</w:t>
      </w:r>
      <w:r w:rsidR="00E236DC" w:rsidRPr="00997412">
        <w:rPr>
          <w:rFonts w:ascii="Times New Roman" w:hAnsi="Times New Roman" w:cs="Times New Roman"/>
          <w:color w:val="000000" w:themeColor="text1"/>
          <w:sz w:val="24"/>
          <w:szCs w:val="24"/>
        </w:rPr>
        <w:t xml:space="preserve"> entitățile publice au un sistem de control intern managerial </w:t>
      </w:r>
      <w:r w:rsidR="00E236DC" w:rsidRPr="00997412">
        <w:rPr>
          <w:rFonts w:ascii="Times New Roman" w:hAnsi="Times New Roman" w:cs="Times New Roman"/>
          <w:bCs/>
          <w:color w:val="000000" w:themeColor="text1"/>
          <w:sz w:val="24"/>
          <w:szCs w:val="24"/>
        </w:rPr>
        <w:t xml:space="preserve">conform </w:t>
      </w:r>
      <w:r w:rsidR="00E236DC" w:rsidRPr="00997412">
        <w:rPr>
          <w:rFonts w:ascii="Times New Roman" w:hAnsi="Times New Roman" w:cs="Times New Roman"/>
          <w:color w:val="000000" w:themeColor="text1"/>
          <w:sz w:val="24"/>
          <w:szCs w:val="24"/>
        </w:rPr>
        <w:t xml:space="preserve">cu standardele; </w:t>
      </w:r>
    </w:p>
    <w:p w:rsidR="00E236DC" w:rsidRPr="00997412" w:rsidRDefault="00184AFE" w:rsidP="00C7604C">
      <w:pPr>
        <w:pStyle w:val="ListParagraph"/>
        <w:numPr>
          <w:ilvl w:val="0"/>
          <w:numId w:val="80"/>
        </w:numPr>
        <w:tabs>
          <w:tab w:val="left" w:pos="1560"/>
        </w:tabs>
        <w:spacing w:after="0" w:line="276" w:lineRule="auto"/>
        <w:ind w:left="851" w:hanging="284"/>
        <w:contextualSpacing w:val="0"/>
        <w:jc w:val="both"/>
        <w:rPr>
          <w:rFonts w:ascii="Times New Roman" w:hAnsi="Times New Roman" w:cs="Times New Roman"/>
          <w:color w:val="000000" w:themeColor="text1"/>
          <w:sz w:val="24"/>
          <w:szCs w:val="24"/>
        </w:rPr>
      </w:pPr>
      <w:r w:rsidRPr="00997412">
        <w:rPr>
          <w:rFonts w:ascii="Times New Roman" w:hAnsi="Times New Roman" w:cs="Times New Roman"/>
          <w:b/>
          <w:color w:val="000000" w:themeColor="text1"/>
          <w:sz w:val="24"/>
          <w:szCs w:val="24"/>
        </w:rPr>
        <w:t>49,02</w:t>
      </w:r>
      <w:r w:rsidR="00E236DC" w:rsidRPr="00997412">
        <w:rPr>
          <w:rFonts w:ascii="Times New Roman" w:hAnsi="Times New Roman" w:cs="Times New Roman"/>
          <w:b/>
          <w:color w:val="000000" w:themeColor="text1"/>
          <w:sz w:val="24"/>
          <w:szCs w:val="24"/>
        </w:rPr>
        <w:t>%,</w:t>
      </w:r>
      <w:r w:rsidR="00E236DC" w:rsidRPr="00997412">
        <w:rPr>
          <w:rFonts w:ascii="Times New Roman" w:hAnsi="Times New Roman" w:cs="Times New Roman"/>
          <w:color w:val="000000" w:themeColor="text1"/>
          <w:sz w:val="24"/>
          <w:szCs w:val="24"/>
        </w:rPr>
        <w:t xml:space="preserve"> reprezentând </w:t>
      </w:r>
      <w:r w:rsidRPr="00997412">
        <w:rPr>
          <w:rFonts w:ascii="Times New Roman" w:hAnsi="Times New Roman" w:cs="Times New Roman"/>
          <w:color w:val="000000" w:themeColor="text1"/>
          <w:sz w:val="24"/>
          <w:szCs w:val="24"/>
        </w:rPr>
        <w:t>979</w:t>
      </w:r>
      <w:r w:rsidR="00E236DC" w:rsidRPr="00997412">
        <w:rPr>
          <w:rFonts w:ascii="Times New Roman" w:hAnsi="Times New Roman" w:cs="Times New Roman"/>
          <w:color w:val="000000" w:themeColor="text1"/>
          <w:sz w:val="24"/>
          <w:szCs w:val="24"/>
        </w:rPr>
        <w:t xml:space="preserve"> entitățile publice au un sistem de control intern managerial parțial </w:t>
      </w:r>
      <w:r w:rsidR="00E236DC" w:rsidRPr="00997412">
        <w:rPr>
          <w:rFonts w:ascii="Times New Roman" w:hAnsi="Times New Roman" w:cs="Times New Roman"/>
          <w:bCs/>
          <w:color w:val="000000" w:themeColor="text1"/>
          <w:sz w:val="24"/>
          <w:szCs w:val="24"/>
        </w:rPr>
        <w:t xml:space="preserve">conform </w:t>
      </w:r>
      <w:r w:rsidR="00E236DC" w:rsidRPr="00997412">
        <w:rPr>
          <w:rFonts w:ascii="Times New Roman" w:hAnsi="Times New Roman" w:cs="Times New Roman"/>
          <w:color w:val="000000" w:themeColor="text1"/>
          <w:sz w:val="24"/>
          <w:szCs w:val="24"/>
        </w:rPr>
        <w:t>cu standardele;</w:t>
      </w:r>
    </w:p>
    <w:p w:rsidR="006D6317" w:rsidRPr="00997412" w:rsidRDefault="00184AFE" w:rsidP="00C7604C">
      <w:pPr>
        <w:pStyle w:val="ListParagraph"/>
        <w:numPr>
          <w:ilvl w:val="0"/>
          <w:numId w:val="80"/>
        </w:numPr>
        <w:tabs>
          <w:tab w:val="left" w:pos="1560"/>
        </w:tabs>
        <w:spacing w:after="0" w:line="276" w:lineRule="auto"/>
        <w:ind w:left="851" w:hanging="284"/>
        <w:contextualSpacing w:val="0"/>
        <w:jc w:val="both"/>
        <w:rPr>
          <w:rFonts w:ascii="Times New Roman" w:hAnsi="Times New Roman" w:cs="Times New Roman"/>
          <w:color w:val="000000" w:themeColor="text1"/>
          <w:sz w:val="24"/>
          <w:szCs w:val="24"/>
        </w:rPr>
      </w:pPr>
      <w:r w:rsidRPr="00997412">
        <w:rPr>
          <w:rFonts w:ascii="Times New Roman" w:hAnsi="Times New Roman" w:cs="Times New Roman"/>
          <w:b/>
          <w:color w:val="000000" w:themeColor="text1"/>
          <w:sz w:val="24"/>
          <w:szCs w:val="24"/>
        </w:rPr>
        <w:t>0,75</w:t>
      </w:r>
      <w:r w:rsidR="00E236DC" w:rsidRPr="00997412">
        <w:rPr>
          <w:rFonts w:ascii="Times New Roman" w:hAnsi="Times New Roman" w:cs="Times New Roman"/>
          <w:b/>
          <w:color w:val="000000" w:themeColor="text1"/>
          <w:sz w:val="24"/>
          <w:szCs w:val="24"/>
        </w:rPr>
        <w:t>%,</w:t>
      </w:r>
      <w:r w:rsidR="00E236DC" w:rsidRPr="00997412">
        <w:rPr>
          <w:rFonts w:ascii="Times New Roman" w:hAnsi="Times New Roman" w:cs="Times New Roman"/>
          <w:color w:val="000000" w:themeColor="text1"/>
          <w:sz w:val="24"/>
          <w:szCs w:val="24"/>
        </w:rPr>
        <w:t xml:space="preserve"> reprezentând </w:t>
      </w:r>
      <w:r w:rsidRPr="00997412">
        <w:rPr>
          <w:rFonts w:ascii="Times New Roman" w:hAnsi="Times New Roman" w:cs="Times New Roman"/>
          <w:color w:val="000000" w:themeColor="text1"/>
          <w:sz w:val="24"/>
          <w:szCs w:val="24"/>
        </w:rPr>
        <w:t>15</w:t>
      </w:r>
      <w:r w:rsidR="00E236DC" w:rsidRPr="00997412">
        <w:rPr>
          <w:rFonts w:ascii="Times New Roman" w:hAnsi="Times New Roman" w:cs="Times New Roman"/>
          <w:color w:val="000000" w:themeColor="text1"/>
          <w:sz w:val="24"/>
          <w:szCs w:val="24"/>
        </w:rPr>
        <w:t xml:space="preserve"> entitățile publice au un sistem de control intern managerial ne</w:t>
      </w:r>
      <w:r w:rsidR="00E236DC" w:rsidRPr="00997412">
        <w:rPr>
          <w:rFonts w:ascii="Times New Roman" w:hAnsi="Times New Roman" w:cs="Times New Roman"/>
          <w:bCs/>
          <w:color w:val="000000" w:themeColor="text1"/>
          <w:sz w:val="24"/>
          <w:szCs w:val="24"/>
        </w:rPr>
        <w:t xml:space="preserve">conform </w:t>
      </w:r>
      <w:r w:rsidR="00E236DC" w:rsidRPr="00997412">
        <w:rPr>
          <w:rFonts w:ascii="Times New Roman" w:hAnsi="Times New Roman" w:cs="Times New Roman"/>
          <w:color w:val="000000" w:themeColor="text1"/>
          <w:sz w:val="24"/>
          <w:szCs w:val="24"/>
        </w:rPr>
        <w:t>cu standardele</w:t>
      </w:r>
      <w:r w:rsidR="00867E92">
        <w:rPr>
          <w:rFonts w:ascii="Times New Roman" w:hAnsi="Times New Roman" w:cs="Times New Roman"/>
          <w:color w:val="000000" w:themeColor="text1"/>
          <w:sz w:val="24"/>
          <w:szCs w:val="24"/>
        </w:rPr>
        <w:t>.</w:t>
      </w:r>
    </w:p>
    <w:p w:rsidR="00B00A2A" w:rsidRPr="00997412" w:rsidRDefault="00997412" w:rsidP="00997412">
      <w:pPr>
        <w:tabs>
          <w:tab w:val="left" w:pos="630"/>
          <w:tab w:val="left" w:pos="720"/>
          <w:tab w:val="left" w:pos="900"/>
        </w:tabs>
        <w:spacing w:after="120" w:line="276" w:lineRule="auto"/>
        <w:jc w:val="both"/>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C</w:t>
      </w:r>
      <w:r w:rsidRPr="00997412">
        <w:rPr>
          <w:rFonts w:ascii="Times New Roman" w:hAnsi="Times New Roman" w:cs="Times New Roman"/>
          <w:b/>
          <w:color w:val="000000" w:themeColor="text1"/>
          <w:sz w:val="24"/>
          <w:szCs w:val="24"/>
        </w:rPr>
        <w:t>.</w:t>
      </w:r>
      <w:r>
        <w:rPr>
          <w:rFonts w:ascii="Times New Roman" w:hAnsi="Times New Roman" w:cs="Times New Roman"/>
          <w:color w:val="000000" w:themeColor="text1"/>
          <w:sz w:val="24"/>
          <w:szCs w:val="24"/>
        </w:rPr>
        <w:t xml:space="preserve"> </w:t>
      </w:r>
      <w:r w:rsidR="00B00A2A" w:rsidRPr="00997412">
        <w:rPr>
          <w:rFonts w:ascii="Times New Roman" w:hAnsi="Times New Roman" w:cs="Times New Roman"/>
          <w:color w:val="000000" w:themeColor="text1"/>
          <w:sz w:val="24"/>
          <w:szCs w:val="24"/>
        </w:rPr>
        <w:t>Din analiza comparativă pe anii 201</w:t>
      </w:r>
      <w:r w:rsidR="00184AFE" w:rsidRPr="00997412">
        <w:rPr>
          <w:rFonts w:ascii="Times New Roman" w:hAnsi="Times New Roman" w:cs="Times New Roman"/>
          <w:color w:val="000000" w:themeColor="text1"/>
          <w:sz w:val="24"/>
          <w:szCs w:val="24"/>
        </w:rPr>
        <w:t>5</w:t>
      </w:r>
      <w:r w:rsidR="00B00A2A" w:rsidRPr="00997412">
        <w:rPr>
          <w:rFonts w:ascii="Times New Roman" w:hAnsi="Times New Roman" w:cs="Times New Roman"/>
          <w:color w:val="000000" w:themeColor="text1"/>
          <w:sz w:val="24"/>
          <w:szCs w:val="24"/>
        </w:rPr>
        <w:t>-201</w:t>
      </w:r>
      <w:r w:rsidR="00184AFE" w:rsidRPr="00997412">
        <w:rPr>
          <w:rFonts w:ascii="Times New Roman" w:hAnsi="Times New Roman" w:cs="Times New Roman"/>
          <w:color w:val="000000" w:themeColor="text1"/>
          <w:sz w:val="24"/>
          <w:szCs w:val="24"/>
        </w:rPr>
        <w:t>6</w:t>
      </w:r>
      <w:r w:rsidR="008F3795" w:rsidRPr="00997412">
        <w:rPr>
          <w:rFonts w:ascii="Times New Roman" w:hAnsi="Times New Roman" w:cs="Times New Roman"/>
          <w:color w:val="000000" w:themeColor="text1"/>
          <w:sz w:val="24"/>
          <w:szCs w:val="24"/>
        </w:rPr>
        <w:t>,</w:t>
      </w:r>
      <w:r w:rsidR="00B00A2A" w:rsidRPr="00997412">
        <w:rPr>
          <w:rFonts w:ascii="Times New Roman" w:hAnsi="Times New Roman" w:cs="Times New Roman"/>
          <w:color w:val="000000" w:themeColor="text1"/>
          <w:sz w:val="24"/>
          <w:szCs w:val="24"/>
        </w:rPr>
        <w:t xml:space="preserve"> pe baza raportărilor transmise de </w:t>
      </w:r>
      <w:r w:rsidR="00DD1AE7" w:rsidRPr="00997412">
        <w:rPr>
          <w:rFonts w:ascii="Times New Roman" w:hAnsi="Times New Roman" w:cs="Times New Roman"/>
          <w:color w:val="000000" w:themeColor="text1"/>
          <w:sz w:val="24"/>
          <w:szCs w:val="24"/>
        </w:rPr>
        <w:t xml:space="preserve">către </w:t>
      </w:r>
      <w:r w:rsidR="00B00A2A" w:rsidRPr="00997412">
        <w:rPr>
          <w:rFonts w:ascii="Times New Roman" w:hAnsi="Times New Roman" w:cs="Times New Roman"/>
          <w:color w:val="000000" w:themeColor="text1"/>
          <w:sz w:val="24"/>
          <w:szCs w:val="24"/>
        </w:rPr>
        <w:t xml:space="preserve">ordonatorii principali de credite la DCIMRI, se desprind următoarele concluzii: </w:t>
      </w:r>
    </w:p>
    <w:p w:rsidR="00B00A2A" w:rsidRPr="00997412" w:rsidRDefault="00B00A2A" w:rsidP="00C7604C">
      <w:pPr>
        <w:pStyle w:val="ListParagraph"/>
        <w:numPr>
          <w:ilvl w:val="0"/>
          <w:numId w:val="79"/>
        </w:numPr>
        <w:spacing w:after="0" w:line="276" w:lineRule="auto"/>
        <w:ind w:left="992" w:hanging="425"/>
        <w:contextualSpacing w:val="0"/>
        <w:jc w:val="both"/>
        <w:rPr>
          <w:rFonts w:ascii="Times New Roman" w:hAnsi="Times New Roman" w:cs="Times New Roman"/>
          <w:color w:val="000000" w:themeColor="text1"/>
          <w:sz w:val="24"/>
          <w:szCs w:val="24"/>
        </w:rPr>
      </w:pPr>
      <w:r w:rsidRPr="00997412">
        <w:rPr>
          <w:rFonts w:ascii="Times New Roman" w:hAnsi="Times New Roman" w:cs="Times New Roman"/>
          <w:color w:val="000000" w:themeColor="text1"/>
          <w:sz w:val="24"/>
          <w:szCs w:val="24"/>
        </w:rPr>
        <w:t>majoritatea ordonatorilor principali de credite au sistem</w:t>
      </w:r>
      <w:r w:rsidR="00DD1AE7" w:rsidRPr="00997412">
        <w:rPr>
          <w:rFonts w:ascii="Times New Roman" w:hAnsi="Times New Roman" w:cs="Times New Roman"/>
          <w:color w:val="000000" w:themeColor="text1"/>
          <w:sz w:val="24"/>
          <w:szCs w:val="24"/>
        </w:rPr>
        <w:t>ul</w:t>
      </w:r>
      <w:r w:rsidRPr="00997412">
        <w:rPr>
          <w:rFonts w:ascii="Times New Roman" w:hAnsi="Times New Roman" w:cs="Times New Roman"/>
          <w:color w:val="000000" w:themeColor="text1"/>
          <w:sz w:val="24"/>
          <w:szCs w:val="24"/>
        </w:rPr>
        <w:t xml:space="preserve"> de control intern managerial</w:t>
      </w:r>
      <w:r w:rsidR="00DD1AE7" w:rsidRPr="00997412">
        <w:rPr>
          <w:rFonts w:ascii="Times New Roman" w:hAnsi="Times New Roman" w:cs="Times New Roman"/>
          <w:color w:val="000000" w:themeColor="text1"/>
          <w:sz w:val="24"/>
          <w:szCs w:val="24"/>
        </w:rPr>
        <w:t xml:space="preserve"> </w:t>
      </w:r>
      <w:r w:rsidRPr="00997412">
        <w:rPr>
          <w:rFonts w:ascii="Times New Roman" w:hAnsi="Times New Roman" w:cs="Times New Roman"/>
          <w:color w:val="000000" w:themeColor="text1"/>
          <w:sz w:val="24"/>
          <w:szCs w:val="24"/>
        </w:rPr>
        <w:t xml:space="preserve"> </w:t>
      </w:r>
      <w:r w:rsidR="00DD1AE7" w:rsidRPr="00997412">
        <w:rPr>
          <w:rFonts w:ascii="Times New Roman" w:hAnsi="Times New Roman" w:cs="Times New Roman"/>
          <w:color w:val="000000" w:themeColor="text1"/>
          <w:sz w:val="24"/>
          <w:szCs w:val="24"/>
        </w:rPr>
        <w:t>PARŢIAL CONFORM</w:t>
      </w:r>
      <w:r w:rsidR="008F3795" w:rsidRPr="00997412">
        <w:rPr>
          <w:rFonts w:ascii="Times New Roman" w:hAnsi="Times New Roman" w:cs="Times New Roman"/>
          <w:color w:val="000000" w:themeColor="text1"/>
          <w:sz w:val="24"/>
          <w:szCs w:val="24"/>
        </w:rPr>
        <w:t>,</w:t>
      </w:r>
      <w:r w:rsidR="00DD1AE7" w:rsidRPr="00997412">
        <w:rPr>
          <w:rFonts w:ascii="Times New Roman" w:hAnsi="Times New Roman" w:cs="Times New Roman"/>
          <w:color w:val="000000" w:themeColor="text1"/>
          <w:sz w:val="24"/>
          <w:szCs w:val="24"/>
        </w:rPr>
        <w:t xml:space="preserve">  așa cum a fost </w:t>
      </w:r>
      <w:r w:rsidRPr="00997412">
        <w:rPr>
          <w:rFonts w:ascii="Times New Roman" w:hAnsi="Times New Roman" w:cs="Times New Roman"/>
          <w:color w:val="000000" w:themeColor="text1"/>
          <w:sz w:val="24"/>
          <w:szCs w:val="24"/>
        </w:rPr>
        <w:t>şi în anul 20</w:t>
      </w:r>
      <w:r w:rsidR="00184AFE" w:rsidRPr="00997412">
        <w:rPr>
          <w:rFonts w:ascii="Times New Roman" w:hAnsi="Times New Roman" w:cs="Times New Roman"/>
          <w:color w:val="000000" w:themeColor="text1"/>
          <w:sz w:val="24"/>
          <w:szCs w:val="24"/>
        </w:rPr>
        <w:t>15</w:t>
      </w:r>
      <w:r w:rsidRPr="00997412">
        <w:rPr>
          <w:rFonts w:ascii="Times New Roman" w:hAnsi="Times New Roman" w:cs="Times New Roman"/>
          <w:color w:val="000000" w:themeColor="text1"/>
          <w:sz w:val="24"/>
          <w:szCs w:val="24"/>
        </w:rPr>
        <w:t xml:space="preserve">; </w:t>
      </w:r>
    </w:p>
    <w:p w:rsidR="008F3795" w:rsidRPr="00997412" w:rsidRDefault="00B00A2A" w:rsidP="00C7604C">
      <w:pPr>
        <w:pStyle w:val="ListParagraph"/>
        <w:numPr>
          <w:ilvl w:val="0"/>
          <w:numId w:val="79"/>
        </w:numPr>
        <w:spacing w:after="0" w:line="276" w:lineRule="auto"/>
        <w:ind w:left="992" w:hanging="425"/>
        <w:contextualSpacing w:val="0"/>
        <w:jc w:val="both"/>
        <w:rPr>
          <w:rFonts w:ascii="Times New Roman" w:hAnsi="Times New Roman" w:cs="Times New Roman"/>
          <w:color w:val="000000" w:themeColor="text1"/>
          <w:sz w:val="24"/>
          <w:szCs w:val="24"/>
        </w:rPr>
      </w:pPr>
      <w:r w:rsidRPr="00997412">
        <w:rPr>
          <w:rFonts w:ascii="Times New Roman" w:hAnsi="Times New Roman" w:cs="Times New Roman"/>
          <w:color w:val="000000" w:themeColor="text1"/>
          <w:sz w:val="24"/>
          <w:szCs w:val="24"/>
        </w:rPr>
        <w:t xml:space="preserve">există ordonatori principali de credite </w:t>
      </w:r>
      <w:r w:rsidR="000577B1" w:rsidRPr="00997412">
        <w:rPr>
          <w:rFonts w:ascii="Times New Roman" w:hAnsi="Times New Roman" w:cs="Times New Roman"/>
          <w:color w:val="000000" w:themeColor="text1"/>
          <w:sz w:val="24"/>
          <w:szCs w:val="24"/>
        </w:rPr>
        <w:t xml:space="preserve">la </w:t>
      </w:r>
      <w:r w:rsidRPr="00997412">
        <w:rPr>
          <w:rFonts w:ascii="Times New Roman" w:hAnsi="Times New Roman" w:cs="Times New Roman"/>
          <w:color w:val="000000" w:themeColor="text1"/>
          <w:sz w:val="24"/>
          <w:szCs w:val="24"/>
        </w:rPr>
        <w:t xml:space="preserve">care </w:t>
      </w:r>
      <w:r w:rsidR="000577B1" w:rsidRPr="00997412">
        <w:rPr>
          <w:rFonts w:ascii="Times New Roman" w:hAnsi="Times New Roman" w:cs="Times New Roman"/>
          <w:color w:val="000000" w:themeColor="text1"/>
          <w:sz w:val="24"/>
          <w:szCs w:val="24"/>
        </w:rPr>
        <w:t>s-</w:t>
      </w:r>
      <w:r w:rsidRPr="00997412">
        <w:rPr>
          <w:rFonts w:ascii="Times New Roman" w:hAnsi="Times New Roman" w:cs="Times New Roman"/>
          <w:color w:val="000000" w:themeColor="text1"/>
          <w:sz w:val="24"/>
          <w:szCs w:val="24"/>
        </w:rPr>
        <w:t>au înregistrat regrese</w:t>
      </w:r>
      <w:r w:rsidR="0095677D" w:rsidRPr="00997412">
        <w:rPr>
          <w:rFonts w:ascii="Times New Roman" w:hAnsi="Times New Roman" w:cs="Times New Roman"/>
          <w:color w:val="000000" w:themeColor="text1"/>
          <w:sz w:val="24"/>
          <w:szCs w:val="24"/>
        </w:rPr>
        <w:t xml:space="preserve"> în anul 201</w:t>
      </w:r>
      <w:r w:rsidR="00184AFE" w:rsidRPr="00997412">
        <w:rPr>
          <w:rFonts w:ascii="Times New Roman" w:hAnsi="Times New Roman" w:cs="Times New Roman"/>
          <w:color w:val="000000" w:themeColor="text1"/>
          <w:sz w:val="24"/>
          <w:szCs w:val="24"/>
        </w:rPr>
        <w:t>6</w:t>
      </w:r>
      <w:r w:rsidRPr="00997412">
        <w:rPr>
          <w:rFonts w:ascii="Times New Roman" w:hAnsi="Times New Roman" w:cs="Times New Roman"/>
          <w:color w:val="000000" w:themeColor="text1"/>
          <w:sz w:val="24"/>
          <w:szCs w:val="24"/>
        </w:rPr>
        <w:t xml:space="preserve">, prin comparaţie cu anul </w:t>
      </w:r>
      <w:r w:rsidR="00184AFE" w:rsidRPr="00997412">
        <w:rPr>
          <w:rFonts w:ascii="Times New Roman" w:hAnsi="Times New Roman" w:cs="Times New Roman"/>
          <w:color w:val="000000" w:themeColor="text1"/>
          <w:sz w:val="24"/>
          <w:szCs w:val="24"/>
        </w:rPr>
        <w:t>2015</w:t>
      </w:r>
      <w:r w:rsidRPr="00997412">
        <w:rPr>
          <w:rFonts w:ascii="Times New Roman" w:hAnsi="Times New Roman" w:cs="Times New Roman"/>
          <w:color w:val="000000" w:themeColor="text1"/>
          <w:sz w:val="24"/>
          <w:szCs w:val="24"/>
        </w:rPr>
        <w:t xml:space="preserve">, </w:t>
      </w:r>
      <w:r w:rsidR="0095677D" w:rsidRPr="00997412">
        <w:rPr>
          <w:rFonts w:ascii="Times New Roman" w:hAnsi="Times New Roman" w:cs="Times New Roman"/>
          <w:color w:val="000000" w:themeColor="text1"/>
          <w:sz w:val="24"/>
          <w:szCs w:val="24"/>
        </w:rPr>
        <w:t xml:space="preserve">în sensul că au trecut </w:t>
      </w:r>
      <w:r w:rsidRPr="00997412">
        <w:rPr>
          <w:rFonts w:ascii="Times New Roman" w:hAnsi="Times New Roman" w:cs="Times New Roman"/>
          <w:color w:val="000000" w:themeColor="text1"/>
          <w:sz w:val="24"/>
          <w:szCs w:val="24"/>
        </w:rPr>
        <w:t>de la sistem</w:t>
      </w:r>
      <w:r w:rsidR="0095677D" w:rsidRPr="00997412">
        <w:rPr>
          <w:rFonts w:ascii="Times New Roman" w:hAnsi="Times New Roman" w:cs="Times New Roman"/>
          <w:color w:val="000000" w:themeColor="text1"/>
          <w:sz w:val="24"/>
          <w:szCs w:val="24"/>
        </w:rPr>
        <w:t>ul</w:t>
      </w:r>
      <w:r w:rsidRPr="00997412">
        <w:rPr>
          <w:rFonts w:ascii="Times New Roman" w:hAnsi="Times New Roman" w:cs="Times New Roman"/>
          <w:color w:val="000000" w:themeColor="text1"/>
          <w:sz w:val="24"/>
          <w:szCs w:val="24"/>
        </w:rPr>
        <w:t xml:space="preserve"> </w:t>
      </w:r>
      <w:r w:rsidR="0095677D" w:rsidRPr="00997412">
        <w:rPr>
          <w:rFonts w:ascii="Times New Roman" w:hAnsi="Times New Roman" w:cs="Times New Roman"/>
          <w:color w:val="000000" w:themeColor="text1"/>
          <w:sz w:val="24"/>
          <w:szCs w:val="24"/>
        </w:rPr>
        <w:t>CONFORM</w:t>
      </w:r>
      <w:r w:rsidRPr="00997412">
        <w:rPr>
          <w:rFonts w:ascii="Times New Roman" w:hAnsi="Times New Roman" w:cs="Times New Roman"/>
          <w:color w:val="000000" w:themeColor="text1"/>
          <w:sz w:val="24"/>
          <w:szCs w:val="24"/>
        </w:rPr>
        <w:t xml:space="preserve"> la sistem</w:t>
      </w:r>
      <w:r w:rsidR="0095677D" w:rsidRPr="00997412">
        <w:rPr>
          <w:rFonts w:ascii="Times New Roman" w:hAnsi="Times New Roman" w:cs="Times New Roman"/>
          <w:color w:val="000000" w:themeColor="text1"/>
          <w:sz w:val="24"/>
          <w:szCs w:val="24"/>
        </w:rPr>
        <w:t>ul</w:t>
      </w:r>
      <w:r w:rsidRPr="00997412">
        <w:rPr>
          <w:rFonts w:ascii="Times New Roman" w:hAnsi="Times New Roman" w:cs="Times New Roman"/>
          <w:color w:val="000000" w:themeColor="text1"/>
          <w:sz w:val="24"/>
          <w:szCs w:val="24"/>
        </w:rPr>
        <w:t xml:space="preserve"> </w:t>
      </w:r>
      <w:r w:rsidR="0095677D" w:rsidRPr="00997412">
        <w:rPr>
          <w:rFonts w:ascii="Times New Roman" w:hAnsi="Times New Roman" w:cs="Times New Roman"/>
          <w:color w:val="000000" w:themeColor="text1"/>
          <w:sz w:val="24"/>
          <w:szCs w:val="24"/>
        </w:rPr>
        <w:t>PARŢIAL CONFORM</w:t>
      </w:r>
      <w:r w:rsidRPr="00997412">
        <w:rPr>
          <w:rFonts w:ascii="Times New Roman" w:hAnsi="Times New Roman" w:cs="Times New Roman"/>
          <w:color w:val="000000" w:themeColor="text1"/>
          <w:sz w:val="24"/>
          <w:szCs w:val="24"/>
        </w:rPr>
        <w:t xml:space="preserve">, respectiv: </w:t>
      </w:r>
      <w:r w:rsidR="000E1259" w:rsidRPr="00997412">
        <w:rPr>
          <w:rFonts w:ascii="Times New Roman" w:hAnsi="Times New Roman" w:cs="Times New Roman"/>
          <w:color w:val="000000" w:themeColor="text1"/>
          <w:sz w:val="24"/>
          <w:szCs w:val="24"/>
        </w:rPr>
        <w:t>Consiliul Superior al Magistraturii și Agenţia Naţională de Presă Agerpres</w:t>
      </w:r>
      <w:r w:rsidR="00997412" w:rsidRPr="00997412">
        <w:rPr>
          <w:rFonts w:ascii="Times New Roman" w:hAnsi="Times New Roman" w:cs="Times New Roman"/>
          <w:color w:val="000000" w:themeColor="text1"/>
          <w:sz w:val="24"/>
          <w:szCs w:val="24"/>
        </w:rPr>
        <w:t>.</w:t>
      </w:r>
    </w:p>
    <w:p w:rsidR="009E1364" w:rsidRPr="00997412" w:rsidRDefault="00997412" w:rsidP="0048717B">
      <w:pPr>
        <w:spacing w:line="276" w:lineRule="auto"/>
        <w:jc w:val="both"/>
        <w:rPr>
          <w:rFonts w:ascii="Times New Roman" w:hAnsi="Times New Roman" w:cs="Times New Roman"/>
          <w:color w:val="000000" w:themeColor="text1"/>
          <w:sz w:val="24"/>
          <w:szCs w:val="24"/>
        </w:rPr>
      </w:pPr>
      <w:r w:rsidRPr="00997412">
        <w:rPr>
          <w:rFonts w:ascii="Times New Roman" w:hAnsi="Times New Roman" w:cs="Times New Roman"/>
          <w:b/>
          <w:color w:val="000000" w:themeColor="text1"/>
          <w:sz w:val="24"/>
          <w:szCs w:val="24"/>
        </w:rPr>
        <w:t>D.</w:t>
      </w:r>
      <w:r>
        <w:rPr>
          <w:rFonts w:ascii="Times New Roman" w:hAnsi="Times New Roman" w:cs="Times New Roman"/>
          <w:color w:val="000000" w:themeColor="text1"/>
          <w:sz w:val="24"/>
          <w:szCs w:val="24"/>
        </w:rPr>
        <w:t xml:space="preserve"> </w:t>
      </w:r>
      <w:r w:rsidR="00DB5D38" w:rsidRPr="00997412">
        <w:rPr>
          <w:rFonts w:ascii="Times New Roman" w:hAnsi="Times New Roman" w:cs="Times New Roman"/>
          <w:color w:val="000000" w:themeColor="text1"/>
          <w:sz w:val="24"/>
          <w:szCs w:val="24"/>
        </w:rPr>
        <w:t>D</w:t>
      </w:r>
      <w:r w:rsidR="009E1364" w:rsidRPr="00997412">
        <w:rPr>
          <w:rFonts w:ascii="Times New Roman" w:hAnsi="Times New Roman" w:cs="Times New Roman"/>
          <w:color w:val="000000" w:themeColor="text1"/>
          <w:sz w:val="24"/>
          <w:szCs w:val="24"/>
        </w:rPr>
        <w:t>in analiza rapoartelor asupra sistemului de control intern managerial la data de 31 decembrie 201</w:t>
      </w:r>
      <w:r w:rsidR="000E1259" w:rsidRPr="00997412">
        <w:rPr>
          <w:rFonts w:ascii="Times New Roman" w:hAnsi="Times New Roman" w:cs="Times New Roman"/>
          <w:color w:val="000000" w:themeColor="text1"/>
          <w:sz w:val="24"/>
          <w:szCs w:val="24"/>
        </w:rPr>
        <w:t>6</w:t>
      </w:r>
      <w:r w:rsidR="009E1364" w:rsidRPr="00997412">
        <w:rPr>
          <w:rFonts w:ascii="Times New Roman" w:hAnsi="Times New Roman" w:cs="Times New Roman"/>
          <w:color w:val="000000" w:themeColor="text1"/>
          <w:sz w:val="24"/>
          <w:szCs w:val="24"/>
        </w:rPr>
        <w:t>, transmise de către cei 5</w:t>
      </w:r>
      <w:r w:rsidR="000E1259" w:rsidRPr="00997412">
        <w:rPr>
          <w:rFonts w:ascii="Times New Roman" w:hAnsi="Times New Roman" w:cs="Times New Roman"/>
          <w:color w:val="000000" w:themeColor="text1"/>
          <w:sz w:val="24"/>
          <w:szCs w:val="24"/>
        </w:rPr>
        <w:t>0</w:t>
      </w:r>
      <w:r w:rsidR="009E1364" w:rsidRPr="00997412">
        <w:rPr>
          <w:rFonts w:ascii="Times New Roman" w:hAnsi="Times New Roman" w:cs="Times New Roman"/>
          <w:color w:val="000000" w:themeColor="text1"/>
          <w:sz w:val="24"/>
          <w:szCs w:val="24"/>
        </w:rPr>
        <w:t xml:space="preserve"> de ordonatori principali de credite la DCIMRI, </w:t>
      </w:r>
      <w:r w:rsidR="008F3795" w:rsidRPr="00997412">
        <w:rPr>
          <w:rFonts w:ascii="Times New Roman" w:hAnsi="Times New Roman" w:cs="Times New Roman"/>
          <w:color w:val="000000" w:themeColor="text1"/>
          <w:sz w:val="24"/>
          <w:szCs w:val="24"/>
        </w:rPr>
        <w:t>se desprind următoarele concluzii</w:t>
      </w:r>
      <w:r w:rsidR="009E1364" w:rsidRPr="00997412">
        <w:rPr>
          <w:rFonts w:ascii="Times New Roman" w:hAnsi="Times New Roman" w:cs="Times New Roman"/>
          <w:color w:val="000000" w:themeColor="text1"/>
          <w:sz w:val="24"/>
          <w:szCs w:val="24"/>
        </w:rPr>
        <w:t>:</w:t>
      </w:r>
    </w:p>
    <w:p w:rsidR="009E1364" w:rsidRPr="0048717B" w:rsidRDefault="000E1259" w:rsidP="00C7604C">
      <w:pPr>
        <w:pStyle w:val="ListParagraph"/>
        <w:numPr>
          <w:ilvl w:val="0"/>
          <w:numId w:val="77"/>
        </w:numPr>
        <w:tabs>
          <w:tab w:val="left" w:pos="993"/>
        </w:tabs>
        <w:spacing w:after="0" w:line="276" w:lineRule="auto"/>
        <w:ind w:left="992" w:hanging="425"/>
        <w:contextualSpacing w:val="0"/>
        <w:jc w:val="both"/>
        <w:rPr>
          <w:rFonts w:ascii="Times New Roman" w:hAnsi="Times New Roman" w:cs="Times New Roman"/>
          <w:color w:val="000000" w:themeColor="text1"/>
          <w:sz w:val="24"/>
          <w:szCs w:val="24"/>
        </w:rPr>
      </w:pPr>
      <w:r w:rsidRPr="0048717B">
        <w:rPr>
          <w:rFonts w:ascii="Times New Roman" w:hAnsi="Times New Roman" w:cs="Times New Roman"/>
          <w:color w:val="000000" w:themeColor="text1"/>
          <w:sz w:val="24"/>
          <w:szCs w:val="24"/>
        </w:rPr>
        <w:t>26</w:t>
      </w:r>
      <w:r w:rsidR="009E1364" w:rsidRPr="0048717B">
        <w:rPr>
          <w:rFonts w:ascii="Times New Roman" w:hAnsi="Times New Roman" w:cs="Times New Roman"/>
          <w:color w:val="000000" w:themeColor="text1"/>
          <w:sz w:val="24"/>
          <w:szCs w:val="24"/>
        </w:rPr>
        <w:t xml:space="preserve"> de ordonatori principali de credite dispun de un sistem de control intern managerial care permite conducerii să furnizeze o asigurare rezonabilă că fondurile publice alocate au fost utilizate în condiţii de legalitate, regularitate, eficacitate, eficienţă şi economicitate;</w:t>
      </w:r>
    </w:p>
    <w:p w:rsidR="009E1364" w:rsidRPr="0048717B" w:rsidRDefault="000E1259" w:rsidP="00C7604C">
      <w:pPr>
        <w:pStyle w:val="ListParagraph"/>
        <w:numPr>
          <w:ilvl w:val="0"/>
          <w:numId w:val="77"/>
        </w:numPr>
        <w:tabs>
          <w:tab w:val="left" w:pos="993"/>
        </w:tabs>
        <w:spacing w:after="0" w:line="276" w:lineRule="auto"/>
        <w:ind w:left="992" w:hanging="425"/>
        <w:contextualSpacing w:val="0"/>
        <w:jc w:val="both"/>
        <w:rPr>
          <w:rFonts w:ascii="Times New Roman" w:hAnsi="Times New Roman" w:cs="Times New Roman"/>
          <w:color w:val="000000" w:themeColor="text1"/>
          <w:sz w:val="24"/>
          <w:szCs w:val="24"/>
        </w:rPr>
      </w:pPr>
      <w:r w:rsidRPr="0048717B">
        <w:rPr>
          <w:rFonts w:ascii="Times New Roman" w:hAnsi="Times New Roman" w:cs="Times New Roman"/>
          <w:color w:val="000000" w:themeColor="text1"/>
          <w:sz w:val="24"/>
          <w:szCs w:val="24"/>
        </w:rPr>
        <w:t>27</w:t>
      </w:r>
      <w:r w:rsidR="009E1364" w:rsidRPr="0048717B">
        <w:rPr>
          <w:rFonts w:ascii="Times New Roman" w:hAnsi="Times New Roman" w:cs="Times New Roman"/>
          <w:color w:val="000000" w:themeColor="text1"/>
          <w:sz w:val="24"/>
          <w:szCs w:val="24"/>
        </w:rPr>
        <w:t xml:space="preserve"> de ordonatori principali de credite au un sistem de control intern managerial care </w:t>
      </w:r>
      <w:r w:rsidR="009E1364" w:rsidRPr="0048717B">
        <w:rPr>
          <w:rFonts w:ascii="Times New Roman" w:hAnsi="Times New Roman" w:cs="Times New Roman"/>
          <w:iCs/>
          <w:color w:val="000000" w:themeColor="text1"/>
          <w:sz w:val="24"/>
          <w:szCs w:val="24"/>
        </w:rPr>
        <w:t xml:space="preserve">cuprinde </w:t>
      </w:r>
      <w:r w:rsidR="009E1364" w:rsidRPr="0048717B">
        <w:rPr>
          <w:rFonts w:ascii="Times New Roman" w:hAnsi="Times New Roman" w:cs="Times New Roman"/>
          <w:color w:val="000000" w:themeColor="text1"/>
          <w:sz w:val="24"/>
          <w:szCs w:val="24"/>
        </w:rPr>
        <w:t>mecanisme de autocontrol;</w:t>
      </w:r>
    </w:p>
    <w:p w:rsidR="00B00A2A" w:rsidRPr="0048717B" w:rsidRDefault="009E1364" w:rsidP="00C7604C">
      <w:pPr>
        <w:pStyle w:val="ListParagraph"/>
        <w:numPr>
          <w:ilvl w:val="0"/>
          <w:numId w:val="77"/>
        </w:numPr>
        <w:tabs>
          <w:tab w:val="left" w:pos="993"/>
        </w:tabs>
        <w:spacing w:after="0" w:line="276" w:lineRule="auto"/>
        <w:ind w:left="992" w:hanging="425"/>
        <w:contextualSpacing w:val="0"/>
        <w:jc w:val="both"/>
        <w:rPr>
          <w:rFonts w:ascii="Times New Roman" w:hAnsi="Times New Roman" w:cs="Times New Roman"/>
          <w:color w:val="000000" w:themeColor="text1"/>
          <w:sz w:val="24"/>
          <w:szCs w:val="24"/>
        </w:rPr>
      </w:pPr>
      <w:r w:rsidRPr="0048717B">
        <w:rPr>
          <w:rFonts w:ascii="Times New Roman" w:hAnsi="Times New Roman" w:cs="Times New Roman"/>
          <w:color w:val="000000" w:themeColor="text1"/>
          <w:sz w:val="24"/>
          <w:szCs w:val="24"/>
        </w:rPr>
        <w:t>4</w:t>
      </w:r>
      <w:r w:rsidR="000E1259" w:rsidRPr="0048717B">
        <w:rPr>
          <w:rFonts w:ascii="Times New Roman" w:hAnsi="Times New Roman" w:cs="Times New Roman"/>
          <w:color w:val="000000" w:themeColor="text1"/>
          <w:sz w:val="24"/>
          <w:szCs w:val="24"/>
        </w:rPr>
        <w:t>8</w:t>
      </w:r>
      <w:r w:rsidRPr="0048717B">
        <w:rPr>
          <w:rFonts w:ascii="Times New Roman" w:hAnsi="Times New Roman" w:cs="Times New Roman"/>
          <w:color w:val="000000" w:themeColor="text1"/>
          <w:sz w:val="24"/>
          <w:szCs w:val="24"/>
        </w:rPr>
        <w:t xml:space="preserve"> de ordonatori principali de credite</w:t>
      </w:r>
      <w:r w:rsidRPr="0048717B">
        <w:rPr>
          <w:rFonts w:ascii="Times New Roman" w:hAnsi="Times New Roman" w:cs="Times New Roman"/>
          <w:iCs/>
          <w:color w:val="000000" w:themeColor="text1"/>
          <w:sz w:val="24"/>
          <w:szCs w:val="24"/>
        </w:rPr>
        <w:t xml:space="preserve"> </w:t>
      </w:r>
      <w:r w:rsidR="006439A4" w:rsidRPr="0048717B">
        <w:rPr>
          <w:rFonts w:ascii="Times New Roman" w:hAnsi="Times New Roman" w:cs="Times New Roman"/>
          <w:iCs/>
          <w:color w:val="000000" w:themeColor="text1"/>
          <w:sz w:val="24"/>
          <w:szCs w:val="24"/>
        </w:rPr>
        <w:t>au un sistem de control intern managerial care are</w:t>
      </w:r>
      <w:r w:rsidRPr="0048717B">
        <w:rPr>
          <w:rFonts w:ascii="Times New Roman" w:hAnsi="Times New Roman" w:cs="Times New Roman"/>
          <w:iCs/>
          <w:color w:val="000000" w:themeColor="text1"/>
          <w:sz w:val="24"/>
          <w:szCs w:val="24"/>
        </w:rPr>
        <w:t xml:space="preserve"> </w:t>
      </w:r>
      <w:r w:rsidRPr="0048717B">
        <w:rPr>
          <w:rFonts w:ascii="Times New Roman" w:hAnsi="Times New Roman" w:cs="Times New Roman"/>
          <w:color w:val="000000" w:themeColor="text1"/>
          <w:sz w:val="24"/>
          <w:szCs w:val="24"/>
        </w:rPr>
        <w:t>la bază evaluarea riscurilor;</w:t>
      </w:r>
    </w:p>
    <w:p w:rsidR="009E1364" w:rsidRPr="0048717B" w:rsidRDefault="000E1259" w:rsidP="00C7604C">
      <w:pPr>
        <w:pStyle w:val="ListParagraph"/>
        <w:numPr>
          <w:ilvl w:val="0"/>
          <w:numId w:val="77"/>
        </w:numPr>
        <w:tabs>
          <w:tab w:val="left" w:pos="993"/>
        </w:tabs>
        <w:spacing w:after="0" w:line="276" w:lineRule="auto"/>
        <w:ind w:left="992" w:hanging="425"/>
        <w:contextualSpacing w:val="0"/>
        <w:jc w:val="both"/>
        <w:rPr>
          <w:rFonts w:ascii="Times New Roman" w:hAnsi="Times New Roman" w:cs="Times New Roman"/>
          <w:color w:val="000000" w:themeColor="text1"/>
          <w:sz w:val="24"/>
          <w:szCs w:val="24"/>
        </w:rPr>
      </w:pPr>
      <w:r w:rsidRPr="0048717B">
        <w:rPr>
          <w:rFonts w:ascii="Times New Roman" w:hAnsi="Times New Roman" w:cs="Times New Roman"/>
          <w:color w:val="000000" w:themeColor="text1"/>
          <w:sz w:val="24"/>
          <w:szCs w:val="24"/>
        </w:rPr>
        <w:t>40</w:t>
      </w:r>
      <w:r w:rsidR="009E1364" w:rsidRPr="0048717B">
        <w:rPr>
          <w:rFonts w:ascii="Times New Roman" w:hAnsi="Times New Roman" w:cs="Times New Roman"/>
          <w:color w:val="000000" w:themeColor="text1"/>
          <w:sz w:val="24"/>
          <w:szCs w:val="24"/>
        </w:rPr>
        <w:t xml:space="preserve"> de ordonatori principali de credite au</w:t>
      </w:r>
      <w:r w:rsidR="008C5357" w:rsidRPr="0048717B">
        <w:rPr>
          <w:rFonts w:ascii="Times New Roman" w:hAnsi="Times New Roman" w:cs="Times New Roman"/>
          <w:color w:val="000000" w:themeColor="text1"/>
          <w:sz w:val="24"/>
          <w:szCs w:val="24"/>
        </w:rPr>
        <w:t xml:space="preserve"> actualizat anual</w:t>
      </w:r>
      <w:r w:rsidR="009E1364" w:rsidRPr="0048717B">
        <w:rPr>
          <w:rFonts w:ascii="Times New Roman" w:hAnsi="Times New Roman" w:cs="Times New Roman"/>
          <w:color w:val="000000" w:themeColor="text1"/>
          <w:sz w:val="24"/>
          <w:szCs w:val="24"/>
        </w:rPr>
        <w:t xml:space="preserve"> </w:t>
      </w:r>
      <w:r w:rsidR="008C5357" w:rsidRPr="0048717B">
        <w:rPr>
          <w:rFonts w:ascii="Times New Roman" w:hAnsi="Times New Roman" w:cs="Times New Roman"/>
          <w:color w:val="000000" w:themeColor="text1"/>
          <w:sz w:val="24"/>
          <w:szCs w:val="24"/>
        </w:rPr>
        <w:t>Registrul de riscuri</w:t>
      </w:r>
      <w:r w:rsidR="009E1364" w:rsidRPr="0048717B">
        <w:rPr>
          <w:rFonts w:ascii="Times New Roman" w:hAnsi="Times New Roman" w:cs="Times New Roman"/>
          <w:color w:val="000000" w:themeColor="text1"/>
          <w:sz w:val="24"/>
          <w:szCs w:val="24"/>
        </w:rPr>
        <w:t>;</w:t>
      </w:r>
    </w:p>
    <w:p w:rsidR="009E1364" w:rsidRPr="0048717B" w:rsidRDefault="000E1259" w:rsidP="00C7604C">
      <w:pPr>
        <w:pStyle w:val="ListParagraph"/>
        <w:numPr>
          <w:ilvl w:val="0"/>
          <w:numId w:val="77"/>
        </w:numPr>
        <w:tabs>
          <w:tab w:val="left" w:pos="993"/>
        </w:tabs>
        <w:spacing w:after="0" w:line="276" w:lineRule="auto"/>
        <w:ind w:left="992" w:hanging="425"/>
        <w:contextualSpacing w:val="0"/>
        <w:jc w:val="both"/>
        <w:rPr>
          <w:rFonts w:ascii="Times New Roman" w:hAnsi="Times New Roman" w:cs="Times New Roman"/>
          <w:color w:val="000000" w:themeColor="text1"/>
          <w:sz w:val="24"/>
          <w:szCs w:val="24"/>
        </w:rPr>
      </w:pPr>
      <w:r w:rsidRPr="0048717B">
        <w:rPr>
          <w:rFonts w:ascii="Times New Roman" w:hAnsi="Times New Roman" w:cs="Times New Roman"/>
          <w:color w:val="000000" w:themeColor="text1"/>
          <w:sz w:val="24"/>
          <w:szCs w:val="24"/>
        </w:rPr>
        <w:t>50</w:t>
      </w:r>
      <w:r w:rsidR="009E1364" w:rsidRPr="0048717B">
        <w:rPr>
          <w:rFonts w:ascii="Times New Roman" w:hAnsi="Times New Roman" w:cs="Times New Roman"/>
          <w:color w:val="000000" w:themeColor="text1"/>
          <w:sz w:val="24"/>
          <w:szCs w:val="24"/>
        </w:rPr>
        <w:t xml:space="preserve"> de ordonatori principali de credite </w:t>
      </w:r>
      <w:r w:rsidR="006439A4" w:rsidRPr="0048717B">
        <w:rPr>
          <w:rFonts w:ascii="Times New Roman" w:hAnsi="Times New Roman" w:cs="Times New Roman"/>
          <w:color w:val="000000" w:themeColor="text1"/>
          <w:sz w:val="24"/>
          <w:szCs w:val="24"/>
        </w:rPr>
        <w:t>au</w:t>
      </w:r>
      <w:r w:rsidR="009E1364" w:rsidRPr="0048717B">
        <w:rPr>
          <w:rFonts w:ascii="Times New Roman" w:hAnsi="Times New Roman" w:cs="Times New Roman"/>
          <w:color w:val="000000" w:themeColor="text1"/>
          <w:sz w:val="24"/>
          <w:szCs w:val="24"/>
        </w:rPr>
        <w:t xml:space="preserve"> </w:t>
      </w:r>
      <w:r w:rsidR="006439A4" w:rsidRPr="0048717B">
        <w:rPr>
          <w:rFonts w:ascii="Times New Roman" w:hAnsi="Times New Roman" w:cs="Times New Roman"/>
          <w:color w:val="000000" w:themeColor="text1"/>
          <w:sz w:val="24"/>
          <w:szCs w:val="24"/>
        </w:rPr>
        <w:t>a</w:t>
      </w:r>
      <w:r w:rsidR="009E1364" w:rsidRPr="0048717B">
        <w:rPr>
          <w:rFonts w:ascii="Times New Roman" w:hAnsi="Times New Roman" w:cs="Times New Roman"/>
          <w:color w:val="000000" w:themeColor="text1"/>
          <w:sz w:val="24"/>
          <w:szCs w:val="24"/>
        </w:rPr>
        <w:t>ctualizate anual</w:t>
      </w:r>
      <w:r w:rsidR="008C5357" w:rsidRPr="0048717B">
        <w:rPr>
          <w:rFonts w:ascii="Times New Roman" w:hAnsi="Times New Roman" w:cs="Times New Roman"/>
          <w:color w:val="000000" w:themeColor="text1"/>
          <w:sz w:val="24"/>
          <w:szCs w:val="24"/>
        </w:rPr>
        <w:t xml:space="preserve"> procedurile</w:t>
      </w:r>
      <w:r w:rsidR="009E1364" w:rsidRPr="0048717B">
        <w:rPr>
          <w:rFonts w:ascii="Times New Roman" w:hAnsi="Times New Roman" w:cs="Times New Roman"/>
          <w:color w:val="000000" w:themeColor="text1"/>
          <w:sz w:val="24"/>
          <w:szCs w:val="24"/>
        </w:rPr>
        <w:t>;</w:t>
      </w:r>
    </w:p>
    <w:p w:rsidR="009E1364" w:rsidRPr="0048717B" w:rsidRDefault="000E1259" w:rsidP="00C7604C">
      <w:pPr>
        <w:pStyle w:val="ListParagraph"/>
        <w:numPr>
          <w:ilvl w:val="0"/>
          <w:numId w:val="77"/>
        </w:numPr>
        <w:tabs>
          <w:tab w:val="left" w:pos="993"/>
        </w:tabs>
        <w:spacing w:after="0" w:line="276" w:lineRule="auto"/>
        <w:ind w:left="992" w:hanging="425"/>
        <w:contextualSpacing w:val="0"/>
        <w:jc w:val="both"/>
        <w:rPr>
          <w:rFonts w:ascii="Times New Roman" w:hAnsi="Times New Roman" w:cs="Times New Roman"/>
          <w:color w:val="000000" w:themeColor="text1"/>
          <w:sz w:val="24"/>
          <w:szCs w:val="24"/>
        </w:rPr>
      </w:pPr>
      <w:r w:rsidRPr="0048717B">
        <w:rPr>
          <w:rFonts w:ascii="Times New Roman" w:hAnsi="Times New Roman" w:cs="Times New Roman"/>
          <w:color w:val="000000" w:themeColor="text1"/>
          <w:sz w:val="24"/>
          <w:szCs w:val="24"/>
        </w:rPr>
        <w:t>46</w:t>
      </w:r>
      <w:r w:rsidR="009E1364" w:rsidRPr="0048717B">
        <w:rPr>
          <w:rFonts w:ascii="Times New Roman" w:hAnsi="Times New Roman" w:cs="Times New Roman"/>
          <w:color w:val="000000" w:themeColor="text1"/>
          <w:sz w:val="24"/>
          <w:szCs w:val="24"/>
        </w:rPr>
        <w:t xml:space="preserve"> de ordonatori principali de credite au Program de dezvoltare a sistemului de control intern managerial</w:t>
      </w:r>
      <w:r w:rsidR="006439A4" w:rsidRPr="0048717B">
        <w:rPr>
          <w:rFonts w:ascii="Times New Roman" w:hAnsi="Times New Roman" w:cs="Times New Roman"/>
          <w:color w:val="000000" w:themeColor="text1"/>
          <w:sz w:val="24"/>
          <w:szCs w:val="24"/>
        </w:rPr>
        <w:t xml:space="preserve">, </w:t>
      </w:r>
      <w:r w:rsidR="009E1364" w:rsidRPr="0048717B">
        <w:rPr>
          <w:rFonts w:ascii="Times New Roman" w:hAnsi="Times New Roman" w:cs="Times New Roman"/>
          <w:color w:val="000000" w:themeColor="text1"/>
          <w:sz w:val="24"/>
          <w:szCs w:val="24"/>
        </w:rPr>
        <w:t>care cuprinde acțiuni de perfecționare profesională;</w:t>
      </w:r>
    </w:p>
    <w:p w:rsidR="009E1364" w:rsidRPr="0048717B" w:rsidRDefault="000E1259" w:rsidP="00C7604C">
      <w:pPr>
        <w:pStyle w:val="ListParagraph"/>
        <w:numPr>
          <w:ilvl w:val="0"/>
          <w:numId w:val="77"/>
        </w:numPr>
        <w:tabs>
          <w:tab w:val="left" w:pos="993"/>
        </w:tabs>
        <w:spacing w:after="0" w:line="276" w:lineRule="auto"/>
        <w:ind w:left="992" w:hanging="425"/>
        <w:contextualSpacing w:val="0"/>
        <w:jc w:val="both"/>
        <w:rPr>
          <w:rFonts w:ascii="Times New Roman" w:hAnsi="Times New Roman" w:cs="Times New Roman"/>
          <w:color w:val="000000" w:themeColor="text1"/>
          <w:sz w:val="24"/>
          <w:szCs w:val="24"/>
        </w:rPr>
      </w:pPr>
      <w:r w:rsidRPr="0048717B">
        <w:rPr>
          <w:rFonts w:ascii="Times New Roman" w:hAnsi="Times New Roman" w:cs="Times New Roman"/>
          <w:color w:val="000000" w:themeColor="text1"/>
          <w:sz w:val="24"/>
          <w:szCs w:val="24"/>
        </w:rPr>
        <w:t>45</w:t>
      </w:r>
      <w:r w:rsidR="009E1364" w:rsidRPr="0048717B">
        <w:rPr>
          <w:rFonts w:ascii="Times New Roman" w:hAnsi="Times New Roman" w:cs="Times New Roman"/>
          <w:color w:val="000000" w:themeColor="text1"/>
          <w:sz w:val="24"/>
          <w:szCs w:val="24"/>
        </w:rPr>
        <w:t xml:space="preserve"> de ordonatori principali de credite </w:t>
      </w:r>
      <w:r w:rsidR="00925A2C" w:rsidRPr="0048717B">
        <w:rPr>
          <w:rFonts w:ascii="Times New Roman" w:hAnsi="Times New Roman" w:cs="Times New Roman"/>
          <w:color w:val="000000" w:themeColor="text1"/>
          <w:sz w:val="24"/>
          <w:szCs w:val="24"/>
        </w:rPr>
        <w:t xml:space="preserve">au </w:t>
      </w:r>
      <w:r w:rsidR="00770169" w:rsidRPr="0048717B">
        <w:rPr>
          <w:rFonts w:ascii="Times New Roman" w:hAnsi="Times New Roman" w:cs="Times New Roman"/>
          <w:color w:val="000000" w:themeColor="text1"/>
          <w:sz w:val="24"/>
          <w:szCs w:val="24"/>
        </w:rPr>
        <w:t xml:space="preserve">actualizat, în cursul anului, </w:t>
      </w:r>
      <w:r w:rsidR="00925A2C" w:rsidRPr="0048717B">
        <w:rPr>
          <w:rFonts w:ascii="Times New Roman" w:hAnsi="Times New Roman" w:cs="Times New Roman"/>
          <w:color w:val="000000" w:themeColor="text1"/>
          <w:sz w:val="24"/>
          <w:szCs w:val="24"/>
        </w:rPr>
        <w:t>Program</w:t>
      </w:r>
      <w:r w:rsidR="00770169" w:rsidRPr="0048717B">
        <w:rPr>
          <w:rFonts w:ascii="Times New Roman" w:hAnsi="Times New Roman" w:cs="Times New Roman"/>
          <w:color w:val="000000" w:themeColor="text1"/>
          <w:sz w:val="24"/>
          <w:szCs w:val="24"/>
        </w:rPr>
        <w:t>ul</w:t>
      </w:r>
      <w:r w:rsidR="009E1364" w:rsidRPr="0048717B">
        <w:rPr>
          <w:rFonts w:ascii="Times New Roman" w:hAnsi="Times New Roman" w:cs="Times New Roman"/>
          <w:color w:val="000000" w:themeColor="text1"/>
          <w:sz w:val="24"/>
          <w:szCs w:val="24"/>
        </w:rPr>
        <w:t xml:space="preserve"> de dezvoltare a sistemului de control intern managerial</w:t>
      </w:r>
      <w:r w:rsidR="00925A2C" w:rsidRPr="0048717B">
        <w:rPr>
          <w:rFonts w:ascii="Times New Roman" w:hAnsi="Times New Roman" w:cs="Times New Roman"/>
          <w:color w:val="000000" w:themeColor="text1"/>
          <w:sz w:val="24"/>
          <w:szCs w:val="24"/>
        </w:rPr>
        <w:t>;</w:t>
      </w:r>
    </w:p>
    <w:p w:rsidR="00925A2C" w:rsidRPr="0048717B" w:rsidRDefault="00925A2C" w:rsidP="00C7604C">
      <w:pPr>
        <w:pStyle w:val="ListParagraph"/>
        <w:numPr>
          <w:ilvl w:val="0"/>
          <w:numId w:val="77"/>
        </w:numPr>
        <w:tabs>
          <w:tab w:val="left" w:pos="993"/>
        </w:tabs>
        <w:spacing w:after="0" w:line="276" w:lineRule="auto"/>
        <w:ind w:left="992" w:hanging="425"/>
        <w:contextualSpacing w:val="0"/>
        <w:jc w:val="both"/>
        <w:rPr>
          <w:rFonts w:ascii="Times New Roman" w:hAnsi="Times New Roman" w:cs="Times New Roman"/>
          <w:color w:val="000000" w:themeColor="text1"/>
          <w:sz w:val="24"/>
          <w:szCs w:val="24"/>
        </w:rPr>
      </w:pPr>
      <w:r w:rsidRPr="0048717B">
        <w:rPr>
          <w:rFonts w:ascii="Times New Roman" w:hAnsi="Times New Roman" w:cs="Times New Roman"/>
          <w:color w:val="000000" w:themeColor="text1"/>
          <w:sz w:val="24"/>
          <w:szCs w:val="24"/>
        </w:rPr>
        <w:t xml:space="preserve">toți </w:t>
      </w:r>
      <w:r w:rsidR="006439A4" w:rsidRPr="0048717B">
        <w:rPr>
          <w:rFonts w:ascii="Times New Roman" w:hAnsi="Times New Roman" w:cs="Times New Roman"/>
          <w:color w:val="000000" w:themeColor="text1"/>
          <w:sz w:val="24"/>
          <w:szCs w:val="24"/>
        </w:rPr>
        <w:t xml:space="preserve">cei </w:t>
      </w:r>
      <w:r w:rsidR="000E1259" w:rsidRPr="0048717B">
        <w:rPr>
          <w:rFonts w:ascii="Times New Roman" w:hAnsi="Times New Roman" w:cs="Times New Roman"/>
          <w:color w:val="000000" w:themeColor="text1"/>
          <w:sz w:val="24"/>
          <w:szCs w:val="24"/>
        </w:rPr>
        <w:t>50</w:t>
      </w:r>
      <w:r w:rsidR="006439A4" w:rsidRPr="0048717B">
        <w:rPr>
          <w:rFonts w:ascii="Times New Roman" w:hAnsi="Times New Roman" w:cs="Times New Roman"/>
          <w:color w:val="000000" w:themeColor="text1"/>
          <w:sz w:val="24"/>
          <w:szCs w:val="24"/>
        </w:rPr>
        <w:t xml:space="preserve"> de </w:t>
      </w:r>
      <w:r w:rsidRPr="0048717B">
        <w:rPr>
          <w:rFonts w:ascii="Times New Roman" w:hAnsi="Times New Roman" w:cs="Times New Roman"/>
          <w:color w:val="000000" w:themeColor="text1"/>
          <w:sz w:val="24"/>
          <w:szCs w:val="24"/>
        </w:rPr>
        <w:t xml:space="preserve">ordonatori principali de credite </w:t>
      </w:r>
      <w:r w:rsidR="006439A4" w:rsidRPr="0048717B">
        <w:rPr>
          <w:rFonts w:ascii="Times New Roman" w:hAnsi="Times New Roman" w:cs="Times New Roman"/>
          <w:color w:val="000000" w:themeColor="text1"/>
          <w:sz w:val="24"/>
          <w:szCs w:val="24"/>
        </w:rPr>
        <w:t>și-</w:t>
      </w:r>
      <w:r w:rsidRPr="0048717B">
        <w:rPr>
          <w:rFonts w:ascii="Times New Roman" w:hAnsi="Times New Roman" w:cs="Times New Roman"/>
          <w:color w:val="000000" w:themeColor="text1"/>
          <w:sz w:val="24"/>
          <w:szCs w:val="24"/>
        </w:rPr>
        <w:t>au</w:t>
      </w:r>
      <w:r w:rsidR="006439A4" w:rsidRPr="0048717B">
        <w:rPr>
          <w:rFonts w:ascii="Times New Roman" w:hAnsi="Times New Roman" w:cs="Times New Roman"/>
          <w:color w:val="000000" w:themeColor="text1"/>
          <w:sz w:val="24"/>
          <w:szCs w:val="24"/>
        </w:rPr>
        <w:t xml:space="preserve"> constituit </w:t>
      </w:r>
      <w:r w:rsidRPr="0048717B">
        <w:rPr>
          <w:rFonts w:ascii="Times New Roman" w:hAnsi="Times New Roman" w:cs="Times New Roman"/>
          <w:color w:val="000000" w:themeColor="text1"/>
          <w:sz w:val="24"/>
          <w:szCs w:val="24"/>
        </w:rPr>
        <w:t>compartiment de audit</w:t>
      </w:r>
      <w:r w:rsidR="006439A4" w:rsidRPr="0048717B">
        <w:rPr>
          <w:rFonts w:ascii="Times New Roman" w:hAnsi="Times New Roman" w:cs="Times New Roman"/>
          <w:color w:val="000000" w:themeColor="text1"/>
          <w:sz w:val="24"/>
          <w:szCs w:val="24"/>
        </w:rPr>
        <w:t xml:space="preserve"> intern</w:t>
      </w:r>
      <w:r w:rsidRPr="0048717B">
        <w:rPr>
          <w:rFonts w:ascii="Times New Roman" w:hAnsi="Times New Roman" w:cs="Times New Roman"/>
          <w:color w:val="000000" w:themeColor="text1"/>
          <w:sz w:val="24"/>
          <w:szCs w:val="24"/>
        </w:rPr>
        <w:t>;</w:t>
      </w:r>
    </w:p>
    <w:p w:rsidR="00925A2C" w:rsidRPr="0048717B" w:rsidRDefault="000E1259" w:rsidP="00C7604C">
      <w:pPr>
        <w:pStyle w:val="ListParagraph"/>
        <w:numPr>
          <w:ilvl w:val="0"/>
          <w:numId w:val="77"/>
        </w:numPr>
        <w:tabs>
          <w:tab w:val="left" w:pos="993"/>
        </w:tabs>
        <w:spacing w:after="0" w:line="276" w:lineRule="auto"/>
        <w:ind w:left="992" w:hanging="425"/>
        <w:contextualSpacing w:val="0"/>
        <w:jc w:val="both"/>
        <w:rPr>
          <w:rFonts w:ascii="Times New Roman" w:hAnsi="Times New Roman" w:cs="Times New Roman"/>
          <w:color w:val="000000" w:themeColor="text1"/>
          <w:sz w:val="24"/>
          <w:szCs w:val="24"/>
        </w:rPr>
      </w:pPr>
      <w:r w:rsidRPr="0048717B">
        <w:rPr>
          <w:rFonts w:ascii="Times New Roman" w:hAnsi="Times New Roman" w:cs="Times New Roman"/>
          <w:color w:val="000000" w:themeColor="text1"/>
          <w:sz w:val="24"/>
          <w:szCs w:val="24"/>
        </w:rPr>
        <w:t>48</w:t>
      </w:r>
      <w:r w:rsidR="00925A2C" w:rsidRPr="0048717B">
        <w:rPr>
          <w:rFonts w:ascii="Times New Roman" w:hAnsi="Times New Roman" w:cs="Times New Roman"/>
          <w:color w:val="000000" w:themeColor="text1"/>
          <w:sz w:val="24"/>
          <w:szCs w:val="24"/>
        </w:rPr>
        <w:t xml:space="preserve"> de ordonatori principali de credite au un compartimentul de audit intern funcțional;</w:t>
      </w:r>
    </w:p>
    <w:p w:rsidR="00925A2C" w:rsidRPr="0048717B" w:rsidRDefault="000E1259" w:rsidP="00C7604C">
      <w:pPr>
        <w:pStyle w:val="ListParagraph"/>
        <w:numPr>
          <w:ilvl w:val="0"/>
          <w:numId w:val="77"/>
        </w:numPr>
        <w:tabs>
          <w:tab w:val="left" w:pos="993"/>
        </w:tabs>
        <w:spacing w:after="0" w:line="276" w:lineRule="auto"/>
        <w:ind w:left="992" w:hanging="425"/>
        <w:contextualSpacing w:val="0"/>
        <w:jc w:val="both"/>
        <w:rPr>
          <w:rFonts w:ascii="Times New Roman" w:hAnsi="Times New Roman" w:cs="Times New Roman"/>
          <w:color w:val="000000" w:themeColor="text1"/>
          <w:sz w:val="24"/>
          <w:szCs w:val="24"/>
        </w:rPr>
      </w:pPr>
      <w:r w:rsidRPr="0048717B">
        <w:rPr>
          <w:rFonts w:ascii="Times New Roman" w:hAnsi="Times New Roman" w:cs="Times New Roman"/>
          <w:color w:val="000000" w:themeColor="text1"/>
          <w:sz w:val="24"/>
          <w:szCs w:val="24"/>
        </w:rPr>
        <w:t>38</w:t>
      </w:r>
      <w:r w:rsidR="00925A2C" w:rsidRPr="0048717B">
        <w:rPr>
          <w:rFonts w:ascii="Times New Roman" w:hAnsi="Times New Roman" w:cs="Times New Roman"/>
          <w:color w:val="000000" w:themeColor="text1"/>
          <w:sz w:val="24"/>
          <w:szCs w:val="24"/>
        </w:rPr>
        <w:t xml:space="preserve"> de ordonatori principali de credite au compartimentul de audit intern format din minim 2 persoane</w:t>
      </w:r>
      <w:r w:rsidR="006439A4" w:rsidRPr="0048717B">
        <w:rPr>
          <w:rFonts w:ascii="Times New Roman" w:hAnsi="Times New Roman" w:cs="Times New Roman"/>
          <w:color w:val="000000" w:themeColor="text1"/>
          <w:sz w:val="24"/>
          <w:szCs w:val="24"/>
        </w:rPr>
        <w:t>.</w:t>
      </w:r>
    </w:p>
    <w:p w:rsidR="00925A2C" w:rsidRPr="0048717B" w:rsidRDefault="00997412" w:rsidP="00997412">
      <w:pPr>
        <w:spacing w:after="120" w:line="276" w:lineRule="auto"/>
        <w:jc w:val="both"/>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 xml:space="preserve">E. </w:t>
      </w:r>
      <w:r w:rsidR="00925A2C" w:rsidRPr="0048717B">
        <w:rPr>
          <w:rFonts w:ascii="Times New Roman" w:hAnsi="Times New Roman" w:cs="Times New Roman"/>
          <w:color w:val="000000" w:themeColor="text1"/>
          <w:sz w:val="24"/>
          <w:szCs w:val="24"/>
        </w:rPr>
        <w:t>La nivelul entităţilor publice subordonate sau aflate în coordonarea ordonatorilor principali de credite, situaţia conformităţii sistemelor de control intern managerial la data de 31 decembrie 20</w:t>
      </w:r>
      <w:r w:rsidR="000E1259" w:rsidRPr="0048717B">
        <w:rPr>
          <w:rFonts w:ascii="Times New Roman" w:hAnsi="Times New Roman" w:cs="Times New Roman"/>
          <w:color w:val="000000" w:themeColor="text1"/>
          <w:sz w:val="24"/>
          <w:szCs w:val="24"/>
        </w:rPr>
        <w:t>16</w:t>
      </w:r>
      <w:r w:rsidR="00925A2C" w:rsidRPr="0048717B">
        <w:rPr>
          <w:rFonts w:ascii="Times New Roman" w:hAnsi="Times New Roman" w:cs="Times New Roman"/>
          <w:color w:val="000000" w:themeColor="text1"/>
          <w:sz w:val="24"/>
          <w:szCs w:val="24"/>
        </w:rPr>
        <w:t>, se prezintă astfel:</w:t>
      </w:r>
    </w:p>
    <w:p w:rsidR="00925A2C" w:rsidRPr="0048717B" w:rsidRDefault="000E1259" w:rsidP="00C7604C">
      <w:pPr>
        <w:pStyle w:val="ListParagraph"/>
        <w:numPr>
          <w:ilvl w:val="0"/>
          <w:numId w:val="78"/>
        </w:numPr>
        <w:spacing w:after="0" w:line="276" w:lineRule="auto"/>
        <w:ind w:left="992" w:hanging="425"/>
        <w:contextualSpacing w:val="0"/>
        <w:jc w:val="both"/>
        <w:rPr>
          <w:rFonts w:ascii="Times New Roman" w:hAnsi="Times New Roman" w:cs="Times New Roman"/>
          <w:color w:val="000000" w:themeColor="text1"/>
          <w:sz w:val="24"/>
          <w:szCs w:val="24"/>
        </w:rPr>
      </w:pPr>
      <w:r w:rsidRPr="0048717B">
        <w:rPr>
          <w:rFonts w:ascii="Times New Roman" w:hAnsi="Times New Roman" w:cs="Times New Roman"/>
          <w:color w:val="000000" w:themeColor="text1"/>
          <w:sz w:val="24"/>
          <w:szCs w:val="24"/>
        </w:rPr>
        <w:t>50,23</w:t>
      </w:r>
      <w:r w:rsidR="006439A4" w:rsidRPr="0048717B">
        <w:rPr>
          <w:rFonts w:ascii="Times New Roman" w:hAnsi="Times New Roman" w:cs="Times New Roman"/>
          <w:color w:val="000000" w:themeColor="text1"/>
          <w:sz w:val="24"/>
          <w:szCs w:val="24"/>
        </w:rPr>
        <w:t xml:space="preserve"> % din </w:t>
      </w:r>
      <w:r w:rsidR="00925A2C" w:rsidRPr="0048717B">
        <w:rPr>
          <w:rFonts w:ascii="Times New Roman" w:hAnsi="Times New Roman" w:cs="Times New Roman"/>
          <w:color w:val="000000" w:themeColor="text1"/>
          <w:sz w:val="24"/>
          <w:szCs w:val="24"/>
        </w:rPr>
        <w:t>entităţi</w:t>
      </w:r>
      <w:r w:rsidR="006439A4" w:rsidRPr="0048717B">
        <w:rPr>
          <w:rFonts w:ascii="Times New Roman" w:hAnsi="Times New Roman" w:cs="Times New Roman"/>
          <w:color w:val="000000" w:themeColor="text1"/>
          <w:sz w:val="24"/>
          <w:szCs w:val="24"/>
        </w:rPr>
        <w:t>le</w:t>
      </w:r>
      <w:r w:rsidR="00925A2C" w:rsidRPr="0048717B">
        <w:rPr>
          <w:rFonts w:ascii="Times New Roman" w:hAnsi="Times New Roman" w:cs="Times New Roman"/>
          <w:color w:val="000000" w:themeColor="text1"/>
          <w:sz w:val="24"/>
          <w:szCs w:val="24"/>
        </w:rPr>
        <w:t xml:space="preserve"> publice subordonate sau aflate în coordonarea ordo</w:t>
      </w:r>
      <w:r w:rsidR="006439A4" w:rsidRPr="0048717B">
        <w:rPr>
          <w:rFonts w:ascii="Times New Roman" w:hAnsi="Times New Roman" w:cs="Times New Roman"/>
          <w:color w:val="000000" w:themeColor="text1"/>
          <w:sz w:val="24"/>
          <w:szCs w:val="24"/>
        </w:rPr>
        <w:t>natorilor principali de credite</w:t>
      </w:r>
      <w:r w:rsidR="00925A2C" w:rsidRPr="0048717B">
        <w:rPr>
          <w:rFonts w:ascii="Times New Roman" w:hAnsi="Times New Roman" w:cs="Times New Roman"/>
          <w:color w:val="000000" w:themeColor="text1"/>
          <w:sz w:val="24"/>
          <w:szCs w:val="24"/>
        </w:rPr>
        <w:t xml:space="preserve"> au sisteme conforme;</w:t>
      </w:r>
    </w:p>
    <w:p w:rsidR="00997412" w:rsidRDefault="000E1259" w:rsidP="00C7604C">
      <w:pPr>
        <w:pStyle w:val="ListParagraph"/>
        <w:numPr>
          <w:ilvl w:val="0"/>
          <w:numId w:val="78"/>
        </w:numPr>
        <w:spacing w:after="0" w:line="276" w:lineRule="auto"/>
        <w:ind w:left="992" w:hanging="425"/>
        <w:contextualSpacing w:val="0"/>
        <w:jc w:val="both"/>
        <w:rPr>
          <w:rFonts w:ascii="Times New Roman" w:hAnsi="Times New Roman" w:cs="Times New Roman"/>
          <w:color w:val="000000" w:themeColor="text1"/>
          <w:sz w:val="24"/>
          <w:szCs w:val="24"/>
        </w:rPr>
      </w:pPr>
      <w:r w:rsidRPr="0048717B">
        <w:rPr>
          <w:rFonts w:ascii="Times New Roman" w:hAnsi="Times New Roman" w:cs="Times New Roman"/>
          <w:color w:val="000000" w:themeColor="text1"/>
          <w:sz w:val="24"/>
          <w:szCs w:val="24"/>
        </w:rPr>
        <w:t>49,02</w:t>
      </w:r>
      <w:r w:rsidR="006439A4" w:rsidRPr="0048717B">
        <w:rPr>
          <w:rFonts w:ascii="Times New Roman" w:hAnsi="Times New Roman" w:cs="Times New Roman"/>
          <w:color w:val="000000" w:themeColor="text1"/>
          <w:sz w:val="24"/>
          <w:szCs w:val="24"/>
        </w:rPr>
        <w:t xml:space="preserve"> % din </w:t>
      </w:r>
      <w:r w:rsidR="00925A2C" w:rsidRPr="0048717B">
        <w:rPr>
          <w:rFonts w:ascii="Times New Roman" w:hAnsi="Times New Roman" w:cs="Times New Roman"/>
          <w:color w:val="000000" w:themeColor="text1"/>
          <w:sz w:val="24"/>
          <w:szCs w:val="24"/>
        </w:rPr>
        <w:t>entităţi</w:t>
      </w:r>
      <w:r w:rsidR="006439A4" w:rsidRPr="0048717B">
        <w:rPr>
          <w:rFonts w:ascii="Times New Roman" w:hAnsi="Times New Roman" w:cs="Times New Roman"/>
          <w:color w:val="000000" w:themeColor="text1"/>
          <w:sz w:val="24"/>
          <w:szCs w:val="24"/>
        </w:rPr>
        <w:t>le</w:t>
      </w:r>
      <w:r w:rsidR="00925A2C" w:rsidRPr="0048717B">
        <w:rPr>
          <w:rFonts w:ascii="Times New Roman" w:hAnsi="Times New Roman" w:cs="Times New Roman"/>
          <w:color w:val="000000" w:themeColor="text1"/>
          <w:sz w:val="24"/>
          <w:szCs w:val="24"/>
        </w:rPr>
        <w:t xml:space="preserve"> publice subordonate sau aflate în coordonarea ordon</w:t>
      </w:r>
      <w:r w:rsidR="006439A4" w:rsidRPr="0048717B">
        <w:rPr>
          <w:rFonts w:ascii="Times New Roman" w:hAnsi="Times New Roman" w:cs="Times New Roman"/>
          <w:color w:val="000000" w:themeColor="text1"/>
          <w:sz w:val="24"/>
          <w:szCs w:val="24"/>
        </w:rPr>
        <w:t xml:space="preserve">atorilor principali de credite </w:t>
      </w:r>
      <w:r w:rsidR="00925A2C" w:rsidRPr="0048717B">
        <w:rPr>
          <w:rFonts w:ascii="Times New Roman" w:hAnsi="Times New Roman" w:cs="Times New Roman"/>
          <w:color w:val="000000" w:themeColor="text1"/>
          <w:sz w:val="24"/>
          <w:szCs w:val="24"/>
        </w:rPr>
        <w:t>au sisteme parţial conforme;</w:t>
      </w:r>
    </w:p>
    <w:p w:rsidR="00925A2C" w:rsidRPr="00997412" w:rsidRDefault="000E1259" w:rsidP="00C7604C">
      <w:pPr>
        <w:pStyle w:val="ListParagraph"/>
        <w:numPr>
          <w:ilvl w:val="0"/>
          <w:numId w:val="78"/>
        </w:numPr>
        <w:spacing w:after="0" w:line="276" w:lineRule="auto"/>
        <w:ind w:left="992" w:hanging="425"/>
        <w:contextualSpacing w:val="0"/>
        <w:jc w:val="both"/>
        <w:rPr>
          <w:rFonts w:ascii="Times New Roman" w:hAnsi="Times New Roman" w:cs="Times New Roman"/>
          <w:color w:val="000000" w:themeColor="text1"/>
          <w:sz w:val="24"/>
          <w:szCs w:val="24"/>
        </w:rPr>
      </w:pPr>
      <w:r w:rsidRPr="00997412">
        <w:rPr>
          <w:rFonts w:ascii="Times New Roman" w:hAnsi="Times New Roman" w:cs="Times New Roman"/>
          <w:color w:val="000000" w:themeColor="text1"/>
          <w:sz w:val="24"/>
          <w:szCs w:val="24"/>
        </w:rPr>
        <w:t>0,75</w:t>
      </w:r>
      <w:r w:rsidR="006439A4" w:rsidRPr="00997412">
        <w:rPr>
          <w:rFonts w:ascii="Times New Roman" w:hAnsi="Times New Roman" w:cs="Times New Roman"/>
          <w:color w:val="000000" w:themeColor="text1"/>
          <w:sz w:val="24"/>
          <w:szCs w:val="24"/>
        </w:rPr>
        <w:t xml:space="preserve"> % din</w:t>
      </w:r>
      <w:r w:rsidR="00925A2C" w:rsidRPr="00997412">
        <w:rPr>
          <w:rFonts w:ascii="Times New Roman" w:hAnsi="Times New Roman" w:cs="Times New Roman"/>
          <w:color w:val="000000" w:themeColor="text1"/>
          <w:sz w:val="24"/>
          <w:szCs w:val="24"/>
        </w:rPr>
        <w:t xml:space="preserve"> entităţi</w:t>
      </w:r>
      <w:r w:rsidR="006439A4" w:rsidRPr="00997412">
        <w:rPr>
          <w:rFonts w:ascii="Times New Roman" w:hAnsi="Times New Roman" w:cs="Times New Roman"/>
          <w:color w:val="000000" w:themeColor="text1"/>
          <w:sz w:val="24"/>
          <w:szCs w:val="24"/>
        </w:rPr>
        <w:t>le</w:t>
      </w:r>
      <w:r w:rsidR="00925A2C" w:rsidRPr="00997412">
        <w:rPr>
          <w:rFonts w:ascii="Times New Roman" w:hAnsi="Times New Roman" w:cs="Times New Roman"/>
          <w:color w:val="000000" w:themeColor="text1"/>
          <w:sz w:val="24"/>
          <w:szCs w:val="24"/>
        </w:rPr>
        <w:t xml:space="preserve"> publice</w:t>
      </w:r>
      <w:r w:rsidR="00997412">
        <w:rPr>
          <w:rFonts w:ascii="Times New Roman" w:hAnsi="Times New Roman" w:cs="Times New Roman"/>
          <w:color w:val="000000" w:themeColor="text1"/>
          <w:sz w:val="24"/>
          <w:szCs w:val="24"/>
        </w:rPr>
        <w:t xml:space="preserve"> subordonate </w:t>
      </w:r>
      <w:r w:rsidR="00925A2C" w:rsidRPr="00997412">
        <w:rPr>
          <w:rFonts w:ascii="Times New Roman" w:hAnsi="Times New Roman" w:cs="Times New Roman"/>
          <w:color w:val="000000" w:themeColor="text1"/>
          <w:sz w:val="24"/>
          <w:szCs w:val="24"/>
        </w:rPr>
        <w:t>sau aflate în coord</w:t>
      </w:r>
      <w:r w:rsidR="00997412" w:rsidRPr="00997412">
        <w:rPr>
          <w:rFonts w:ascii="Times New Roman" w:hAnsi="Times New Roman" w:cs="Times New Roman"/>
          <w:color w:val="000000" w:themeColor="text1"/>
          <w:sz w:val="24"/>
          <w:szCs w:val="24"/>
        </w:rPr>
        <w:t xml:space="preserve">onarea ordonatorilor principali </w:t>
      </w:r>
      <w:r w:rsidR="00925A2C" w:rsidRPr="00997412">
        <w:rPr>
          <w:rFonts w:ascii="Times New Roman" w:hAnsi="Times New Roman" w:cs="Times New Roman"/>
          <w:color w:val="000000" w:themeColor="text1"/>
          <w:sz w:val="24"/>
          <w:szCs w:val="24"/>
        </w:rPr>
        <w:t>de credite</w:t>
      </w:r>
      <w:r w:rsidR="006439A4" w:rsidRPr="00997412">
        <w:rPr>
          <w:rFonts w:ascii="Times New Roman" w:hAnsi="Times New Roman" w:cs="Times New Roman"/>
          <w:color w:val="000000" w:themeColor="text1"/>
          <w:sz w:val="24"/>
          <w:szCs w:val="24"/>
        </w:rPr>
        <w:t xml:space="preserve"> </w:t>
      </w:r>
      <w:r w:rsidR="00925A2C" w:rsidRPr="00997412">
        <w:rPr>
          <w:rFonts w:ascii="Times New Roman" w:hAnsi="Times New Roman" w:cs="Times New Roman"/>
          <w:color w:val="000000" w:themeColor="text1"/>
          <w:sz w:val="24"/>
          <w:szCs w:val="24"/>
        </w:rPr>
        <w:t>au sisteme neconforme</w:t>
      </w:r>
      <w:r w:rsidR="00925A2C" w:rsidRPr="00997412">
        <w:rPr>
          <w:rFonts w:ascii="Times New Roman" w:hAnsi="Times New Roman" w:cs="Times New Roman"/>
          <w:color w:val="000000" w:themeColor="text1"/>
          <w:sz w:val="36"/>
          <w:szCs w:val="36"/>
        </w:rPr>
        <w:t>.</w:t>
      </w:r>
    </w:p>
    <w:p w:rsidR="00370B3C" w:rsidRPr="00CA5E77" w:rsidRDefault="00B00A2A" w:rsidP="00CA5E77">
      <w:pPr>
        <w:tabs>
          <w:tab w:val="left" w:pos="810"/>
        </w:tabs>
        <w:spacing w:after="120" w:line="276" w:lineRule="auto"/>
        <w:jc w:val="both"/>
        <w:rPr>
          <w:rFonts w:ascii="Times New Roman" w:hAnsi="Times New Roman" w:cs="Times New Roman"/>
          <w:color w:val="000000" w:themeColor="text1"/>
          <w:sz w:val="24"/>
          <w:szCs w:val="24"/>
        </w:rPr>
      </w:pPr>
      <w:r w:rsidRPr="00CA5E77">
        <w:rPr>
          <w:rFonts w:ascii="Times New Roman" w:hAnsi="Times New Roman" w:cs="Times New Roman"/>
          <w:color w:val="000000" w:themeColor="text1"/>
          <w:sz w:val="24"/>
          <w:szCs w:val="24"/>
        </w:rPr>
        <w:t xml:space="preserve">Menționăm că, până la data prezentului Raport, </w:t>
      </w:r>
      <w:r w:rsidR="00370B3C" w:rsidRPr="00CA5E77">
        <w:rPr>
          <w:rFonts w:ascii="Times New Roman" w:hAnsi="Times New Roman" w:cs="Times New Roman"/>
          <w:color w:val="000000" w:themeColor="text1"/>
          <w:sz w:val="24"/>
          <w:szCs w:val="24"/>
        </w:rPr>
        <w:t xml:space="preserve">2 entități </w:t>
      </w:r>
      <w:r w:rsidRPr="00CA5E77">
        <w:rPr>
          <w:rFonts w:ascii="Times New Roman" w:hAnsi="Times New Roman" w:cs="Times New Roman"/>
          <w:color w:val="000000" w:themeColor="text1"/>
          <w:sz w:val="24"/>
          <w:szCs w:val="24"/>
        </w:rPr>
        <w:t xml:space="preserve"> </w:t>
      </w:r>
      <w:r w:rsidR="00370B3C" w:rsidRPr="00CA5E77">
        <w:rPr>
          <w:rFonts w:ascii="Times New Roman" w:hAnsi="Times New Roman" w:cs="Times New Roman"/>
          <w:color w:val="000000" w:themeColor="text1"/>
          <w:sz w:val="24"/>
          <w:szCs w:val="24"/>
        </w:rPr>
        <w:t>publice</w:t>
      </w:r>
      <w:r w:rsidRPr="00CA5E77">
        <w:rPr>
          <w:rFonts w:ascii="Times New Roman" w:hAnsi="Times New Roman" w:cs="Times New Roman"/>
          <w:color w:val="000000" w:themeColor="text1"/>
          <w:sz w:val="24"/>
          <w:szCs w:val="24"/>
        </w:rPr>
        <w:t xml:space="preserve"> nu a</w:t>
      </w:r>
      <w:r w:rsidR="00370B3C" w:rsidRPr="00CA5E77">
        <w:rPr>
          <w:rFonts w:ascii="Times New Roman" w:hAnsi="Times New Roman" w:cs="Times New Roman"/>
          <w:color w:val="000000" w:themeColor="text1"/>
          <w:sz w:val="24"/>
          <w:szCs w:val="24"/>
        </w:rPr>
        <w:t>u</w:t>
      </w:r>
      <w:r w:rsidRPr="00CA5E77">
        <w:rPr>
          <w:rFonts w:ascii="Times New Roman" w:hAnsi="Times New Roman" w:cs="Times New Roman"/>
          <w:color w:val="000000" w:themeColor="text1"/>
          <w:sz w:val="24"/>
          <w:szCs w:val="24"/>
        </w:rPr>
        <w:t xml:space="preserve"> depus raportările pr</w:t>
      </w:r>
      <w:r w:rsidR="00370B3C" w:rsidRPr="00CA5E77">
        <w:rPr>
          <w:rFonts w:ascii="Times New Roman" w:hAnsi="Times New Roman" w:cs="Times New Roman"/>
          <w:color w:val="000000" w:themeColor="text1"/>
          <w:sz w:val="24"/>
          <w:szCs w:val="24"/>
        </w:rPr>
        <w:t>i</w:t>
      </w:r>
      <w:r w:rsidRPr="00CA5E77">
        <w:rPr>
          <w:rFonts w:ascii="Times New Roman" w:hAnsi="Times New Roman" w:cs="Times New Roman"/>
          <w:color w:val="000000" w:themeColor="text1"/>
          <w:sz w:val="24"/>
          <w:szCs w:val="24"/>
        </w:rPr>
        <w:t>vind implementarea și dezvoltarea sistemulu</w:t>
      </w:r>
      <w:r w:rsidR="006439A4" w:rsidRPr="00CA5E77">
        <w:rPr>
          <w:rFonts w:ascii="Times New Roman" w:hAnsi="Times New Roman" w:cs="Times New Roman"/>
          <w:color w:val="000000" w:themeColor="text1"/>
          <w:sz w:val="24"/>
          <w:szCs w:val="24"/>
        </w:rPr>
        <w:t xml:space="preserve">i de control intern managerial </w:t>
      </w:r>
      <w:r w:rsidRPr="00CA5E77">
        <w:rPr>
          <w:rFonts w:ascii="Times New Roman" w:hAnsi="Times New Roman" w:cs="Times New Roman"/>
          <w:color w:val="000000" w:themeColor="text1"/>
          <w:sz w:val="24"/>
          <w:szCs w:val="24"/>
        </w:rPr>
        <w:t>ș</w:t>
      </w:r>
      <w:r w:rsidR="00370B3C" w:rsidRPr="00CA5E77">
        <w:rPr>
          <w:rFonts w:ascii="Times New Roman" w:hAnsi="Times New Roman" w:cs="Times New Roman"/>
          <w:color w:val="000000" w:themeColor="text1"/>
          <w:sz w:val="24"/>
          <w:szCs w:val="24"/>
        </w:rPr>
        <w:t>i anume: Ministerul Economiei, Comerțului și Relațiilor cu Mediul de Afaceri, Ministerul pentru Consultare Publică și Dialog Civic și 2 entități publice care sunt exceptate de la raportare  (conform art.8</w:t>
      </w:r>
      <w:r w:rsidR="00370B3C" w:rsidRPr="00CA5E77">
        <w:rPr>
          <w:rFonts w:ascii="Times New Roman" w:hAnsi="Times New Roman" w:cs="Times New Roman"/>
          <w:color w:val="000000" w:themeColor="text1"/>
          <w:sz w:val="28"/>
          <w:szCs w:val="24"/>
          <w:vertAlign w:val="superscript"/>
        </w:rPr>
        <w:t>1</w:t>
      </w:r>
      <w:r w:rsidR="00370B3C" w:rsidRPr="00CA5E77">
        <w:rPr>
          <w:rFonts w:ascii="Times New Roman" w:hAnsi="Times New Roman" w:cs="Times New Roman"/>
          <w:color w:val="000000" w:themeColor="text1"/>
          <w:sz w:val="28"/>
          <w:szCs w:val="24"/>
        </w:rPr>
        <w:t xml:space="preserve">, </w:t>
      </w:r>
      <w:r w:rsidR="00370B3C" w:rsidRPr="00CA5E77">
        <w:rPr>
          <w:rFonts w:ascii="Times New Roman" w:hAnsi="Times New Roman" w:cs="Times New Roman"/>
          <w:color w:val="000000" w:themeColor="text1"/>
          <w:sz w:val="24"/>
          <w:szCs w:val="24"/>
        </w:rPr>
        <w:t>alin. 3 din OSGG nr. 400/2015 cu modificările și completările ulterioare): Serviciul de Protecție și Pază și Servic</w:t>
      </w:r>
      <w:r w:rsidR="000062DA">
        <w:rPr>
          <w:rFonts w:ascii="Times New Roman" w:hAnsi="Times New Roman" w:cs="Times New Roman"/>
          <w:color w:val="000000" w:themeColor="text1"/>
          <w:sz w:val="24"/>
          <w:szCs w:val="24"/>
        </w:rPr>
        <w:t>iul de Telecomunicații Speciale.</w:t>
      </w:r>
    </w:p>
    <w:p w:rsidR="00D931A1" w:rsidRDefault="00D931A1" w:rsidP="00D931A1">
      <w:pPr>
        <w:spacing w:line="276" w:lineRule="auto"/>
        <w:jc w:val="both"/>
        <w:rPr>
          <w:rFonts w:ascii="Times New Roman" w:hAnsi="Times New Roman" w:cs="Times New Roman"/>
          <w:b/>
          <w:i/>
          <w:sz w:val="24"/>
          <w:szCs w:val="24"/>
        </w:rPr>
      </w:pPr>
    </w:p>
    <w:p w:rsidR="00AD479C" w:rsidRPr="007D3FE6" w:rsidRDefault="006439A4" w:rsidP="009D4AA2">
      <w:pPr>
        <w:pStyle w:val="Raport"/>
        <w:spacing w:after="360"/>
        <w:rPr>
          <w:sz w:val="24"/>
          <w:szCs w:val="24"/>
        </w:rPr>
      </w:pPr>
      <w:bookmarkStart w:id="24" w:name="_Toc485992685"/>
      <w:r w:rsidRPr="007D3FE6">
        <w:rPr>
          <w:sz w:val="24"/>
          <w:szCs w:val="24"/>
        </w:rPr>
        <w:t>4.4. Propuneri pentru dezvoltarea procesului de implementare a sistemului de control intern managerial</w:t>
      </w:r>
      <w:bookmarkEnd w:id="24"/>
      <w:r w:rsidRPr="007D3FE6">
        <w:rPr>
          <w:sz w:val="24"/>
          <w:szCs w:val="24"/>
        </w:rPr>
        <w:t xml:space="preserve"> </w:t>
      </w:r>
    </w:p>
    <w:p w:rsidR="00F41E40" w:rsidRDefault="00F41E40" w:rsidP="00F66164">
      <w:pPr>
        <w:spacing w:after="120" w:line="276" w:lineRule="auto"/>
        <w:jc w:val="both"/>
        <w:rPr>
          <w:rFonts w:ascii="Times New Roman" w:eastAsia="Times New Roman" w:hAnsi="Times New Roman" w:cs="Times New Roman"/>
          <w:noProof/>
          <w:color w:val="000000" w:themeColor="text1"/>
          <w:sz w:val="24"/>
          <w:szCs w:val="24"/>
          <w:lang w:eastAsia="sk-SK"/>
        </w:rPr>
      </w:pPr>
    </w:p>
    <w:p w:rsidR="00F042BA" w:rsidRDefault="00F042BA" w:rsidP="00F66164">
      <w:pPr>
        <w:spacing w:after="120" w:line="276" w:lineRule="auto"/>
        <w:jc w:val="both"/>
        <w:rPr>
          <w:rFonts w:ascii="Times New Roman" w:eastAsia="Times New Roman" w:hAnsi="Times New Roman" w:cs="Times New Roman"/>
          <w:noProof/>
          <w:color w:val="000000" w:themeColor="text1"/>
          <w:sz w:val="24"/>
          <w:szCs w:val="24"/>
          <w:lang w:eastAsia="sk-SK"/>
        </w:rPr>
      </w:pPr>
    </w:p>
    <w:p w:rsidR="006B5127" w:rsidRPr="00D931A1" w:rsidRDefault="009049B5" w:rsidP="00F66164">
      <w:pPr>
        <w:spacing w:after="120" w:line="276" w:lineRule="auto"/>
        <w:jc w:val="both"/>
        <w:rPr>
          <w:rFonts w:ascii="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lang w:eastAsia="sk-SK"/>
        </w:rPr>
        <w:t>L</w:t>
      </w:r>
      <w:r w:rsidR="006B5127" w:rsidRPr="00D931A1">
        <w:rPr>
          <w:rFonts w:ascii="Times New Roman" w:eastAsia="Times New Roman" w:hAnsi="Times New Roman" w:cs="Times New Roman"/>
          <w:noProof/>
          <w:color w:val="000000" w:themeColor="text1"/>
          <w:sz w:val="24"/>
          <w:szCs w:val="24"/>
          <w:lang w:eastAsia="sk-SK"/>
        </w:rPr>
        <w:t>a data de</w:t>
      </w:r>
      <w:r w:rsidR="006B5127" w:rsidRPr="00D931A1">
        <w:rPr>
          <w:rFonts w:ascii="Times New Roman" w:hAnsi="Times New Roman" w:cs="Times New Roman"/>
          <w:color w:val="000000" w:themeColor="text1"/>
          <w:sz w:val="24"/>
          <w:szCs w:val="24"/>
        </w:rPr>
        <w:t xml:space="preserve"> 16.09.2016</w:t>
      </w:r>
      <w:r w:rsidR="007241F6">
        <w:rPr>
          <w:rFonts w:ascii="Times New Roman" w:hAnsi="Times New Roman" w:cs="Times New Roman"/>
          <w:color w:val="000000" w:themeColor="text1"/>
          <w:sz w:val="24"/>
          <w:szCs w:val="24"/>
        </w:rPr>
        <w:t>,</w:t>
      </w:r>
      <w:r w:rsidR="006B5127" w:rsidRPr="00D931A1">
        <w:rPr>
          <w:rFonts w:ascii="Times New Roman" w:hAnsi="Times New Roman" w:cs="Times New Roman"/>
          <w:color w:val="000000" w:themeColor="text1"/>
          <w:sz w:val="24"/>
          <w:szCs w:val="24"/>
        </w:rPr>
        <w:t xml:space="preserve"> Secretariatul General al Guvernului - Cancelaria Primului Ministru  a semnat contractul de finanțare cu Ministerul Dezvoltării Regionale și Administrației Publice, în calitate de Autoritate de Management pentru programul Operațional C</w:t>
      </w:r>
      <w:r w:rsidR="009B5FBF">
        <w:rPr>
          <w:rFonts w:ascii="Times New Roman" w:hAnsi="Times New Roman" w:cs="Times New Roman"/>
          <w:color w:val="000000" w:themeColor="text1"/>
          <w:sz w:val="24"/>
          <w:szCs w:val="24"/>
        </w:rPr>
        <w:t>a</w:t>
      </w:r>
      <w:r w:rsidR="006B5127" w:rsidRPr="00D931A1">
        <w:rPr>
          <w:rFonts w:ascii="Times New Roman" w:hAnsi="Times New Roman" w:cs="Times New Roman"/>
          <w:color w:val="000000" w:themeColor="text1"/>
          <w:sz w:val="24"/>
          <w:szCs w:val="24"/>
        </w:rPr>
        <w:t>pacitate Administrativă (AMPOCA) pentru implementarea proiectului cu titlul ”Consolidarea implementării standardelor de control intern managerial la nivel central și local”, cod SIPOCA 34, pentru o perioadă de 30 luni. Valoarea finanțării nerambursabile va fi de maxim 4.143.333,89 lei.</w:t>
      </w:r>
    </w:p>
    <w:p w:rsidR="009A2669" w:rsidRPr="00D931A1" w:rsidRDefault="003073C7" w:rsidP="00D931A1">
      <w:pPr>
        <w:widowControl w:val="0"/>
        <w:tabs>
          <w:tab w:val="left" w:pos="567"/>
          <w:tab w:val="left" w:pos="6525"/>
        </w:tabs>
        <w:autoSpaceDE w:val="0"/>
        <w:autoSpaceDN w:val="0"/>
        <w:adjustRightInd w:val="0"/>
        <w:spacing w:before="120" w:after="120" w:line="276" w:lineRule="auto"/>
        <w:jc w:val="both"/>
        <w:rPr>
          <w:rFonts w:ascii="Times New Roman" w:eastAsia="Times New Roman" w:hAnsi="Times New Roman" w:cs="Times New Roman"/>
          <w:noProof/>
          <w:color w:val="000000" w:themeColor="text1"/>
          <w:sz w:val="24"/>
          <w:szCs w:val="24"/>
          <w:lang w:eastAsia="sk-SK"/>
        </w:rPr>
      </w:pPr>
      <w:r w:rsidRPr="00D931A1">
        <w:rPr>
          <w:rFonts w:ascii="Times New Roman" w:eastAsia="Times New Roman" w:hAnsi="Times New Roman" w:cs="Times New Roman"/>
          <w:noProof/>
          <w:color w:val="000000" w:themeColor="text1"/>
          <w:sz w:val="24"/>
          <w:szCs w:val="24"/>
          <w:lang w:eastAsia="sk-SK"/>
        </w:rPr>
        <w:t xml:space="preserve">În acest sens </w:t>
      </w:r>
      <w:r w:rsidR="00F04249" w:rsidRPr="00D931A1">
        <w:rPr>
          <w:rFonts w:ascii="Times New Roman" w:eastAsia="Times New Roman" w:hAnsi="Times New Roman" w:cs="Times New Roman"/>
          <w:noProof/>
          <w:color w:val="000000" w:themeColor="text1"/>
          <w:sz w:val="24"/>
          <w:szCs w:val="24"/>
          <w:lang w:eastAsia="sk-SK"/>
        </w:rPr>
        <w:t>vor fi elaborate o serie de metodologii şi instrumente de lucru, astfel:</w:t>
      </w:r>
    </w:p>
    <w:p w:rsidR="009A2669" w:rsidRPr="0081598B" w:rsidRDefault="00F04249" w:rsidP="00C7604C">
      <w:pPr>
        <w:pStyle w:val="ListParagraph"/>
        <w:widowControl w:val="0"/>
        <w:numPr>
          <w:ilvl w:val="0"/>
          <w:numId w:val="76"/>
        </w:numPr>
        <w:tabs>
          <w:tab w:val="left" w:pos="6525"/>
        </w:tabs>
        <w:autoSpaceDE w:val="0"/>
        <w:autoSpaceDN w:val="0"/>
        <w:adjustRightInd w:val="0"/>
        <w:spacing w:before="120" w:after="120" w:line="276" w:lineRule="auto"/>
        <w:ind w:left="709" w:hanging="425"/>
        <w:contextualSpacing w:val="0"/>
        <w:jc w:val="both"/>
        <w:rPr>
          <w:rFonts w:ascii="Times New Roman" w:eastAsia="Times New Roman" w:hAnsi="Times New Roman" w:cs="Times New Roman"/>
          <w:noProof/>
          <w:color w:val="000000" w:themeColor="text1"/>
          <w:sz w:val="24"/>
          <w:szCs w:val="24"/>
          <w:lang w:eastAsia="sk-SK"/>
        </w:rPr>
      </w:pPr>
      <w:r w:rsidRPr="00997412">
        <w:rPr>
          <w:rFonts w:ascii="Times New Roman" w:eastAsia="Times New Roman" w:hAnsi="Times New Roman" w:cs="Times New Roman"/>
          <w:i/>
          <w:noProof/>
          <w:color w:val="000000" w:themeColor="text1"/>
          <w:sz w:val="24"/>
          <w:szCs w:val="24"/>
          <w:lang w:eastAsia="sk-SK"/>
        </w:rPr>
        <w:t xml:space="preserve">Metodologie de management al riscurilor, </w:t>
      </w:r>
      <w:r w:rsidRPr="0081598B">
        <w:rPr>
          <w:rFonts w:ascii="Times New Roman" w:eastAsia="Times New Roman" w:hAnsi="Times New Roman" w:cs="Times New Roman"/>
          <w:noProof/>
          <w:color w:val="000000" w:themeColor="text1"/>
          <w:sz w:val="24"/>
          <w:szCs w:val="24"/>
          <w:lang w:eastAsia="sk-SK"/>
        </w:rPr>
        <w:t xml:space="preserve">aplicabilă instituţiilor publice de la </w:t>
      </w:r>
      <w:r w:rsidR="009A2669" w:rsidRPr="0081598B">
        <w:rPr>
          <w:rFonts w:ascii="Times New Roman" w:eastAsia="Times New Roman" w:hAnsi="Times New Roman" w:cs="Times New Roman"/>
          <w:noProof/>
          <w:color w:val="000000" w:themeColor="text1"/>
          <w:sz w:val="24"/>
          <w:szCs w:val="24"/>
          <w:lang w:eastAsia="sk-SK"/>
        </w:rPr>
        <w:t>nivel central şi local;</w:t>
      </w:r>
    </w:p>
    <w:p w:rsidR="009A2669" w:rsidRPr="00997412" w:rsidRDefault="00F04249" w:rsidP="00C7604C">
      <w:pPr>
        <w:pStyle w:val="ListParagraph"/>
        <w:widowControl w:val="0"/>
        <w:numPr>
          <w:ilvl w:val="0"/>
          <w:numId w:val="76"/>
        </w:numPr>
        <w:tabs>
          <w:tab w:val="left" w:pos="6525"/>
        </w:tabs>
        <w:autoSpaceDE w:val="0"/>
        <w:autoSpaceDN w:val="0"/>
        <w:adjustRightInd w:val="0"/>
        <w:spacing w:before="120" w:after="120" w:line="276" w:lineRule="auto"/>
        <w:ind w:left="709" w:hanging="425"/>
        <w:contextualSpacing w:val="0"/>
        <w:jc w:val="both"/>
        <w:rPr>
          <w:rFonts w:ascii="Times New Roman" w:eastAsia="Times New Roman" w:hAnsi="Times New Roman" w:cs="Times New Roman"/>
          <w:i/>
          <w:noProof/>
          <w:color w:val="000000" w:themeColor="text1"/>
          <w:sz w:val="24"/>
          <w:szCs w:val="24"/>
          <w:lang w:eastAsia="sk-SK"/>
        </w:rPr>
      </w:pPr>
      <w:r w:rsidRPr="00997412">
        <w:rPr>
          <w:rFonts w:ascii="Times New Roman" w:eastAsia="Times New Roman" w:hAnsi="Times New Roman" w:cs="Times New Roman"/>
          <w:i/>
          <w:noProof/>
          <w:color w:val="000000" w:themeColor="text1"/>
          <w:sz w:val="24"/>
          <w:szCs w:val="24"/>
          <w:lang w:eastAsia="sk-SK"/>
        </w:rPr>
        <w:t>Ghid de realizare a procedu</w:t>
      </w:r>
      <w:r w:rsidR="00CC12FC">
        <w:rPr>
          <w:rFonts w:ascii="Times New Roman" w:eastAsia="Times New Roman" w:hAnsi="Times New Roman" w:cs="Times New Roman"/>
          <w:i/>
          <w:noProof/>
          <w:color w:val="000000" w:themeColor="text1"/>
          <w:sz w:val="24"/>
          <w:szCs w:val="24"/>
          <w:lang w:eastAsia="sk-SK"/>
        </w:rPr>
        <w:t>rilor de sistem şi operaţionale;</w:t>
      </w:r>
      <w:r w:rsidRPr="00997412">
        <w:rPr>
          <w:rFonts w:ascii="Times New Roman" w:eastAsia="Times New Roman" w:hAnsi="Times New Roman" w:cs="Times New Roman"/>
          <w:i/>
          <w:noProof/>
          <w:color w:val="000000" w:themeColor="text1"/>
          <w:sz w:val="24"/>
          <w:szCs w:val="24"/>
          <w:lang w:eastAsia="sk-SK"/>
        </w:rPr>
        <w:t xml:space="preserve"> </w:t>
      </w:r>
    </w:p>
    <w:p w:rsidR="009A2669" w:rsidRPr="00997412" w:rsidRDefault="009A2669" w:rsidP="00C7604C">
      <w:pPr>
        <w:pStyle w:val="ListParagraph"/>
        <w:widowControl w:val="0"/>
        <w:numPr>
          <w:ilvl w:val="0"/>
          <w:numId w:val="76"/>
        </w:numPr>
        <w:tabs>
          <w:tab w:val="left" w:pos="6525"/>
        </w:tabs>
        <w:autoSpaceDE w:val="0"/>
        <w:autoSpaceDN w:val="0"/>
        <w:adjustRightInd w:val="0"/>
        <w:spacing w:before="120" w:after="120" w:line="276" w:lineRule="auto"/>
        <w:ind w:left="709" w:hanging="425"/>
        <w:contextualSpacing w:val="0"/>
        <w:jc w:val="both"/>
        <w:rPr>
          <w:rFonts w:ascii="Times New Roman" w:eastAsia="Times New Roman" w:hAnsi="Times New Roman" w:cs="Times New Roman"/>
          <w:i/>
          <w:noProof/>
          <w:color w:val="000000" w:themeColor="text1"/>
          <w:sz w:val="24"/>
          <w:szCs w:val="24"/>
          <w:lang w:eastAsia="sk-SK"/>
        </w:rPr>
      </w:pPr>
      <w:r w:rsidRPr="00997412">
        <w:rPr>
          <w:rFonts w:ascii="Times New Roman" w:eastAsia="Times New Roman" w:hAnsi="Times New Roman" w:cs="Times New Roman"/>
          <w:i/>
          <w:noProof/>
          <w:color w:val="000000" w:themeColor="text1"/>
          <w:sz w:val="24"/>
          <w:szCs w:val="24"/>
          <w:lang w:eastAsia="sk-SK"/>
        </w:rPr>
        <w:t>Manual de implemetare SCI</w:t>
      </w:r>
      <w:r w:rsidR="00F04249" w:rsidRPr="00997412">
        <w:rPr>
          <w:rFonts w:ascii="Times New Roman" w:eastAsia="Times New Roman" w:hAnsi="Times New Roman" w:cs="Times New Roman"/>
          <w:i/>
          <w:noProof/>
          <w:color w:val="000000" w:themeColor="text1"/>
          <w:sz w:val="24"/>
          <w:szCs w:val="24"/>
          <w:lang w:eastAsia="sk-SK"/>
        </w:rPr>
        <w:t>M</w:t>
      </w:r>
      <w:r w:rsidRPr="00997412">
        <w:rPr>
          <w:rFonts w:ascii="Times New Roman" w:eastAsia="Times New Roman" w:hAnsi="Times New Roman" w:cs="Times New Roman"/>
          <w:i/>
          <w:noProof/>
          <w:color w:val="000000" w:themeColor="text1"/>
          <w:sz w:val="24"/>
          <w:szCs w:val="24"/>
          <w:lang w:eastAsia="sk-SK"/>
        </w:rPr>
        <w:t>;</w:t>
      </w:r>
    </w:p>
    <w:p w:rsidR="00CC12FC" w:rsidRPr="00CC12FC" w:rsidRDefault="00F04249" w:rsidP="00CC12FC">
      <w:pPr>
        <w:pStyle w:val="ListParagraph"/>
        <w:numPr>
          <w:ilvl w:val="0"/>
          <w:numId w:val="76"/>
        </w:numPr>
        <w:spacing w:before="100" w:beforeAutospacing="1" w:after="120" w:line="276" w:lineRule="auto"/>
        <w:ind w:left="709" w:hanging="425"/>
        <w:jc w:val="both"/>
        <w:rPr>
          <w:rFonts w:ascii="Times New Roman" w:eastAsia="Times New Roman" w:hAnsi="Times New Roman"/>
          <w:color w:val="000000" w:themeColor="text1"/>
          <w:sz w:val="24"/>
          <w:szCs w:val="24"/>
          <w:lang w:eastAsia="ro-RO"/>
        </w:rPr>
      </w:pPr>
      <w:r w:rsidRPr="00BE1926">
        <w:rPr>
          <w:rFonts w:ascii="Times New Roman" w:eastAsia="Times New Roman" w:hAnsi="Times New Roman" w:cs="Times New Roman"/>
          <w:i/>
          <w:noProof/>
          <w:color w:val="000000" w:themeColor="text1"/>
          <w:sz w:val="24"/>
          <w:szCs w:val="24"/>
          <w:lang w:eastAsia="sk-SK"/>
        </w:rPr>
        <w:t>Platformă  IT</w:t>
      </w:r>
      <w:r w:rsidRPr="00CC12FC">
        <w:rPr>
          <w:rFonts w:ascii="Times New Roman" w:eastAsia="Times New Roman" w:hAnsi="Times New Roman" w:cs="Times New Roman"/>
          <w:noProof/>
          <w:color w:val="000000" w:themeColor="text1"/>
          <w:sz w:val="24"/>
          <w:szCs w:val="24"/>
          <w:lang w:eastAsia="sk-SK"/>
        </w:rPr>
        <w:t xml:space="preserve"> pentru facilitar</w:t>
      </w:r>
      <w:r w:rsidR="009A2669" w:rsidRPr="00CC12FC">
        <w:rPr>
          <w:rFonts w:ascii="Times New Roman" w:eastAsia="Times New Roman" w:hAnsi="Times New Roman" w:cs="Times New Roman"/>
          <w:noProof/>
          <w:color w:val="000000" w:themeColor="text1"/>
          <w:sz w:val="24"/>
          <w:szCs w:val="24"/>
          <w:lang w:eastAsia="sk-SK"/>
        </w:rPr>
        <w:t>ea raportării implementării SCI</w:t>
      </w:r>
      <w:r w:rsidRPr="00CC12FC">
        <w:rPr>
          <w:rFonts w:ascii="Times New Roman" w:eastAsia="Times New Roman" w:hAnsi="Times New Roman" w:cs="Times New Roman"/>
          <w:noProof/>
          <w:color w:val="000000" w:themeColor="text1"/>
          <w:sz w:val="24"/>
          <w:szCs w:val="24"/>
          <w:lang w:eastAsia="sk-SK"/>
        </w:rPr>
        <w:t xml:space="preserve">M la nivelul autorităţilor centrale şi locale. </w:t>
      </w:r>
    </w:p>
    <w:p w:rsidR="006B5127" w:rsidRPr="00D931A1" w:rsidRDefault="006B5127" w:rsidP="00D931A1">
      <w:pPr>
        <w:spacing w:before="100" w:beforeAutospacing="1" w:after="120" w:line="276" w:lineRule="auto"/>
        <w:jc w:val="both"/>
        <w:rPr>
          <w:rFonts w:ascii="Times New Roman" w:eastAsia="Times New Roman" w:hAnsi="Times New Roman"/>
          <w:color w:val="000000" w:themeColor="text1"/>
          <w:sz w:val="24"/>
          <w:szCs w:val="24"/>
          <w:lang w:eastAsia="ro-RO"/>
        </w:rPr>
      </w:pPr>
      <w:r w:rsidRPr="00D931A1">
        <w:rPr>
          <w:rFonts w:ascii="Times New Roman" w:eastAsia="Times New Roman" w:hAnsi="Times New Roman"/>
          <w:color w:val="000000" w:themeColor="text1"/>
          <w:sz w:val="24"/>
          <w:szCs w:val="24"/>
          <w:lang w:eastAsia="ro-RO"/>
        </w:rPr>
        <w:t>În cursul anului 2016 a fost demarat procesul pentru elaborarea acestor instrumente de lucru, care vor fi definitivate după organizarea de consultări publice a entităților publice centrale și locale.</w:t>
      </w:r>
    </w:p>
    <w:p w:rsidR="00006262" w:rsidRPr="00D931A1" w:rsidRDefault="003073C7" w:rsidP="00D931A1">
      <w:pPr>
        <w:widowControl w:val="0"/>
        <w:tabs>
          <w:tab w:val="left" w:pos="284"/>
        </w:tabs>
        <w:autoSpaceDE w:val="0"/>
        <w:autoSpaceDN w:val="0"/>
        <w:adjustRightInd w:val="0"/>
        <w:spacing w:after="120" w:line="276" w:lineRule="auto"/>
        <w:jc w:val="both"/>
        <w:rPr>
          <w:rFonts w:ascii="Times New Roman" w:eastAsia="Times New Roman" w:hAnsi="Times New Roman" w:cs="Times New Roman"/>
          <w:noProof/>
          <w:sz w:val="24"/>
          <w:szCs w:val="24"/>
          <w:lang w:eastAsia="ro-RO"/>
        </w:rPr>
      </w:pPr>
      <w:r w:rsidRPr="00D931A1">
        <w:rPr>
          <w:rFonts w:ascii="Times New Roman" w:eastAsia="Times New Roman" w:hAnsi="Times New Roman" w:cs="Times New Roman"/>
          <w:noProof/>
          <w:sz w:val="24"/>
          <w:szCs w:val="24"/>
          <w:lang w:eastAsia="ro-RO"/>
        </w:rPr>
        <w:t>DCIMRI</w:t>
      </w:r>
      <w:r w:rsidR="00C4086D" w:rsidRPr="00D931A1">
        <w:rPr>
          <w:rFonts w:ascii="Times New Roman" w:eastAsia="Times New Roman" w:hAnsi="Times New Roman" w:cs="Times New Roman"/>
          <w:noProof/>
          <w:sz w:val="24"/>
          <w:szCs w:val="24"/>
          <w:lang w:eastAsia="ro-RO"/>
        </w:rPr>
        <w:t xml:space="preserve"> </w:t>
      </w:r>
      <w:r w:rsidR="00F150EF" w:rsidRPr="00D931A1">
        <w:rPr>
          <w:rFonts w:ascii="Times New Roman" w:eastAsia="Times New Roman" w:hAnsi="Times New Roman" w:cs="Times New Roman"/>
          <w:noProof/>
          <w:sz w:val="24"/>
          <w:szCs w:val="24"/>
          <w:lang w:eastAsia="ro-RO"/>
        </w:rPr>
        <w:t xml:space="preserve">va contribui la perfecționarea și dezvoltarea sistemului de control intern managerial la entitățile publice prin </w:t>
      </w:r>
      <w:r w:rsidR="00F04249" w:rsidRPr="00D931A1">
        <w:rPr>
          <w:rFonts w:ascii="Times New Roman" w:eastAsia="Times New Roman" w:hAnsi="Times New Roman" w:cs="Times New Roman"/>
          <w:noProof/>
          <w:sz w:val="24"/>
          <w:szCs w:val="24"/>
          <w:lang w:eastAsia="ro-RO"/>
        </w:rPr>
        <w:t>elaborarea unor metodologii şi instrumente de lucru cu aplicabilitate practică, care au scopul principal de a simplica</w:t>
      </w:r>
      <w:r w:rsidR="00F150EF" w:rsidRPr="00D931A1">
        <w:rPr>
          <w:rFonts w:ascii="Times New Roman" w:eastAsia="Times New Roman" w:hAnsi="Times New Roman" w:cs="Times New Roman"/>
          <w:noProof/>
          <w:sz w:val="24"/>
          <w:szCs w:val="24"/>
          <w:lang w:eastAsia="ro-RO"/>
        </w:rPr>
        <w:t xml:space="preserve"> procesul de implementare a SCI</w:t>
      </w:r>
      <w:r w:rsidR="00F04249" w:rsidRPr="00D931A1">
        <w:rPr>
          <w:rFonts w:ascii="Times New Roman" w:eastAsia="Times New Roman" w:hAnsi="Times New Roman" w:cs="Times New Roman"/>
          <w:noProof/>
          <w:sz w:val="24"/>
          <w:szCs w:val="24"/>
          <w:lang w:eastAsia="ro-RO"/>
        </w:rPr>
        <w:t>M la nivel naţional (de exemplu: elaborarea fişelor de standarde, elaborarea unor machete de</w:t>
      </w:r>
      <w:r w:rsidR="00F150EF" w:rsidRPr="00D931A1">
        <w:rPr>
          <w:rFonts w:ascii="Times New Roman" w:eastAsia="Times New Roman" w:hAnsi="Times New Roman" w:cs="Times New Roman"/>
          <w:noProof/>
          <w:sz w:val="24"/>
          <w:szCs w:val="24"/>
          <w:lang w:eastAsia="ro-RO"/>
        </w:rPr>
        <w:t xml:space="preserve"> lucru pentru implementarea SCI</w:t>
      </w:r>
      <w:r w:rsidR="00F04249" w:rsidRPr="00D931A1">
        <w:rPr>
          <w:rFonts w:ascii="Times New Roman" w:eastAsia="Times New Roman" w:hAnsi="Times New Roman" w:cs="Times New Roman"/>
          <w:noProof/>
          <w:sz w:val="24"/>
          <w:szCs w:val="24"/>
          <w:lang w:eastAsia="ro-RO"/>
        </w:rPr>
        <w:t>M, sistem informatic integrat – Platformă  IT, care centralizează şi gen</w:t>
      </w:r>
      <w:r w:rsidR="00F150EF" w:rsidRPr="00D931A1">
        <w:rPr>
          <w:rFonts w:ascii="Times New Roman" w:eastAsia="Times New Roman" w:hAnsi="Times New Roman" w:cs="Times New Roman"/>
          <w:noProof/>
          <w:sz w:val="24"/>
          <w:szCs w:val="24"/>
          <w:lang w:eastAsia="ro-RO"/>
        </w:rPr>
        <w:t>erează rapoarte în domeniul SCI</w:t>
      </w:r>
      <w:r w:rsidR="00F04249" w:rsidRPr="00D931A1">
        <w:rPr>
          <w:rFonts w:ascii="Times New Roman" w:eastAsia="Times New Roman" w:hAnsi="Times New Roman" w:cs="Times New Roman"/>
          <w:noProof/>
          <w:sz w:val="24"/>
          <w:szCs w:val="24"/>
          <w:lang w:eastAsia="ro-RO"/>
        </w:rPr>
        <w:t xml:space="preserve">M). </w:t>
      </w:r>
    </w:p>
    <w:p w:rsidR="00340393" w:rsidRPr="00D931A1" w:rsidRDefault="00006262" w:rsidP="00D931A1">
      <w:pPr>
        <w:widowControl w:val="0"/>
        <w:tabs>
          <w:tab w:val="left" w:pos="284"/>
        </w:tabs>
        <w:autoSpaceDE w:val="0"/>
        <w:autoSpaceDN w:val="0"/>
        <w:adjustRightInd w:val="0"/>
        <w:spacing w:after="120" w:line="276" w:lineRule="auto"/>
        <w:jc w:val="both"/>
        <w:rPr>
          <w:rFonts w:ascii="Times New Roman" w:eastAsia="Times New Roman" w:hAnsi="Times New Roman" w:cs="Times New Roman"/>
          <w:noProof/>
          <w:sz w:val="24"/>
          <w:szCs w:val="24"/>
          <w:lang w:eastAsia="ro-RO"/>
        </w:rPr>
      </w:pPr>
      <w:r w:rsidRPr="00D931A1">
        <w:rPr>
          <w:rFonts w:ascii="Times New Roman" w:eastAsia="Times New Roman" w:hAnsi="Times New Roman" w:cs="Times New Roman"/>
          <w:noProof/>
          <w:sz w:val="24"/>
          <w:szCs w:val="24"/>
          <w:lang w:eastAsia="ro-RO"/>
        </w:rPr>
        <w:t>De asemenea, prin crearea unui sistem informatic de raportare</w:t>
      </w:r>
      <w:r w:rsidR="00F04249" w:rsidRPr="00D931A1">
        <w:rPr>
          <w:rFonts w:ascii="Times New Roman" w:eastAsia="Times New Roman" w:hAnsi="Times New Roman" w:cs="Times New Roman"/>
          <w:noProof/>
          <w:sz w:val="24"/>
          <w:szCs w:val="24"/>
          <w:lang w:eastAsia="ro-RO"/>
        </w:rPr>
        <w:t xml:space="preserve"> </w:t>
      </w:r>
      <w:r w:rsidRPr="00D931A1">
        <w:rPr>
          <w:rFonts w:ascii="Times New Roman" w:eastAsia="Times New Roman" w:hAnsi="Times New Roman" w:cs="Times New Roman"/>
          <w:noProof/>
          <w:sz w:val="24"/>
          <w:szCs w:val="24"/>
          <w:lang w:eastAsia="ro-RO"/>
        </w:rPr>
        <w:t xml:space="preserve">se </w:t>
      </w:r>
      <w:r w:rsidR="00F04249" w:rsidRPr="00D931A1">
        <w:rPr>
          <w:rFonts w:ascii="Times New Roman" w:eastAsia="Times New Roman" w:hAnsi="Times New Roman" w:cs="Times New Roman"/>
          <w:noProof/>
          <w:sz w:val="24"/>
          <w:szCs w:val="24"/>
          <w:lang w:eastAsia="ro-RO"/>
        </w:rPr>
        <w:t>va optimiza cooperarea şi schimbul de know-how între SGG şi autorităţile publice centrale, eliminarea birocraţiei, reducerea timpului de raportare şi încadrarea în termenele prevă</w:t>
      </w:r>
      <w:r w:rsidR="00D931A1">
        <w:rPr>
          <w:rFonts w:ascii="Times New Roman" w:eastAsia="Times New Roman" w:hAnsi="Times New Roman" w:cs="Times New Roman"/>
          <w:noProof/>
          <w:sz w:val="24"/>
          <w:szCs w:val="24"/>
          <w:lang w:eastAsia="ro-RO"/>
        </w:rPr>
        <w:t>zute în cadrul de reglementare.</w:t>
      </w:r>
    </w:p>
    <w:p w:rsidR="006B185E" w:rsidRDefault="006B185E" w:rsidP="00D931A1">
      <w:pPr>
        <w:widowControl w:val="0"/>
        <w:tabs>
          <w:tab w:val="left" w:pos="284"/>
        </w:tabs>
        <w:autoSpaceDE w:val="0"/>
        <w:autoSpaceDN w:val="0"/>
        <w:adjustRightInd w:val="0"/>
        <w:spacing w:after="240" w:line="276" w:lineRule="auto"/>
        <w:jc w:val="both"/>
        <w:rPr>
          <w:rFonts w:ascii="Times New Roman" w:eastAsia="Times New Roman" w:hAnsi="Times New Roman" w:cs="Times New Roman"/>
          <w:b/>
          <w:noProof/>
          <w:sz w:val="24"/>
          <w:szCs w:val="24"/>
          <w:lang w:eastAsia="ro-RO"/>
        </w:rPr>
      </w:pPr>
    </w:p>
    <w:p w:rsidR="006B185E" w:rsidRDefault="006B185E">
      <w:pPr>
        <w:rPr>
          <w:rFonts w:ascii="Times New Roman" w:eastAsia="Times New Roman" w:hAnsi="Times New Roman" w:cs="Times New Roman"/>
          <w:b/>
          <w:noProof/>
          <w:sz w:val="24"/>
          <w:szCs w:val="24"/>
          <w:lang w:eastAsia="ro-RO"/>
        </w:rPr>
      </w:pPr>
      <w:r>
        <w:rPr>
          <w:rFonts w:ascii="Times New Roman" w:eastAsia="Times New Roman" w:hAnsi="Times New Roman" w:cs="Times New Roman"/>
          <w:b/>
          <w:noProof/>
          <w:sz w:val="24"/>
          <w:szCs w:val="24"/>
          <w:lang w:eastAsia="ro-RO"/>
        </w:rPr>
        <w:br w:type="page"/>
      </w:r>
    </w:p>
    <w:p w:rsidR="00340393" w:rsidRPr="007D3FE6" w:rsidRDefault="00340393" w:rsidP="009D4AA2">
      <w:pPr>
        <w:pStyle w:val="Raport"/>
        <w:spacing w:after="360"/>
        <w:rPr>
          <w:rFonts w:eastAsia="Times New Roman"/>
          <w:noProof/>
          <w:sz w:val="24"/>
          <w:szCs w:val="24"/>
          <w:lang w:eastAsia="ro-RO"/>
        </w:rPr>
      </w:pPr>
      <w:bookmarkStart w:id="25" w:name="_Toc485992686"/>
      <w:r w:rsidRPr="007D3FE6">
        <w:rPr>
          <w:rFonts w:eastAsia="Times New Roman"/>
          <w:noProof/>
          <w:sz w:val="24"/>
          <w:szCs w:val="24"/>
          <w:lang w:eastAsia="ro-RO"/>
        </w:rPr>
        <w:t>4.5. Concluzii</w:t>
      </w:r>
      <w:bookmarkEnd w:id="25"/>
    </w:p>
    <w:p w:rsidR="00340393" w:rsidRDefault="00340393" w:rsidP="00D931A1">
      <w:pPr>
        <w:widowControl w:val="0"/>
        <w:tabs>
          <w:tab w:val="left" w:pos="284"/>
        </w:tabs>
        <w:autoSpaceDE w:val="0"/>
        <w:autoSpaceDN w:val="0"/>
        <w:adjustRightInd w:val="0"/>
        <w:spacing w:after="120" w:line="276" w:lineRule="auto"/>
        <w:jc w:val="both"/>
        <w:rPr>
          <w:rFonts w:ascii="Times New Roman" w:eastAsia="Times New Roman" w:hAnsi="Times New Roman" w:cs="Times New Roman"/>
          <w:noProof/>
          <w:sz w:val="24"/>
          <w:szCs w:val="24"/>
          <w:lang w:eastAsia="ro-RO"/>
        </w:rPr>
      </w:pPr>
      <w:r w:rsidRPr="00340393">
        <w:rPr>
          <w:rFonts w:ascii="Times New Roman" w:eastAsia="Times New Roman" w:hAnsi="Times New Roman" w:cs="Times New Roman"/>
          <w:noProof/>
          <w:sz w:val="24"/>
          <w:szCs w:val="24"/>
          <w:lang w:eastAsia="ro-RO"/>
        </w:rPr>
        <w:t>În urma</w:t>
      </w:r>
      <w:r>
        <w:rPr>
          <w:rFonts w:ascii="Times New Roman" w:eastAsia="Times New Roman" w:hAnsi="Times New Roman" w:cs="Times New Roman"/>
          <w:noProof/>
          <w:sz w:val="24"/>
          <w:szCs w:val="24"/>
          <w:lang w:eastAsia="ro-RO"/>
        </w:rPr>
        <w:t xml:space="preserve"> misiunilor de evaluare desfășurate, s-a constatat că</w:t>
      </w:r>
      <w:r w:rsidR="00455CC1">
        <w:rPr>
          <w:rFonts w:ascii="Times New Roman" w:eastAsia="Times New Roman" w:hAnsi="Times New Roman" w:cs="Times New Roman"/>
          <w:noProof/>
          <w:sz w:val="24"/>
          <w:szCs w:val="24"/>
          <w:lang w:eastAsia="ro-RO"/>
        </w:rPr>
        <w:t xml:space="preserve"> </w:t>
      </w:r>
      <w:r>
        <w:rPr>
          <w:rFonts w:ascii="Times New Roman" w:eastAsia="Times New Roman" w:hAnsi="Times New Roman" w:cs="Times New Roman"/>
          <w:noProof/>
          <w:sz w:val="24"/>
          <w:szCs w:val="24"/>
          <w:lang w:eastAsia="ro-RO"/>
        </w:rPr>
        <w:t>implementarea controlului intern managerial este percepută ca o activitate suplimentară față de atribuțiile specifice postului.</w:t>
      </w:r>
    </w:p>
    <w:p w:rsidR="00340393" w:rsidRDefault="00340393" w:rsidP="00D931A1">
      <w:pPr>
        <w:widowControl w:val="0"/>
        <w:tabs>
          <w:tab w:val="left" w:pos="284"/>
        </w:tabs>
        <w:autoSpaceDE w:val="0"/>
        <w:autoSpaceDN w:val="0"/>
        <w:adjustRightInd w:val="0"/>
        <w:spacing w:after="120" w:line="276" w:lineRule="auto"/>
        <w:jc w:val="both"/>
        <w:rPr>
          <w:rFonts w:ascii="Times New Roman" w:eastAsia="Times New Roman" w:hAnsi="Times New Roman" w:cs="Times New Roman"/>
          <w:noProof/>
          <w:sz w:val="24"/>
          <w:szCs w:val="24"/>
          <w:lang w:eastAsia="ro-RO"/>
        </w:rPr>
      </w:pPr>
      <w:r>
        <w:rPr>
          <w:rFonts w:ascii="Times New Roman" w:eastAsia="Times New Roman" w:hAnsi="Times New Roman" w:cs="Times New Roman"/>
          <w:noProof/>
          <w:sz w:val="24"/>
          <w:szCs w:val="24"/>
          <w:lang w:eastAsia="ro-RO"/>
        </w:rPr>
        <w:t>SCIM nu este asimilat în cultura entităților publice și nu există o conștientizare a beneficiilor controlului intern managerial.</w:t>
      </w:r>
    </w:p>
    <w:p w:rsidR="00340393" w:rsidRDefault="00340393" w:rsidP="00D931A1">
      <w:pPr>
        <w:widowControl w:val="0"/>
        <w:tabs>
          <w:tab w:val="left" w:pos="284"/>
        </w:tabs>
        <w:autoSpaceDE w:val="0"/>
        <w:autoSpaceDN w:val="0"/>
        <w:adjustRightInd w:val="0"/>
        <w:spacing w:after="120" w:line="276" w:lineRule="auto"/>
        <w:jc w:val="both"/>
        <w:rPr>
          <w:rFonts w:ascii="Times New Roman" w:eastAsia="Times New Roman" w:hAnsi="Times New Roman" w:cs="Times New Roman"/>
          <w:noProof/>
          <w:sz w:val="24"/>
          <w:szCs w:val="24"/>
          <w:lang w:eastAsia="ro-RO"/>
        </w:rPr>
      </w:pPr>
      <w:r>
        <w:rPr>
          <w:rFonts w:ascii="Times New Roman" w:eastAsia="Times New Roman" w:hAnsi="Times New Roman" w:cs="Times New Roman"/>
          <w:noProof/>
          <w:sz w:val="24"/>
          <w:szCs w:val="24"/>
          <w:lang w:eastAsia="ro-RO"/>
        </w:rPr>
        <w:t>O problemă permanentă identificată la nivelul entităților publice este lipsa resurselor umane</w:t>
      </w:r>
      <w:r w:rsidR="00010C18">
        <w:rPr>
          <w:rFonts w:ascii="Times New Roman" w:eastAsia="Times New Roman" w:hAnsi="Times New Roman" w:cs="Times New Roman"/>
          <w:noProof/>
          <w:sz w:val="24"/>
          <w:szCs w:val="24"/>
          <w:lang w:eastAsia="ro-RO"/>
        </w:rPr>
        <w:t>, dar și fluctuația de personal, care creează, uneori, deficiențe în procesul de implementare și dezvoltare SCIM.</w:t>
      </w:r>
    </w:p>
    <w:p w:rsidR="00010C18" w:rsidRDefault="00010C18" w:rsidP="00D931A1">
      <w:pPr>
        <w:widowControl w:val="0"/>
        <w:tabs>
          <w:tab w:val="left" w:pos="284"/>
        </w:tabs>
        <w:autoSpaceDE w:val="0"/>
        <w:autoSpaceDN w:val="0"/>
        <w:adjustRightInd w:val="0"/>
        <w:spacing w:after="120" w:line="276" w:lineRule="auto"/>
        <w:jc w:val="both"/>
        <w:rPr>
          <w:rFonts w:ascii="Times New Roman" w:eastAsia="Times New Roman" w:hAnsi="Times New Roman" w:cs="Times New Roman"/>
          <w:noProof/>
          <w:sz w:val="24"/>
          <w:szCs w:val="24"/>
          <w:lang w:eastAsia="ro-RO"/>
        </w:rPr>
      </w:pPr>
      <w:r>
        <w:rPr>
          <w:rFonts w:ascii="Times New Roman" w:eastAsia="Times New Roman" w:hAnsi="Times New Roman" w:cs="Times New Roman"/>
          <w:noProof/>
          <w:sz w:val="24"/>
          <w:szCs w:val="24"/>
          <w:lang w:eastAsia="ro-RO"/>
        </w:rPr>
        <w:t>De asemenea, frecventele modificări în structura organizatorică a entităților publice îngreunează pr</w:t>
      </w:r>
      <w:r w:rsidR="00512C22">
        <w:rPr>
          <w:rFonts w:ascii="Times New Roman" w:eastAsia="Times New Roman" w:hAnsi="Times New Roman" w:cs="Times New Roman"/>
          <w:noProof/>
          <w:sz w:val="24"/>
          <w:szCs w:val="24"/>
          <w:lang w:eastAsia="ro-RO"/>
        </w:rPr>
        <w:t>o</w:t>
      </w:r>
      <w:r>
        <w:rPr>
          <w:rFonts w:ascii="Times New Roman" w:eastAsia="Times New Roman" w:hAnsi="Times New Roman" w:cs="Times New Roman"/>
          <w:noProof/>
          <w:sz w:val="24"/>
          <w:szCs w:val="24"/>
          <w:lang w:eastAsia="ro-RO"/>
        </w:rPr>
        <w:t>cesul de implementare și dezvoltare a SCIM.</w:t>
      </w:r>
    </w:p>
    <w:p w:rsidR="00010C18" w:rsidRPr="007D3FE6" w:rsidRDefault="00010C18" w:rsidP="004763BF">
      <w:pPr>
        <w:pStyle w:val="Raport"/>
        <w:spacing w:before="360" w:after="240"/>
        <w:rPr>
          <w:rFonts w:eastAsia="Times New Roman"/>
          <w:noProof/>
          <w:sz w:val="24"/>
          <w:szCs w:val="24"/>
          <w:lang w:eastAsia="ro-RO"/>
        </w:rPr>
      </w:pPr>
      <w:bookmarkStart w:id="26" w:name="_Toc485992687"/>
      <w:r w:rsidRPr="007D3FE6">
        <w:rPr>
          <w:rFonts w:eastAsia="Times New Roman"/>
          <w:noProof/>
          <w:sz w:val="24"/>
          <w:szCs w:val="24"/>
          <w:lang w:eastAsia="ro-RO"/>
        </w:rPr>
        <w:t>4.6. P</w:t>
      </w:r>
      <w:r w:rsidR="009D4AA2" w:rsidRPr="007D3FE6">
        <w:rPr>
          <w:rFonts w:eastAsia="Times New Roman"/>
          <w:noProof/>
          <w:sz w:val="24"/>
          <w:szCs w:val="24"/>
          <w:lang w:eastAsia="ro-RO"/>
        </w:rPr>
        <w:t>ropuneri pentru dezvoltarea sistemului de control intern managerial</w:t>
      </w:r>
      <w:bookmarkEnd w:id="26"/>
    </w:p>
    <w:p w:rsidR="00010C18" w:rsidRDefault="00010C18" w:rsidP="00C7604C">
      <w:pPr>
        <w:pStyle w:val="ListParagraph"/>
        <w:widowControl w:val="0"/>
        <w:numPr>
          <w:ilvl w:val="0"/>
          <w:numId w:val="74"/>
        </w:numPr>
        <w:tabs>
          <w:tab w:val="left" w:pos="284"/>
        </w:tabs>
        <w:autoSpaceDE w:val="0"/>
        <w:autoSpaceDN w:val="0"/>
        <w:adjustRightInd w:val="0"/>
        <w:spacing w:after="120" w:line="276" w:lineRule="auto"/>
        <w:ind w:left="714" w:hanging="357"/>
        <w:contextualSpacing w:val="0"/>
        <w:jc w:val="both"/>
        <w:rPr>
          <w:rFonts w:ascii="Times New Roman" w:eastAsia="Times New Roman" w:hAnsi="Times New Roman" w:cs="Times New Roman"/>
          <w:noProof/>
          <w:sz w:val="24"/>
          <w:szCs w:val="24"/>
          <w:lang w:eastAsia="ro-RO"/>
        </w:rPr>
      </w:pPr>
      <w:r>
        <w:rPr>
          <w:rFonts w:ascii="Times New Roman" w:eastAsia="Times New Roman" w:hAnsi="Times New Roman" w:cs="Times New Roman"/>
          <w:noProof/>
          <w:sz w:val="24"/>
          <w:szCs w:val="24"/>
          <w:lang w:eastAsia="ro-RO"/>
        </w:rPr>
        <w:t>Stabilirea unor direcții de acțiune/măsuri care să conducă la îndeplinirea Programului de dezvoltare a SCIM;</w:t>
      </w:r>
    </w:p>
    <w:p w:rsidR="00010C18" w:rsidRDefault="00010C18" w:rsidP="00C7604C">
      <w:pPr>
        <w:pStyle w:val="ListParagraph"/>
        <w:widowControl w:val="0"/>
        <w:numPr>
          <w:ilvl w:val="0"/>
          <w:numId w:val="74"/>
        </w:numPr>
        <w:tabs>
          <w:tab w:val="left" w:pos="284"/>
        </w:tabs>
        <w:autoSpaceDE w:val="0"/>
        <w:autoSpaceDN w:val="0"/>
        <w:adjustRightInd w:val="0"/>
        <w:spacing w:after="120" w:line="276" w:lineRule="auto"/>
        <w:ind w:left="714" w:hanging="357"/>
        <w:contextualSpacing w:val="0"/>
        <w:jc w:val="both"/>
        <w:rPr>
          <w:rFonts w:ascii="Times New Roman" w:eastAsia="Times New Roman" w:hAnsi="Times New Roman" w:cs="Times New Roman"/>
          <w:noProof/>
          <w:sz w:val="24"/>
          <w:szCs w:val="24"/>
          <w:lang w:eastAsia="ro-RO"/>
        </w:rPr>
      </w:pPr>
      <w:r>
        <w:rPr>
          <w:rFonts w:ascii="Times New Roman" w:eastAsia="Times New Roman" w:hAnsi="Times New Roman" w:cs="Times New Roman"/>
          <w:noProof/>
          <w:sz w:val="24"/>
          <w:szCs w:val="24"/>
          <w:lang w:eastAsia="ro-RO"/>
        </w:rPr>
        <w:t>Identificarea nevoii de pregătire profesională în domeniul SCIM, perfectionarea personalului implicat în procesul de implementare SCIM;</w:t>
      </w:r>
    </w:p>
    <w:p w:rsidR="00010C18" w:rsidRDefault="00010C18" w:rsidP="00C7604C">
      <w:pPr>
        <w:pStyle w:val="ListParagraph"/>
        <w:widowControl w:val="0"/>
        <w:numPr>
          <w:ilvl w:val="0"/>
          <w:numId w:val="74"/>
        </w:numPr>
        <w:tabs>
          <w:tab w:val="left" w:pos="284"/>
        </w:tabs>
        <w:autoSpaceDE w:val="0"/>
        <w:autoSpaceDN w:val="0"/>
        <w:adjustRightInd w:val="0"/>
        <w:spacing w:after="120" w:line="276" w:lineRule="auto"/>
        <w:ind w:left="714" w:hanging="357"/>
        <w:contextualSpacing w:val="0"/>
        <w:jc w:val="both"/>
        <w:rPr>
          <w:rFonts w:ascii="Times New Roman" w:eastAsia="Times New Roman" w:hAnsi="Times New Roman" w:cs="Times New Roman"/>
          <w:noProof/>
          <w:sz w:val="24"/>
          <w:szCs w:val="24"/>
          <w:lang w:eastAsia="ro-RO"/>
        </w:rPr>
      </w:pPr>
      <w:r>
        <w:rPr>
          <w:rFonts w:ascii="Times New Roman" w:eastAsia="Times New Roman" w:hAnsi="Times New Roman" w:cs="Times New Roman"/>
          <w:noProof/>
          <w:sz w:val="24"/>
          <w:szCs w:val="24"/>
          <w:lang w:eastAsia="ro-RO"/>
        </w:rPr>
        <w:t>Parcurgerea în mod cronologic și succesiv a etapelor aferente procesului de implementare și dezvoltare SCIM</w:t>
      </w:r>
      <w:r w:rsidR="00175EAE">
        <w:rPr>
          <w:rFonts w:ascii="Times New Roman" w:eastAsia="Times New Roman" w:hAnsi="Times New Roman" w:cs="Times New Roman"/>
          <w:noProof/>
          <w:sz w:val="24"/>
          <w:szCs w:val="24"/>
          <w:lang w:eastAsia="ro-RO"/>
        </w:rPr>
        <w:t>;</w:t>
      </w:r>
    </w:p>
    <w:p w:rsidR="00175EAE" w:rsidRDefault="00175EAE" w:rsidP="00C7604C">
      <w:pPr>
        <w:pStyle w:val="ListParagraph"/>
        <w:widowControl w:val="0"/>
        <w:numPr>
          <w:ilvl w:val="0"/>
          <w:numId w:val="74"/>
        </w:numPr>
        <w:tabs>
          <w:tab w:val="left" w:pos="284"/>
        </w:tabs>
        <w:autoSpaceDE w:val="0"/>
        <w:autoSpaceDN w:val="0"/>
        <w:adjustRightInd w:val="0"/>
        <w:spacing w:after="120" w:line="276" w:lineRule="auto"/>
        <w:ind w:left="714" w:hanging="357"/>
        <w:contextualSpacing w:val="0"/>
        <w:jc w:val="both"/>
        <w:rPr>
          <w:rFonts w:ascii="Times New Roman" w:eastAsia="Times New Roman" w:hAnsi="Times New Roman" w:cs="Times New Roman"/>
          <w:noProof/>
          <w:sz w:val="24"/>
          <w:szCs w:val="24"/>
          <w:lang w:eastAsia="ro-RO"/>
        </w:rPr>
      </w:pPr>
      <w:r>
        <w:rPr>
          <w:rFonts w:ascii="Times New Roman" w:eastAsia="Times New Roman" w:hAnsi="Times New Roman" w:cs="Times New Roman"/>
          <w:noProof/>
          <w:sz w:val="24"/>
          <w:szCs w:val="24"/>
          <w:lang w:eastAsia="ro-RO"/>
        </w:rPr>
        <w:t>Organizarea unui sistem unitar de monitorizare a performanțelor pe baza rapoartelor de monitorizare la nivelul compartimentelor</w:t>
      </w:r>
      <w:r w:rsidR="003258D4">
        <w:rPr>
          <w:rFonts w:ascii="Times New Roman" w:eastAsia="Times New Roman" w:hAnsi="Times New Roman" w:cs="Times New Roman"/>
          <w:noProof/>
          <w:sz w:val="24"/>
          <w:szCs w:val="24"/>
          <w:lang w:eastAsia="ro-RO"/>
        </w:rPr>
        <w:t>;</w:t>
      </w:r>
    </w:p>
    <w:p w:rsidR="003258D4" w:rsidRDefault="003258D4" w:rsidP="00C7604C">
      <w:pPr>
        <w:pStyle w:val="ListParagraph"/>
        <w:widowControl w:val="0"/>
        <w:numPr>
          <w:ilvl w:val="0"/>
          <w:numId w:val="74"/>
        </w:numPr>
        <w:tabs>
          <w:tab w:val="left" w:pos="284"/>
        </w:tabs>
        <w:autoSpaceDE w:val="0"/>
        <w:autoSpaceDN w:val="0"/>
        <w:adjustRightInd w:val="0"/>
        <w:spacing w:after="120" w:line="276" w:lineRule="auto"/>
        <w:ind w:left="714" w:hanging="357"/>
        <w:contextualSpacing w:val="0"/>
        <w:jc w:val="both"/>
        <w:rPr>
          <w:rFonts w:ascii="Times New Roman" w:eastAsia="Times New Roman" w:hAnsi="Times New Roman" w:cs="Times New Roman"/>
          <w:noProof/>
          <w:sz w:val="24"/>
          <w:szCs w:val="24"/>
          <w:lang w:eastAsia="ro-RO"/>
        </w:rPr>
      </w:pPr>
      <w:r>
        <w:rPr>
          <w:rFonts w:ascii="Times New Roman" w:eastAsia="Times New Roman" w:hAnsi="Times New Roman" w:cs="Times New Roman"/>
          <w:noProof/>
          <w:sz w:val="24"/>
          <w:szCs w:val="24"/>
          <w:lang w:eastAsia="ro-RO"/>
        </w:rPr>
        <w:t xml:space="preserve">Elaborarea unei </w:t>
      </w:r>
      <w:r>
        <w:rPr>
          <w:rFonts w:ascii="Times New Roman" w:eastAsia="Times New Roman" w:hAnsi="Times New Roman" w:cs="Times New Roman"/>
          <w:i/>
          <w:noProof/>
          <w:sz w:val="24"/>
          <w:szCs w:val="24"/>
          <w:lang w:eastAsia="ro-RO"/>
        </w:rPr>
        <w:t>P</w:t>
      </w:r>
      <w:r w:rsidRPr="003258D4">
        <w:rPr>
          <w:rFonts w:ascii="Times New Roman" w:eastAsia="Times New Roman" w:hAnsi="Times New Roman" w:cs="Times New Roman"/>
          <w:i/>
          <w:noProof/>
          <w:sz w:val="24"/>
          <w:szCs w:val="24"/>
          <w:lang w:eastAsia="ro-RO"/>
        </w:rPr>
        <w:t>roceduri de sistem privind managementul riscurilor</w:t>
      </w:r>
      <w:r>
        <w:rPr>
          <w:rFonts w:ascii="Times New Roman" w:eastAsia="Times New Roman" w:hAnsi="Times New Roman" w:cs="Times New Roman"/>
          <w:noProof/>
          <w:sz w:val="24"/>
          <w:szCs w:val="24"/>
          <w:lang w:eastAsia="ro-RO"/>
        </w:rPr>
        <w:t xml:space="preserve"> pentru a preveni realizarea subiectivă a activităților privind identificarea, evaluarea și tratarea riscurilor;</w:t>
      </w:r>
    </w:p>
    <w:p w:rsidR="003258D4" w:rsidRDefault="003258D4" w:rsidP="00C7604C">
      <w:pPr>
        <w:pStyle w:val="ListParagraph"/>
        <w:widowControl w:val="0"/>
        <w:numPr>
          <w:ilvl w:val="0"/>
          <w:numId w:val="74"/>
        </w:numPr>
        <w:tabs>
          <w:tab w:val="left" w:pos="284"/>
        </w:tabs>
        <w:autoSpaceDE w:val="0"/>
        <w:autoSpaceDN w:val="0"/>
        <w:adjustRightInd w:val="0"/>
        <w:spacing w:after="120" w:line="276" w:lineRule="auto"/>
        <w:ind w:left="714" w:hanging="357"/>
        <w:contextualSpacing w:val="0"/>
        <w:jc w:val="both"/>
        <w:rPr>
          <w:rFonts w:ascii="Times New Roman" w:eastAsia="Times New Roman" w:hAnsi="Times New Roman" w:cs="Times New Roman"/>
          <w:noProof/>
          <w:sz w:val="24"/>
          <w:szCs w:val="24"/>
          <w:lang w:eastAsia="ro-RO"/>
        </w:rPr>
      </w:pPr>
      <w:r>
        <w:rPr>
          <w:rFonts w:ascii="Times New Roman" w:eastAsia="Times New Roman" w:hAnsi="Times New Roman" w:cs="Times New Roman"/>
          <w:noProof/>
          <w:sz w:val="24"/>
          <w:szCs w:val="24"/>
          <w:lang w:eastAsia="ro-RO"/>
        </w:rPr>
        <w:t>Responsabilizarea personalului cu privire la gestionarea riscurilor, prin menționarea atribuțiilor specifice în fișele de post;</w:t>
      </w:r>
    </w:p>
    <w:p w:rsidR="003258D4" w:rsidRDefault="003258D4" w:rsidP="00C7604C">
      <w:pPr>
        <w:pStyle w:val="ListParagraph"/>
        <w:widowControl w:val="0"/>
        <w:numPr>
          <w:ilvl w:val="0"/>
          <w:numId w:val="74"/>
        </w:numPr>
        <w:tabs>
          <w:tab w:val="left" w:pos="284"/>
        </w:tabs>
        <w:autoSpaceDE w:val="0"/>
        <w:autoSpaceDN w:val="0"/>
        <w:adjustRightInd w:val="0"/>
        <w:spacing w:after="120" w:line="276" w:lineRule="auto"/>
        <w:ind w:left="714" w:hanging="357"/>
        <w:contextualSpacing w:val="0"/>
        <w:jc w:val="both"/>
        <w:rPr>
          <w:rFonts w:ascii="Times New Roman" w:eastAsia="Times New Roman" w:hAnsi="Times New Roman" w:cs="Times New Roman"/>
          <w:noProof/>
          <w:sz w:val="24"/>
          <w:szCs w:val="24"/>
          <w:lang w:eastAsia="ro-RO"/>
        </w:rPr>
      </w:pPr>
      <w:r>
        <w:rPr>
          <w:rFonts w:ascii="Times New Roman" w:eastAsia="Times New Roman" w:hAnsi="Times New Roman" w:cs="Times New Roman"/>
          <w:noProof/>
          <w:sz w:val="24"/>
          <w:szCs w:val="24"/>
          <w:lang w:eastAsia="ro-RO"/>
        </w:rPr>
        <w:t>Identificarea domeniului de ap</w:t>
      </w:r>
      <w:r w:rsidR="00017113">
        <w:rPr>
          <w:rFonts w:ascii="Times New Roman" w:eastAsia="Times New Roman" w:hAnsi="Times New Roman" w:cs="Times New Roman"/>
          <w:noProof/>
          <w:sz w:val="24"/>
          <w:szCs w:val="24"/>
          <w:lang w:eastAsia="ro-RO"/>
        </w:rPr>
        <w:t>licare a procedurilor elaborate</w:t>
      </w:r>
      <w:r>
        <w:rPr>
          <w:rFonts w:ascii="Times New Roman" w:eastAsia="Times New Roman" w:hAnsi="Times New Roman" w:cs="Times New Roman"/>
          <w:noProof/>
          <w:sz w:val="24"/>
          <w:szCs w:val="24"/>
          <w:lang w:eastAsia="ro-RO"/>
        </w:rPr>
        <w:t>, astfel încât procedurile de sistem să nu fie asimilate ca proceduri operaționale;</w:t>
      </w:r>
    </w:p>
    <w:p w:rsidR="003258D4" w:rsidRDefault="003258D4" w:rsidP="00C7604C">
      <w:pPr>
        <w:pStyle w:val="ListParagraph"/>
        <w:widowControl w:val="0"/>
        <w:numPr>
          <w:ilvl w:val="0"/>
          <w:numId w:val="74"/>
        </w:numPr>
        <w:tabs>
          <w:tab w:val="left" w:pos="284"/>
        </w:tabs>
        <w:autoSpaceDE w:val="0"/>
        <w:autoSpaceDN w:val="0"/>
        <w:adjustRightInd w:val="0"/>
        <w:spacing w:after="120" w:line="276" w:lineRule="auto"/>
        <w:ind w:left="714" w:hanging="357"/>
        <w:contextualSpacing w:val="0"/>
        <w:jc w:val="both"/>
        <w:rPr>
          <w:rFonts w:ascii="Times New Roman" w:eastAsia="Times New Roman" w:hAnsi="Times New Roman" w:cs="Times New Roman"/>
          <w:noProof/>
          <w:sz w:val="24"/>
          <w:szCs w:val="24"/>
          <w:lang w:eastAsia="ro-RO"/>
        </w:rPr>
      </w:pPr>
      <w:r>
        <w:rPr>
          <w:rFonts w:ascii="Times New Roman" w:eastAsia="Times New Roman" w:hAnsi="Times New Roman" w:cs="Times New Roman"/>
          <w:noProof/>
          <w:sz w:val="24"/>
          <w:szCs w:val="24"/>
          <w:lang w:eastAsia="ro-RO"/>
        </w:rPr>
        <w:t>Existența unui cadru procedural intern privind elaborarea, avizarea și aprobarea procedurilor formalizate, care să cuprindă și modalitatea de codificare a acestora;</w:t>
      </w:r>
    </w:p>
    <w:p w:rsidR="003258D4" w:rsidRDefault="003258D4" w:rsidP="00C7604C">
      <w:pPr>
        <w:pStyle w:val="ListParagraph"/>
        <w:widowControl w:val="0"/>
        <w:numPr>
          <w:ilvl w:val="0"/>
          <w:numId w:val="74"/>
        </w:numPr>
        <w:tabs>
          <w:tab w:val="left" w:pos="284"/>
        </w:tabs>
        <w:autoSpaceDE w:val="0"/>
        <w:autoSpaceDN w:val="0"/>
        <w:adjustRightInd w:val="0"/>
        <w:spacing w:after="120" w:line="276" w:lineRule="auto"/>
        <w:ind w:left="714" w:hanging="357"/>
        <w:contextualSpacing w:val="0"/>
        <w:jc w:val="both"/>
        <w:rPr>
          <w:rFonts w:ascii="Times New Roman" w:eastAsia="Times New Roman" w:hAnsi="Times New Roman" w:cs="Times New Roman"/>
          <w:noProof/>
          <w:sz w:val="24"/>
          <w:szCs w:val="24"/>
          <w:lang w:eastAsia="ro-RO"/>
        </w:rPr>
      </w:pPr>
      <w:r>
        <w:rPr>
          <w:rFonts w:ascii="Times New Roman" w:eastAsia="Times New Roman" w:hAnsi="Times New Roman" w:cs="Times New Roman"/>
          <w:noProof/>
          <w:sz w:val="24"/>
          <w:szCs w:val="24"/>
          <w:lang w:eastAsia="ro-RO"/>
        </w:rPr>
        <w:t>Actualizarea procedurilor for</w:t>
      </w:r>
      <w:r w:rsidR="00436196">
        <w:rPr>
          <w:rFonts w:ascii="Times New Roman" w:eastAsia="Times New Roman" w:hAnsi="Times New Roman" w:cs="Times New Roman"/>
          <w:noProof/>
          <w:sz w:val="24"/>
          <w:szCs w:val="24"/>
          <w:lang w:eastAsia="ro-RO"/>
        </w:rPr>
        <w:t>malizate, atunci când este cazul, ca urmare a modificărilor organizatorice și legislativeintervenite în derularea activității procedurate;</w:t>
      </w:r>
    </w:p>
    <w:p w:rsidR="00436196" w:rsidRDefault="00436196" w:rsidP="00C7604C">
      <w:pPr>
        <w:pStyle w:val="ListParagraph"/>
        <w:widowControl w:val="0"/>
        <w:numPr>
          <w:ilvl w:val="0"/>
          <w:numId w:val="74"/>
        </w:numPr>
        <w:tabs>
          <w:tab w:val="left" w:pos="284"/>
        </w:tabs>
        <w:autoSpaceDE w:val="0"/>
        <w:autoSpaceDN w:val="0"/>
        <w:adjustRightInd w:val="0"/>
        <w:spacing w:after="120" w:line="276" w:lineRule="auto"/>
        <w:ind w:left="714" w:hanging="357"/>
        <w:contextualSpacing w:val="0"/>
        <w:jc w:val="both"/>
        <w:rPr>
          <w:rFonts w:ascii="Times New Roman" w:eastAsia="Times New Roman" w:hAnsi="Times New Roman" w:cs="Times New Roman"/>
          <w:noProof/>
          <w:sz w:val="24"/>
          <w:szCs w:val="24"/>
          <w:lang w:eastAsia="ro-RO"/>
        </w:rPr>
      </w:pPr>
      <w:r>
        <w:rPr>
          <w:rFonts w:ascii="Times New Roman" w:eastAsia="Times New Roman" w:hAnsi="Times New Roman" w:cs="Times New Roman"/>
          <w:noProof/>
          <w:sz w:val="24"/>
          <w:szCs w:val="24"/>
          <w:lang w:eastAsia="ro-RO"/>
        </w:rPr>
        <w:t>Introducerea atribuțiilor privind elaborarea și actualizarea procedurilor formalizate în fișele de post, ceea ce conduce la conștientizarea personalului privind transpunerea activităților desfățurate intr-un cadru formalizat;</w:t>
      </w:r>
    </w:p>
    <w:p w:rsidR="00436196" w:rsidRDefault="00436196" w:rsidP="00C7604C">
      <w:pPr>
        <w:pStyle w:val="ListParagraph"/>
        <w:widowControl w:val="0"/>
        <w:numPr>
          <w:ilvl w:val="0"/>
          <w:numId w:val="74"/>
        </w:numPr>
        <w:tabs>
          <w:tab w:val="left" w:pos="284"/>
        </w:tabs>
        <w:autoSpaceDE w:val="0"/>
        <w:autoSpaceDN w:val="0"/>
        <w:adjustRightInd w:val="0"/>
        <w:spacing w:after="120" w:line="276" w:lineRule="auto"/>
        <w:ind w:left="714" w:hanging="357"/>
        <w:contextualSpacing w:val="0"/>
        <w:jc w:val="both"/>
        <w:rPr>
          <w:rFonts w:ascii="Times New Roman" w:eastAsia="Times New Roman" w:hAnsi="Times New Roman" w:cs="Times New Roman"/>
          <w:noProof/>
          <w:sz w:val="24"/>
          <w:szCs w:val="24"/>
          <w:lang w:eastAsia="ro-RO"/>
        </w:rPr>
      </w:pPr>
      <w:r>
        <w:rPr>
          <w:rFonts w:ascii="Times New Roman" w:eastAsia="Times New Roman" w:hAnsi="Times New Roman" w:cs="Times New Roman"/>
          <w:noProof/>
          <w:sz w:val="24"/>
          <w:szCs w:val="24"/>
          <w:lang w:eastAsia="ro-RO"/>
        </w:rPr>
        <w:t>Operațiunea de autoevaluare la nivelul compartimentelor să nu se realizeze pe răspunsuri subiective și explicații aso</w:t>
      </w:r>
      <w:r w:rsidR="00A20FB8">
        <w:rPr>
          <w:rFonts w:ascii="Times New Roman" w:eastAsia="Times New Roman" w:hAnsi="Times New Roman" w:cs="Times New Roman"/>
          <w:noProof/>
          <w:sz w:val="24"/>
          <w:szCs w:val="24"/>
          <w:lang w:eastAsia="ro-RO"/>
        </w:rPr>
        <w:t>ciate criteriilor generale de ev</w:t>
      </w:r>
      <w:r>
        <w:rPr>
          <w:rFonts w:ascii="Times New Roman" w:eastAsia="Times New Roman" w:hAnsi="Times New Roman" w:cs="Times New Roman"/>
          <w:noProof/>
          <w:sz w:val="24"/>
          <w:szCs w:val="24"/>
          <w:lang w:eastAsia="ro-RO"/>
        </w:rPr>
        <w:t>aluare, care să conducă la o supraevaluare a stadiului implementării standardelor de control intern managerial;</w:t>
      </w:r>
    </w:p>
    <w:p w:rsidR="00436196" w:rsidRPr="00010C18" w:rsidRDefault="00436196" w:rsidP="00C7604C">
      <w:pPr>
        <w:pStyle w:val="ListParagraph"/>
        <w:widowControl w:val="0"/>
        <w:numPr>
          <w:ilvl w:val="0"/>
          <w:numId w:val="74"/>
        </w:numPr>
        <w:tabs>
          <w:tab w:val="left" w:pos="284"/>
        </w:tabs>
        <w:autoSpaceDE w:val="0"/>
        <w:autoSpaceDN w:val="0"/>
        <w:adjustRightInd w:val="0"/>
        <w:spacing w:after="120" w:line="276" w:lineRule="auto"/>
        <w:ind w:left="714" w:hanging="357"/>
        <w:contextualSpacing w:val="0"/>
        <w:jc w:val="both"/>
        <w:rPr>
          <w:rFonts w:ascii="Times New Roman" w:eastAsia="Times New Roman" w:hAnsi="Times New Roman" w:cs="Times New Roman"/>
          <w:noProof/>
          <w:sz w:val="24"/>
          <w:szCs w:val="24"/>
          <w:lang w:eastAsia="ro-RO"/>
        </w:rPr>
      </w:pPr>
      <w:r>
        <w:rPr>
          <w:rFonts w:ascii="Times New Roman" w:eastAsia="Times New Roman" w:hAnsi="Times New Roman" w:cs="Times New Roman"/>
          <w:noProof/>
          <w:sz w:val="24"/>
          <w:szCs w:val="24"/>
          <w:lang w:eastAsia="ro-RO"/>
        </w:rPr>
        <w:t>Corelarea raportărilor SCIM transmise către SGG.</w:t>
      </w:r>
    </w:p>
    <w:p w:rsidR="00D931A1" w:rsidRDefault="00D931A1" w:rsidP="00D931A1">
      <w:pPr>
        <w:spacing w:after="120" w:line="276" w:lineRule="auto"/>
        <w:jc w:val="both"/>
        <w:rPr>
          <w:rFonts w:ascii="Times New Roman" w:hAnsi="Times New Roman" w:cs="Times New Roman"/>
          <w:sz w:val="24"/>
          <w:szCs w:val="24"/>
          <w:lang w:val="en-US"/>
        </w:rPr>
      </w:pPr>
    </w:p>
    <w:p w:rsidR="00D931A1" w:rsidRDefault="00B943D5" w:rsidP="00D931A1">
      <w:pPr>
        <w:spacing w:after="120" w:line="276" w:lineRule="auto"/>
        <w:jc w:val="both"/>
        <w:rPr>
          <w:rFonts w:ascii="Times New Roman" w:hAnsi="Times New Roman" w:cs="Times New Roman"/>
          <w:sz w:val="24"/>
          <w:szCs w:val="24"/>
          <w:lang w:val="en-US"/>
        </w:rPr>
      </w:pPr>
      <w:r w:rsidRPr="00C85347">
        <w:rPr>
          <w:rFonts w:ascii="Times New Roman" w:hAnsi="Times New Roman" w:cs="Times New Roman"/>
          <w:sz w:val="24"/>
          <w:szCs w:val="24"/>
          <w:lang w:val="en-US"/>
        </w:rPr>
        <w:t>Proiectarea, imple</w:t>
      </w:r>
      <w:r w:rsidR="00D931A1">
        <w:rPr>
          <w:rFonts w:ascii="Times New Roman" w:hAnsi="Times New Roman" w:cs="Times New Roman"/>
          <w:sz w:val="24"/>
          <w:szCs w:val="24"/>
          <w:lang w:val="en-US"/>
        </w:rPr>
        <w:t>mentarea și dezvoltarea continu</w:t>
      </w:r>
      <w:r w:rsidR="00D931A1">
        <w:rPr>
          <w:rFonts w:ascii="Times New Roman" w:hAnsi="Times New Roman" w:cs="Times New Roman"/>
          <w:sz w:val="24"/>
          <w:szCs w:val="24"/>
        </w:rPr>
        <w:t>ă</w:t>
      </w:r>
      <w:r w:rsidRPr="00C85347">
        <w:rPr>
          <w:rFonts w:ascii="Times New Roman" w:hAnsi="Times New Roman" w:cs="Times New Roman"/>
          <w:sz w:val="24"/>
          <w:szCs w:val="24"/>
          <w:lang w:val="en-US"/>
        </w:rPr>
        <w:t xml:space="preserve"> a unui sistem de control intern viabil sunt posibile numai cu condiţia ca sistemul s</w:t>
      </w:r>
      <w:r w:rsidR="00D931A1">
        <w:rPr>
          <w:rFonts w:ascii="Times New Roman" w:hAnsi="Times New Roman" w:cs="Times New Roman"/>
          <w:sz w:val="24"/>
          <w:szCs w:val="24"/>
          <w:lang w:val="en-US"/>
        </w:rPr>
        <w:t>ă respecte următoarele cerinţe:</w:t>
      </w:r>
    </w:p>
    <w:p w:rsidR="00D931A1" w:rsidRDefault="00B943D5" w:rsidP="00C7604C">
      <w:pPr>
        <w:pStyle w:val="ListParagraph"/>
        <w:numPr>
          <w:ilvl w:val="0"/>
          <w:numId w:val="75"/>
        </w:numPr>
        <w:spacing w:after="120" w:line="276" w:lineRule="auto"/>
        <w:contextualSpacing w:val="0"/>
        <w:jc w:val="both"/>
        <w:rPr>
          <w:rFonts w:ascii="Times New Roman" w:hAnsi="Times New Roman" w:cs="Times New Roman"/>
          <w:sz w:val="24"/>
          <w:szCs w:val="24"/>
          <w:lang w:val="en-US"/>
        </w:rPr>
      </w:pPr>
      <w:r w:rsidRPr="00D931A1">
        <w:rPr>
          <w:rFonts w:ascii="Times New Roman" w:hAnsi="Times New Roman" w:cs="Times New Roman"/>
          <w:sz w:val="24"/>
          <w:szCs w:val="24"/>
          <w:lang w:val="en-US"/>
        </w:rPr>
        <w:t>să fie adaptat dimensiunii, complexităţii şi mediului specific entităţii;</w:t>
      </w:r>
    </w:p>
    <w:p w:rsidR="00D931A1" w:rsidRDefault="00B943D5" w:rsidP="00C7604C">
      <w:pPr>
        <w:pStyle w:val="ListParagraph"/>
        <w:numPr>
          <w:ilvl w:val="0"/>
          <w:numId w:val="75"/>
        </w:numPr>
        <w:spacing w:after="120" w:line="276" w:lineRule="auto"/>
        <w:contextualSpacing w:val="0"/>
        <w:jc w:val="both"/>
        <w:rPr>
          <w:rFonts w:ascii="Times New Roman" w:hAnsi="Times New Roman" w:cs="Times New Roman"/>
          <w:sz w:val="24"/>
          <w:szCs w:val="24"/>
          <w:lang w:val="en-US"/>
        </w:rPr>
      </w:pPr>
      <w:r w:rsidRPr="00D931A1">
        <w:rPr>
          <w:rFonts w:ascii="Times New Roman" w:hAnsi="Times New Roman" w:cs="Times New Roman"/>
          <w:sz w:val="24"/>
          <w:szCs w:val="24"/>
          <w:lang w:val="en-US"/>
        </w:rPr>
        <w:t>să vizeze toate nivelurile de conducere şi toate activităţile/operaţiunile;</w:t>
      </w:r>
    </w:p>
    <w:p w:rsidR="00D931A1" w:rsidRDefault="00B943D5" w:rsidP="00C7604C">
      <w:pPr>
        <w:pStyle w:val="ListParagraph"/>
        <w:numPr>
          <w:ilvl w:val="0"/>
          <w:numId w:val="75"/>
        </w:numPr>
        <w:spacing w:after="120" w:line="276" w:lineRule="auto"/>
        <w:contextualSpacing w:val="0"/>
        <w:jc w:val="both"/>
        <w:rPr>
          <w:rFonts w:ascii="Times New Roman" w:hAnsi="Times New Roman" w:cs="Times New Roman"/>
          <w:sz w:val="24"/>
          <w:szCs w:val="24"/>
          <w:lang w:val="en-US"/>
        </w:rPr>
      </w:pPr>
      <w:r w:rsidRPr="00D931A1">
        <w:rPr>
          <w:rFonts w:ascii="Times New Roman" w:hAnsi="Times New Roman" w:cs="Times New Roman"/>
          <w:sz w:val="24"/>
          <w:szCs w:val="24"/>
          <w:lang w:val="en-US"/>
        </w:rPr>
        <w:t>să fie construit cu acelaşi "instrumentar" în toate entităţile publice;</w:t>
      </w:r>
    </w:p>
    <w:p w:rsidR="00D931A1" w:rsidRDefault="00B943D5" w:rsidP="00C7604C">
      <w:pPr>
        <w:pStyle w:val="ListParagraph"/>
        <w:numPr>
          <w:ilvl w:val="0"/>
          <w:numId w:val="75"/>
        </w:numPr>
        <w:spacing w:after="120" w:line="276" w:lineRule="auto"/>
        <w:contextualSpacing w:val="0"/>
        <w:jc w:val="both"/>
        <w:rPr>
          <w:rFonts w:ascii="Times New Roman" w:hAnsi="Times New Roman" w:cs="Times New Roman"/>
          <w:sz w:val="24"/>
          <w:szCs w:val="24"/>
          <w:lang w:val="en-US"/>
        </w:rPr>
      </w:pPr>
      <w:r w:rsidRPr="00D931A1">
        <w:rPr>
          <w:rFonts w:ascii="Times New Roman" w:hAnsi="Times New Roman" w:cs="Times New Roman"/>
          <w:sz w:val="24"/>
          <w:szCs w:val="24"/>
          <w:lang w:val="en-US"/>
        </w:rPr>
        <w:t>să ofere asigurări rezonabile că obiectivele entităţii vor fi atinse;</w:t>
      </w:r>
    </w:p>
    <w:p w:rsidR="00D931A1" w:rsidRDefault="00B943D5" w:rsidP="00C7604C">
      <w:pPr>
        <w:pStyle w:val="ListParagraph"/>
        <w:numPr>
          <w:ilvl w:val="0"/>
          <w:numId w:val="75"/>
        </w:numPr>
        <w:spacing w:after="120" w:line="276" w:lineRule="auto"/>
        <w:contextualSpacing w:val="0"/>
        <w:jc w:val="both"/>
        <w:rPr>
          <w:rFonts w:ascii="Times New Roman" w:hAnsi="Times New Roman" w:cs="Times New Roman"/>
          <w:sz w:val="24"/>
          <w:szCs w:val="24"/>
          <w:lang w:val="en-US"/>
        </w:rPr>
      </w:pPr>
      <w:r w:rsidRPr="00D931A1">
        <w:rPr>
          <w:rFonts w:ascii="Times New Roman" w:hAnsi="Times New Roman" w:cs="Times New Roman"/>
          <w:sz w:val="24"/>
          <w:szCs w:val="24"/>
          <w:lang w:val="en-US"/>
        </w:rPr>
        <w:t>costurile aplicării sistemului de control intern să fie inferioare beneficiilor rezultate din acesta;</w:t>
      </w:r>
    </w:p>
    <w:p w:rsidR="00B943D5" w:rsidRPr="00D931A1" w:rsidRDefault="00B943D5" w:rsidP="00C7604C">
      <w:pPr>
        <w:pStyle w:val="ListParagraph"/>
        <w:numPr>
          <w:ilvl w:val="0"/>
          <w:numId w:val="75"/>
        </w:numPr>
        <w:spacing w:after="120" w:line="276" w:lineRule="auto"/>
        <w:contextualSpacing w:val="0"/>
        <w:jc w:val="both"/>
        <w:rPr>
          <w:rFonts w:ascii="Times New Roman" w:hAnsi="Times New Roman" w:cs="Times New Roman"/>
          <w:sz w:val="24"/>
          <w:szCs w:val="24"/>
          <w:lang w:val="en-US"/>
        </w:rPr>
      </w:pPr>
      <w:r w:rsidRPr="00D931A1">
        <w:rPr>
          <w:rFonts w:ascii="Times New Roman" w:hAnsi="Times New Roman" w:cs="Times New Roman"/>
          <w:sz w:val="24"/>
          <w:szCs w:val="24"/>
          <w:lang w:val="en-US"/>
        </w:rPr>
        <w:t>să fie guvernat de regulile minimale de management cuprinse în standardele de control intern managerial.</w:t>
      </w:r>
    </w:p>
    <w:p w:rsidR="00B943D5" w:rsidRPr="00B943D5" w:rsidRDefault="00B943D5" w:rsidP="00B943D5">
      <w:pPr>
        <w:spacing w:line="276" w:lineRule="auto"/>
        <w:jc w:val="both"/>
        <w:rPr>
          <w:rFonts w:ascii="Times New Roman" w:hAnsi="Times New Roman" w:cs="Times New Roman"/>
          <w:b/>
          <w:sz w:val="24"/>
          <w:szCs w:val="24"/>
        </w:rPr>
      </w:pPr>
    </w:p>
    <w:p w:rsidR="00D931A1" w:rsidRDefault="00D931A1" w:rsidP="001C71A1">
      <w:pPr>
        <w:spacing w:line="276" w:lineRule="auto"/>
        <w:rPr>
          <w:rFonts w:ascii="Times New Roman" w:hAnsi="Times New Roman" w:cs="Times New Roman"/>
          <w:b/>
          <w:sz w:val="24"/>
          <w:szCs w:val="24"/>
        </w:rPr>
      </w:pPr>
    </w:p>
    <w:p w:rsidR="00D931A1" w:rsidRDefault="00D931A1" w:rsidP="001C71A1">
      <w:pPr>
        <w:spacing w:line="276" w:lineRule="auto"/>
        <w:rPr>
          <w:rFonts w:ascii="Times New Roman" w:hAnsi="Times New Roman" w:cs="Times New Roman"/>
          <w:b/>
          <w:sz w:val="24"/>
          <w:szCs w:val="24"/>
        </w:rPr>
      </w:pPr>
    </w:p>
    <w:p w:rsidR="00D931A1" w:rsidRDefault="00D34732" w:rsidP="00DA6DF2">
      <w:pPr>
        <w:spacing w:line="276" w:lineRule="auto"/>
        <w:jc w:val="right"/>
        <w:rPr>
          <w:rFonts w:ascii="Times New Roman" w:hAnsi="Times New Roman" w:cs="Times New Roman"/>
          <w:sz w:val="24"/>
          <w:szCs w:val="24"/>
        </w:rPr>
      </w:pPr>
      <w:r w:rsidRPr="00D931A1">
        <w:rPr>
          <w:rFonts w:ascii="Times New Roman" w:hAnsi="Times New Roman" w:cs="Times New Roman"/>
          <w:b/>
          <w:sz w:val="24"/>
          <w:szCs w:val="24"/>
        </w:rPr>
        <w:t>Întocmit</w:t>
      </w:r>
    </w:p>
    <w:p w:rsidR="00D931A1" w:rsidRDefault="005D2C69" w:rsidP="00DA6DF2">
      <w:pPr>
        <w:spacing w:line="276" w:lineRule="auto"/>
        <w:jc w:val="right"/>
        <w:rPr>
          <w:rFonts w:ascii="Times New Roman" w:hAnsi="Times New Roman" w:cs="Times New Roman"/>
          <w:sz w:val="24"/>
          <w:szCs w:val="24"/>
        </w:rPr>
      </w:pPr>
      <w:r>
        <w:rPr>
          <w:rFonts w:ascii="Times New Roman" w:hAnsi="Times New Roman" w:cs="Times New Roman"/>
          <w:sz w:val="24"/>
          <w:szCs w:val="24"/>
        </w:rPr>
        <w:t>Daniela RADU</w:t>
      </w:r>
    </w:p>
    <w:p w:rsidR="005D2C69" w:rsidRPr="00D34732" w:rsidRDefault="005D2C69" w:rsidP="00DA6DF2">
      <w:pPr>
        <w:spacing w:line="276" w:lineRule="auto"/>
        <w:jc w:val="right"/>
        <w:rPr>
          <w:rFonts w:ascii="Times New Roman" w:hAnsi="Times New Roman" w:cs="Times New Roman"/>
          <w:sz w:val="24"/>
          <w:szCs w:val="24"/>
        </w:rPr>
      </w:pPr>
      <w:r>
        <w:rPr>
          <w:rFonts w:ascii="Times New Roman" w:hAnsi="Times New Roman" w:cs="Times New Roman"/>
          <w:sz w:val="24"/>
          <w:szCs w:val="24"/>
        </w:rPr>
        <w:t>Sergiu MARINESCU</w:t>
      </w:r>
    </w:p>
    <w:sectPr w:rsidR="005D2C69" w:rsidRPr="00D34732" w:rsidSect="00A61397">
      <w:headerReference w:type="default" r:id="rId98"/>
      <w:footerReference w:type="default" r:id="rId99"/>
      <w:headerReference w:type="first" r:id="rId100"/>
      <w:pgSz w:w="11906" w:h="16838" w:code="9"/>
      <w:pgMar w:top="2694" w:right="849" w:bottom="1276" w:left="1417" w:header="420" w:footer="23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C6F07" w:rsidRDefault="009C6F07" w:rsidP="00B836CA">
      <w:pPr>
        <w:spacing w:after="0" w:line="240" w:lineRule="auto"/>
      </w:pPr>
      <w:r>
        <w:separator/>
      </w:r>
    </w:p>
  </w:endnote>
  <w:endnote w:type="continuationSeparator" w:id="0">
    <w:p w:rsidR="009C6F07" w:rsidRDefault="009C6F07" w:rsidP="00B836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Bernard MT Condensed">
    <w:panose1 w:val="020508060609050204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22956035"/>
      <w:docPartObj>
        <w:docPartGallery w:val="Page Numbers (Bottom of Page)"/>
        <w:docPartUnique/>
      </w:docPartObj>
    </w:sdtPr>
    <w:sdtEndPr>
      <w:rPr>
        <w:rFonts w:ascii="Times New Roman" w:hAnsi="Times New Roman" w:cs="Times New Roman"/>
        <w:b/>
      </w:rPr>
    </w:sdtEndPr>
    <w:sdtContent>
      <w:p w:rsidR="00C8493E" w:rsidRPr="00A61397" w:rsidRDefault="00C8493E">
        <w:pPr>
          <w:pStyle w:val="Footer"/>
          <w:jc w:val="right"/>
          <w:rPr>
            <w:rFonts w:ascii="Times New Roman" w:hAnsi="Times New Roman" w:cs="Times New Roman"/>
            <w:b/>
          </w:rPr>
        </w:pPr>
        <w:r w:rsidRPr="00A61397">
          <w:rPr>
            <w:rFonts w:ascii="Times New Roman" w:hAnsi="Times New Roman" w:cs="Times New Roman"/>
            <w:b/>
            <w:noProof/>
            <w:lang w:eastAsia="ro-RO"/>
          </w:rPr>
          <mc:AlternateContent>
            <mc:Choice Requires="wps">
              <w:drawing>
                <wp:anchor distT="0" distB="0" distL="114300" distR="114300" simplePos="0" relativeHeight="251667456" behindDoc="0" locked="0" layoutInCell="1" allowOverlap="1" wp14:anchorId="1FF4396C" wp14:editId="774B9E73">
                  <wp:simplePos x="0" y="0"/>
                  <wp:positionH relativeFrom="column">
                    <wp:posOffset>2617</wp:posOffset>
                  </wp:positionH>
                  <wp:positionV relativeFrom="paragraph">
                    <wp:posOffset>8026</wp:posOffset>
                  </wp:positionV>
                  <wp:extent cx="6155690" cy="0"/>
                  <wp:effectExtent l="0" t="0" r="35560" b="19050"/>
                  <wp:wrapNone/>
                  <wp:docPr id="7" name="Straight Connector 7"/>
                  <wp:cNvGraphicFramePr/>
                  <a:graphic xmlns:a="http://schemas.openxmlformats.org/drawingml/2006/main">
                    <a:graphicData uri="http://schemas.microsoft.com/office/word/2010/wordprocessingShape">
                      <wps:wsp>
                        <wps:cNvCnPr/>
                        <wps:spPr>
                          <a:xfrm>
                            <a:off x="0" y="0"/>
                            <a:ext cx="6155690" cy="0"/>
                          </a:xfrm>
                          <a:prstGeom prst="line">
                            <a:avLst/>
                          </a:prstGeom>
                          <a:ln w="25400">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A3C5EB5" id="Straight Connector 7"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2pt,.65pt" to="484.9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" strokecolor="#002060" strokeweight="2pt">
                  <v:stroke joinstyle="miter"/>
                </v:line>
              </w:pict>
            </mc:Fallback>
          </mc:AlternateContent>
        </w:r>
        <w:r w:rsidRPr="00A61397">
          <w:rPr>
            <w:rFonts w:ascii="Times New Roman" w:hAnsi="Times New Roman" w:cs="Times New Roman"/>
            <w:b/>
          </w:rPr>
          <w:fldChar w:fldCharType="begin"/>
        </w:r>
        <w:r w:rsidRPr="00A61397">
          <w:rPr>
            <w:rFonts w:ascii="Times New Roman" w:hAnsi="Times New Roman" w:cs="Times New Roman"/>
            <w:b/>
          </w:rPr>
          <w:instrText xml:space="preserve"> PAGE   \* MERGEFORMAT </w:instrText>
        </w:r>
        <w:r w:rsidRPr="00A61397">
          <w:rPr>
            <w:rFonts w:ascii="Times New Roman" w:hAnsi="Times New Roman" w:cs="Times New Roman"/>
            <w:b/>
          </w:rPr>
          <w:fldChar w:fldCharType="separate"/>
        </w:r>
        <w:r w:rsidR="00F95C2A">
          <w:rPr>
            <w:rFonts w:ascii="Times New Roman" w:hAnsi="Times New Roman" w:cs="Times New Roman"/>
            <w:b/>
            <w:noProof/>
          </w:rPr>
          <w:t>101</w:t>
        </w:r>
        <w:r w:rsidRPr="00A61397">
          <w:rPr>
            <w:rFonts w:ascii="Times New Roman" w:hAnsi="Times New Roman" w:cs="Times New Roman"/>
            <w:b/>
            <w:noProof/>
          </w:rPr>
          <w:fldChar w:fldCharType="end"/>
        </w:r>
      </w:p>
    </w:sdtContent>
  </w:sdt>
  <w:p w:rsidR="00C8493E" w:rsidRPr="005119D1" w:rsidRDefault="00C8493E" w:rsidP="00A61397">
    <w:pPr>
      <w:pStyle w:val="Footer"/>
      <w:jc w:val="center"/>
      <w:rPr>
        <w:rFonts w:ascii="Times New Roman" w:hAnsi="Times New Roman" w:cs="Times New Roman"/>
        <w:b/>
        <w:i/>
        <w:sz w:val="20"/>
        <w:szCs w:val="20"/>
      </w:rPr>
    </w:pPr>
    <w:r w:rsidRPr="00EE5893">
      <w:rPr>
        <w:rFonts w:ascii="Times New Roman" w:hAnsi="Times New Roman" w:cs="Times New Roman"/>
        <w:b/>
        <w:i/>
        <w:sz w:val="20"/>
        <w:szCs w:val="20"/>
      </w:rPr>
      <w:t xml:space="preserve">Raport privind controlul intern managerial pe anul </w:t>
    </w:r>
    <w:r>
      <w:rPr>
        <w:rFonts w:ascii="Times New Roman" w:hAnsi="Times New Roman" w:cs="Times New Roman"/>
        <w:b/>
        <w:i/>
        <w:sz w:val="20"/>
        <w:szCs w:val="20"/>
      </w:rPr>
      <w:t>2016</w:t>
    </w:r>
  </w:p>
  <w:p w:rsidR="00C8493E" w:rsidRPr="005119D1" w:rsidRDefault="00C8493E" w:rsidP="005119D1">
    <w:pPr>
      <w:pStyle w:val="Footer"/>
      <w:jc w:val="center"/>
      <w:rPr>
        <w:rFonts w:ascii="Times New Roman" w:hAnsi="Times New Roman" w:cs="Times New Roman"/>
        <w:b/>
        <w:i/>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C6F07" w:rsidRDefault="009C6F07" w:rsidP="00B836CA">
      <w:pPr>
        <w:spacing w:after="0" w:line="240" w:lineRule="auto"/>
      </w:pPr>
      <w:r>
        <w:separator/>
      </w:r>
    </w:p>
  </w:footnote>
  <w:footnote w:type="continuationSeparator" w:id="0">
    <w:p w:rsidR="009C6F07" w:rsidRDefault="009C6F07" w:rsidP="00B836C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493E" w:rsidRDefault="00C8493E">
    <w:pPr>
      <w:pStyle w:val="Header"/>
    </w:pPr>
    <w:r>
      <w:rPr>
        <w:noProof/>
        <w:lang w:eastAsia="ro-RO"/>
      </w:rPr>
      <mc:AlternateContent>
        <mc:Choice Requires="wps">
          <w:drawing>
            <wp:anchor distT="0" distB="0" distL="114300" distR="114300" simplePos="0" relativeHeight="251661312" behindDoc="0" locked="0" layoutInCell="1" allowOverlap="1">
              <wp:simplePos x="0" y="0"/>
              <wp:positionH relativeFrom="column">
                <wp:posOffset>3972</wp:posOffset>
              </wp:positionH>
              <wp:positionV relativeFrom="paragraph">
                <wp:posOffset>1123728</wp:posOffset>
              </wp:positionV>
              <wp:extent cx="6156252" cy="0"/>
              <wp:effectExtent l="0" t="0" r="35560" b="19050"/>
              <wp:wrapNone/>
              <wp:docPr id="5" name="Straight Connector 5"/>
              <wp:cNvGraphicFramePr/>
              <a:graphic xmlns:a="http://schemas.openxmlformats.org/drawingml/2006/main">
                <a:graphicData uri="http://schemas.microsoft.com/office/word/2010/wordprocessingShape">
                  <wps:wsp>
                    <wps:cNvCnPr/>
                    <wps:spPr>
                      <a:xfrm>
                        <a:off x="0" y="0"/>
                        <a:ext cx="6156252" cy="0"/>
                      </a:xfrm>
                      <a:prstGeom prst="line">
                        <a:avLst/>
                      </a:prstGeom>
                      <a:ln w="25400">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97627C" id="Straight Connector 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3pt,88.5pt" to="485.05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" strokecolor="#002060" strokeweight="2pt">
              <v:stroke joinstyle="miter"/>
            </v:line>
          </w:pict>
        </mc:Fallback>
      </mc:AlternateContent>
    </w:r>
    <w:r w:rsidRPr="005B0F05">
      <w:rPr>
        <w:noProof/>
        <w:lang w:eastAsia="ro-RO"/>
      </w:rPr>
      <w:drawing>
        <wp:inline distT="0" distB="0" distL="0" distR="0" wp14:anchorId="06DAFB7D" wp14:editId="19EE8C6E">
          <wp:extent cx="5760720" cy="1123578"/>
          <wp:effectExtent l="0" t="0" r="0" b="635"/>
          <wp:docPr id="8" name="Picture 8" descr="D:\Profiles\Virginia.Stanila\Documents\Untitle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rofiles\Virginia.Stanila\Documents\Untitled-5.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1123578"/>
                  </a:xfrm>
                  <a:prstGeom prst="rect">
                    <a:avLst/>
                  </a:prstGeom>
                  <a:noFill/>
                  <a:ln>
                    <a:noFill/>
                  </a:ln>
                </pic:spPr>
              </pic:pic>
            </a:graphicData>
          </a:graphic>
        </wp:inline>
      </w:drawing>
    </w:r>
  </w:p>
  <w:p w:rsidR="00C8493E" w:rsidRDefault="00C8493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493E" w:rsidRDefault="00C8493E">
    <w:pPr>
      <w:pStyle w:val="Header"/>
    </w:pPr>
    <w:r>
      <w:rPr>
        <w:noProof/>
        <w:lang w:eastAsia="ro-RO"/>
      </w:rPr>
      <mc:AlternateContent>
        <mc:Choice Requires="wps">
          <w:drawing>
            <wp:anchor distT="0" distB="0" distL="114300" distR="114300" simplePos="0" relativeHeight="251665408" behindDoc="0" locked="0" layoutInCell="1" allowOverlap="1" wp14:anchorId="7F7C9196" wp14:editId="68EA1D0D">
              <wp:simplePos x="0" y="0"/>
              <wp:positionH relativeFrom="column">
                <wp:posOffset>0</wp:posOffset>
              </wp:positionH>
              <wp:positionV relativeFrom="paragraph">
                <wp:posOffset>1113155</wp:posOffset>
              </wp:positionV>
              <wp:extent cx="6156252" cy="0"/>
              <wp:effectExtent l="0" t="0" r="35560" b="19050"/>
              <wp:wrapNone/>
              <wp:docPr id="14" name="Straight Connector 14"/>
              <wp:cNvGraphicFramePr/>
              <a:graphic xmlns:a="http://schemas.openxmlformats.org/drawingml/2006/main">
                <a:graphicData uri="http://schemas.microsoft.com/office/word/2010/wordprocessingShape">
                  <wps:wsp>
                    <wps:cNvCnPr/>
                    <wps:spPr>
                      <a:xfrm>
                        <a:off x="0" y="0"/>
                        <a:ext cx="6156252" cy="0"/>
                      </a:xfrm>
                      <a:prstGeom prst="line">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5DA155D" id="Straight Connector 1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87.65pt" to="484.75pt,8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" strokecolor="#002060" strokeweight="1.5pt">
              <v:stroke joinstyle="miter"/>
            </v:line>
          </w:pict>
        </mc:Fallback>
      </mc:AlternateContent>
    </w:r>
    <w:r w:rsidRPr="005B0F05">
      <w:rPr>
        <w:noProof/>
        <w:lang w:eastAsia="ro-RO"/>
      </w:rPr>
      <w:drawing>
        <wp:inline distT="0" distB="0" distL="0" distR="0" wp14:anchorId="5A20B8F5" wp14:editId="34647847">
          <wp:extent cx="5760720" cy="1123315"/>
          <wp:effectExtent l="0" t="0" r="0" b="635"/>
          <wp:docPr id="9" name="Picture 3" descr="D:\Profiles\Virginia.Stanila\Documents\Untitle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rofiles\Virginia.Stanila\Documents\Untitled-5.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1123315"/>
                  </a:xfrm>
                  <a:prstGeom prst="rect">
                    <a:avLst/>
                  </a:prstGeom>
                  <a:noFill/>
                  <a:ln>
                    <a:noFill/>
                  </a:ln>
                </pic:spPr>
              </pic:pic>
            </a:graphicData>
          </a:graphic>
        </wp:inline>
      </w:drawing>
    </w:r>
  </w:p>
  <w:p w:rsidR="00C8493E" w:rsidRDefault="00C8493E">
    <w:pPr>
      <w:pStyle w:val="Header"/>
    </w:pPr>
  </w:p>
  <w:p w:rsidR="00C8493E" w:rsidRDefault="00C8493E">
    <w:pPr>
      <w:pStyle w:val="Header"/>
    </w:pPr>
  </w:p>
  <w:p w:rsidR="00C8493E" w:rsidRDefault="00C8493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9CDD"/>
      </v:shape>
    </w:pict>
  </w:numPicBullet>
  <w:abstractNum w:abstractNumId="0" w15:restartNumberingAfterBreak="0">
    <w:nsid w:val="01A255E0"/>
    <w:multiLevelType w:val="hybridMultilevel"/>
    <w:tmpl w:val="5718CDDE"/>
    <w:lvl w:ilvl="0" w:tplc="04180017">
      <w:start w:val="1"/>
      <w:numFmt w:val="lowerLetter"/>
      <w:lvlText w:val="%1)"/>
      <w:lvlJc w:val="left"/>
      <w:pPr>
        <w:ind w:left="1429" w:hanging="360"/>
      </w:pPr>
    </w:lvl>
    <w:lvl w:ilvl="1" w:tplc="04180019" w:tentative="1">
      <w:start w:val="1"/>
      <w:numFmt w:val="lowerLetter"/>
      <w:lvlText w:val="%2."/>
      <w:lvlJc w:val="left"/>
      <w:pPr>
        <w:ind w:left="2149" w:hanging="360"/>
      </w:pPr>
    </w:lvl>
    <w:lvl w:ilvl="2" w:tplc="0418001B" w:tentative="1">
      <w:start w:val="1"/>
      <w:numFmt w:val="lowerRoman"/>
      <w:lvlText w:val="%3."/>
      <w:lvlJc w:val="right"/>
      <w:pPr>
        <w:ind w:left="2869" w:hanging="180"/>
      </w:pPr>
    </w:lvl>
    <w:lvl w:ilvl="3" w:tplc="0418000F" w:tentative="1">
      <w:start w:val="1"/>
      <w:numFmt w:val="decimal"/>
      <w:lvlText w:val="%4."/>
      <w:lvlJc w:val="left"/>
      <w:pPr>
        <w:ind w:left="3589" w:hanging="360"/>
      </w:pPr>
    </w:lvl>
    <w:lvl w:ilvl="4" w:tplc="04180019" w:tentative="1">
      <w:start w:val="1"/>
      <w:numFmt w:val="lowerLetter"/>
      <w:lvlText w:val="%5."/>
      <w:lvlJc w:val="left"/>
      <w:pPr>
        <w:ind w:left="4309" w:hanging="360"/>
      </w:pPr>
    </w:lvl>
    <w:lvl w:ilvl="5" w:tplc="0418001B" w:tentative="1">
      <w:start w:val="1"/>
      <w:numFmt w:val="lowerRoman"/>
      <w:lvlText w:val="%6."/>
      <w:lvlJc w:val="right"/>
      <w:pPr>
        <w:ind w:left="5029" w:hanging="180"/>
      </w:pPr>
    </w:lvl>
    <w:lvl w:ilvl="6" w:tplc="0418000F" w:tentative="1">
      <w:start w:val="1"/>
      <w:numFmt w:val="decimal"/>
      <w:lvlText w:val="%7."/>
      <w:lvlJc w:val="left"/>
      <w:pPr>
        <w:ind w:left="5749" w:hanging="360"/>
      </w:pPr>
    </w:lvl>
    <w:lvl w:ilvl="7" w:tplc="04180019" w:tentative="1">
      <w:start w:val="1"/>
      <w:numFmt w:val="lowerLetter"/>
      <w:lvlText w:val="%8."/>
      <w:lvlJc w:val="left"/>
      <w:pPr>
        <w:ind w:left="6469" w:hanging="360"/>
      </w:pPr>
    </w:lvl>
    <w:lvl w:ilvl="8" w:tplc="0418001B" w:tentative="1">
      <w:start w:val="1"/>
      <w:numFmt w:val="lowerRoman"/>
      <w:lvlText w:val="%9."/>
      <w:lvlJc w:val="right"/>
      <w:pPr>
        <w:ind w:left="7189" w:hanging="180"/>
      </w:pPr>
    </w:lvl>
  </w:abstractNum>
  <w:abstractNum w:abstractNumId="1" w15:restartNumberingAfterBreak="0">
    <w:nsid w:val="04DA3C08"/>
    <w:multiLevelType w:val="hybridMultilevel"/>
    <w:tmpl w:val="8AC09144"/>
    <w:lvl w:ilvl="0" w:tplc="40102AFC">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15:restartNumberingAfterBreak="0">
    <w:nsid w:val="054F4F3B"/>
    <w:multiLevelType w:val="hybridMultilevel"/>
    <w:tmpl w:val="2A9ABF8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3" w15:restartNumberingAfterBreak="0">
    <w:nsid w:val="0F17088B"/>
    <w:multiLevelType w:val="hybridMultilevel"/>
    <w:tmpl w:val="CCD22622"/>
    <w:lvl w:ilvl="0" w:tplc="04180001">
      <w:start w:val="1"/>
      <w:numFmt w:val="bullet"/>
      <w:lvlText w:val=""/>
      <w:lvlJc w:val="left"/>
      <w:pPr>
        <w:ind w:left="1495" w:hanging="360"/>
      </w:pPr>
      <w:rPr>
        <w:rFonts w:ascii="Symbol" w:hAnsi="Symbol" w:hint="default"/>
      </w:rPr>
    </w:lvl>
    <w:lvl w:ilvl="1" w:tplc="04180003" w:tentative="1">
      <w:start w:val="1"/>
      <w:numFmt w:val="bullet"/>
      <w:lvlText w:val="o"/>
      <w:lvlJc w:val="left"/>
      <w:pPr>
        <w:ind w:left="2205" w:hanging="360"/>
      </w:pPr>
      <w:rPr>
        <w:rFonts w:ascii="Courier New" w:hAnsi="Courier New" w:cs="Courier New" w:hint="default"/>
      </w:rPr>
    </w:lvl>
    <w:lvl w:ilvl="2" w:tplc="04180005" w:tentative="1">
      <w:start w:val="1"/>
      <w:numFmt w:val="bullet"/>
      <w:lvlText w:val=""/>
      <w:lvlJc w:val="left"/>
      <w:pPr>
        <w:ind w:left="2925" w:hanging="360"/>
      </w:pPr>
      <w:rPr>
        <w:rFonts w:ascii="Wingdings" w:hAnsi="Wingdings" w:hint="default"/>
      </w:rPr>
    </w:lvl>
    <w:lvl w:ilvl="3" w:tplc="04180001" w:tentative="1">
      <w:start w:val="1"/>
      <w:numFmt w:val="bullet"/>
      <w:lvlText w:val=""/>
      <w:lvlJc w:val="left"/>
      <w:pPr>
        <w:ind w:left="3645" w:hanging="360"/>
      </w:pPr>
      <w:rPr>
        <w:rFonts w:ascii="Symbol" w:hAnsi="Symbol" w:hint="default"/>
      </w:rPr>
    </w:lvl>
    <w:lvl w:ilvl="4" w:tplc="04180003" w:tentative="1">
      <w:start w:val="1"/>
      <w:numFmt w:val="bullet"/>
      <w:lvlText w:val="o"/>
      <w:lvlJc w:val="left"/>
      <w:pPr>
        <w:ind w:left="4365" w:hanging="360"/>
      </w:pPr>
      <w:rPr>
        <w:rFonts w:ascii="Courier New" w:hAnsi="Courier New" w:cs="Courier New" w:hint="default"/>
      </w:rPr>
    </w:lvl>
    <w:lvl w:ilvl="5" w:tplc="04180005" w:tentative="1">
      <w:start w:val="1"/>
      <w:numFmt w:val="bullet"/>
      <w:lvlText w:val=""/>
      <w:lvlJc w:val="left"/>
      <w:pPr>
        <w:ind w:left="5085" w:hanging="360"/>
      </w:pPr>
      <w:rPr>
        <w:rFonts w:ascii="Wingdings" w:hAnsi="Wingdings" w:hint="default"/>
      </w:rPr>
    </w:lvl>
    <w:lvl w:ilvl="6" w:tplc="04180001" w:tentative="1">
      <w:start w:val="1"/>
      <w:numFmt w:val="bullet"/>
      <w:lvlText w:val=""/>
      <w:lvlJc w:val="left"/>
      <w:pPr>
        <w:ind w:left="5805" w:hanging="360"/>
      </w:pPr>
      <w:rPr>
        <w:rFonts w:ascii="Symbol" w:hAnsi="Symbol" w:hint="default"/>
      </w:rPr>
    </w:lvl>
    <w:lvl w:ilvl="7" w:tplc="04180003" w:tentative="1">
      <w:start w:val="1"/>
      <w:numFmt w:val="bullet"/>
      <w:lvlText w:val="o"/>
      <w:lvlJc w:val="left"/>
      <w:pPr>
        <w:ind w:left="6525" w:hanging="360"/>
      </w:pPr>
      <w:rPr>
        <w:rFonts w:ascii="Courier New" w:hAnsi="Courier New" w:cs="Courier New" w:hint="default"/>
      </w:rPr>
    </w:lvl>
    <w:lvl w:ilvl="8" w:tplc="04180005" w:tentative="1">
      <w:start w:val="1"/>
      <w:numFmt w:val="bullet"/>
      <w:lvlText w:val=""/>
      <w:lvlJc w:val="left"/>
      <w:pPr>
        <w:ind w:left="7245" w:hanging="360"/>
      </w:pPr>
      <w:rPr>
        <w:rFonts w:ascii="Wingdings" w:hAnsi="Wingdings" w:hint="default"/>
      </w:rPr>
    </w:lvl>
  </w:abstractNum>
  <w:abstractNum w:abstractNumId="4" w15:restartNumberingAfterBreak="0">
    <w:nsid w:val="0F6C5FDC"/>
    <w:multiLevelType w:val="hybridMultilevel"/>
    <w:tmpl w:val="69F2C046"/>
    <w:lvl w:ilvl="0" w:tplc="04180001">
      <w:start w:val="1"/>
      <w:numFmt w:val="bullet"/>
      <w:lvlText w:val=""/>
      <w:lvlJc w:val="left"/>
      <w:pPr>
        <w:ind w:left="2148" w:hanging="360"/>
      </w:pPr>
      <w:rPr>
        <w:rFonts w:ascii="Symbol" w:hAnsi="Symbol" w:hint="default"/>
      </w:rPr>
    </w:lvl>
    <w:lvl w:ilvl="1" w:tplc="04090003" w:tentative="1">
      <w:start w:val="1"/>
      <w:numFmt w:val="bullet"/>
      <w:lvlText w:val="o"/>
      <w:lvlJc w:val="left"/>
      <w:pPr>
        <w:ind w:left="2868" w:hanging="360"/>
      </w:pPr>
      <w:rPr>
        <w:rFonts w:ascii="Courier New" w:hAnsi="Courier New" w:cs="Courier New" w:hint="default"/>
      </w:rPr>
    </w:lvl>
    <w:lvl w:ilvl="2" w:tplc="04090005" w:tentative="1">
      <w:start w:val="1"/>
      <w:numFmt w:val="bullet"/>
      <w:lvlText w:val=""/>
      <w:lvlJc w:val="left"/>
      <w:pPr>
        <w:ind w:left="3588" w:hanging="360"/>
      </w:pPr>
      <w:rPr>
        <w:rFonts w:ascii="Wingdings" w:hAnsi="Wingdings" w:hint="default"/>
      </w:rPr>
    </w:lvl>
    <w:lvl w:ilvl="3" w:tplc="04090001" w:tentative="1">
      <w:start w:val="1"/>
      <w:numFmt w:val="bullet"/>
      <w:lvlText w:val=""/>
      <w:lvlJc w:val="left"/>
      <w:pPr>
        <w:ind w:left="4308" w:hanging="360"/>
      </w:pPr>
      <w:rPr>
        <w:rFonts w:ascii="Symbol" w:hAnsi="Symbol" w:hint="default"/>
      </w:rPr>
    </w:lvl>
    <w:lvl w:ilvl="4" w:tplc="04090003" w:tentative="1">
      <w:start w:val="1"/>
      <w:numFmt w:val="bullet"/>
      <w:lvlText w:val="o"/>
      <w:lvlJc w:val="left"/>
      <w:pPr>
        <w:ind w:left="5028" w:hanging="360"/>
      </w:pPr>
      <w:rPr>
        <w:rFonts w:ascii="Courier New" w:hAnsi="Courier New" w:cs="Courier New" w:hint="default"/>
      </w:rPr>
    </w:lvl>
    <w:lvl w:ilvl="5" w:tplc="04090005" w:tentative="1">
      <w:start w:val="1"/>
      <w:numFmt w:val="bullet"/>
      <w:lvlText w:val=""/>
      <w:lvlJc w:val="left"/>
      <w:pPr>
        <w:ind w:left="5748" w:hanging="360"/>
      </w:pPr>
      <w:rPr>
        <w:rFonts w:ascii="Wingdings" w:hAnsi="Wingdings" w:hint="default"/>
      </w:rPr>
    </w:lvl>
    <w:lvl w:ilvl="6" w:tplc="04090001" w:tentative="1">
      <w:start w:val="1"/>
      <w:numFmt w:val="bullet"/>
      <w:lvlText w:val=""/>
      <w:lvlJc w:val="left"/>
      <w:pPr>
        <w:ind w:left="6468" w:hanging="360"/>
      </w:pPr>
      <w:rPr>
        <w:rFonts w:ascii="Symbol" w:hAnsi="Symbol" w:hint="default"/>
      </w:rPr>
    </w:lvl>
    <w:lvl w:ilvl="7" w:tplc="04090003" w:tentative="1">
      <w:start w:val="1"/>
      <w:numFmt w:val="bullet"/>
      <w:lvlText w:val="o"/>
      <w:lvlJc w:val="left"/>
      <w:pPr>
        <w:ind w:left="7188" w:hanging="360"/>
      </w:pPr>
      <w:rPr>
        <w:rFonts w:ascii="Courier New" w:hAnsi="Courier New" w:cs="Courier New" w:hint="default"/>
      </w:rPr>
    </w:lvl>
    <w:lvl w:ilvl="8" w:tplc="04090005" w:tentative="1">
      <w:start w:val="1"/>
      <w:numFmt w:val="bullet"/>
      <w:lvlText w:val=""/>
      <w:lvlJc w:val="left"/>
      <w:pPr>
        <w:ind w:left="7908" w:hanging="360"/>
      </w:pPr>
      <w:rPr>
        <w:rFonts w:ascii="Wingdings" w:hAnsi="Wingdings" w:hint="default"/>
      </w:rPr>
    </w:lvl>
  </w:abstractNum>
  <w:abstractNum w:abstractNumId="5" w15:restartNumberingAfterBreak="0">
    <w:nsid w:val="12237594"/>
    <w:multiLevelType w:val="hybridMultilevel"/>
    <w:tmpl w:val="DF9E58CA"/>
    <w:lvl w:ilvl="0" w:tplc="04180001">
      <w:start w:val="1"/>
      <w:numFmt w:val="bullet"/>
      <w:lvlText w:val=""/>
      <w:lvlJc w:val="left"/>
      <w:pPr>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6" w15:restartNumberingAfterBreak="0">
    <w:nsid w:val="13DE6EDC"/>
    <w:multiLevelType w:val="hybridMultilevel"/>
    <w:tmpl w:val="836C5A7C"/>
    <w:lvl w:ilvl="0" w:tplc="04180001">
      <w:start w:val="1"/>
      <w:numFmt w:val="bullet"/>
      <w:lvlText w:val=""/>
      <w:lvlJc w:val="left"/>
      <w:pPr>
        <w:ind w:left="1429" w:hanging="360"/>
      </w:pPr>
      <w:rPr>
        <w:rFonts w:ascii="Symbol" w:hAnsi="Symbol"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7" w15:restartNumberingAfterBreak="0">
    <w:nsid w:val="140834A2"/>
    <w:multiLevelType w:val="hybridMultilevel"/>
    <w:tmpl w:val="D2465CD2"/>
    <w:lvl w:ilvl="0" w:tplc="04180001">
      <w:start w:val="1"/>
      <w:numFmt w:val="bullet"/>
      <w:lvlText w:val=""/>
      <w:lvlJc w:val="left"/>
      <w:pPr>
        <w:ind w:left="1495" w:hanging="360"/>
      </w:pPr>
      <w:rPr>
        <w:rFonts w:ascii="Symbol" w:hAnsi="Symbol" w:hint="default"/>
      </w:rPr>
    </w:lvl>
    <w:lvl w:ilvl="1" w:tplc="04180003" w:tentative="1">
      <w:start w:val="1"/>
      <w:numFmt w:val="bullet"/>
      <w:lvlText w:val="o"/>
      <w:lvlJc w:val="left"/>
      <w:pPr>
        <w:ind w:left="2205" w:hanging="360"/>
      </w:pPr>
      <w:rPr>
        <w:rFonts w:ascii="Courier New" w:hAnsi="Courier New" w:cs="Courier New" w:hint="default"/>
      </w:rPr>
    </w:lvl>
    <w:lvl w:ilvl="2" w:tplc="04180005" w:tentative="1">
      <w:start w:val="1"/>
      <w:numFmt w:val="bullet"/>
      <w:lvlText w:val=""/>
      <w:lvlJc w:val="left"/>
      <w:pPr>
        <w:ind w:left="2925" w:hanging="360"/>
      </w:pPr>
      <w:rPr>
        <w:rFonts w:ascii="Wingdings" w:hAnsi="Wingdings" w:hint="default"/>
      </w:rPr>
    </w:lvl>
    <w:lvl w:ilvl="3" w:tplc="04180001" w:tentative="1">
      <w:start w:val="1"/>
      <w:numFmt w:val="bullet"/>
      <w:lvlText w:val=""/>
      <w:lvlJc w:val="left"/>
      <w:pPr>
        <w:ind w:left="3645" w:hanging="360"/>
      </w:pPr>
      <w:rPr>
        <w:rFonts w:ascii="Symbol" w:hAnsi="Symbol" w:hint="default"/>
      </w:rPr>
    </w:lvl>
    <w:lvl w:ilvl="4" w:tplc="04180003" w:tentative="1">
      <w:start w:val="1"/>
      <w:numFmt w:val="bullet"/>
      <w:lvlText w:val="o"/>
      <w:lvlJc w:val="left"/>
      <w:pPr>
        <w:ind w:left="4365" w:hanging="360"/>
      </w:pPr>
      <w:rPr>
        <w:rFonts w:ascii="Courier New" w:hAnsi="Courier New" w:cs="Courier New" w:hint="default"/>
      </w:rPr>
    </w:lvl>
    <w:lvl w:ilvl="5" w:tplc="04180005" w:tentative="1">
      <w:start w:val="1"/>
      <w:numFmt w:val="bullet"/>
      <w:lvlText w:val=""/>
      <w:lvlJc w:val="left"/>
      <w:pPr>
        <w:ind w:left="5085" w:hanging="360"/>
      </w:pPr>
      <w:rPr>
        <w:rFonts w:ascii="Wingdings" w:hAnsi="Wingdings" w:hint="default"/>
      </w:rPr>
    </w:lvl>
    <w:lvl w:ilvl="6" w:tplc="04180001" w:tentative="1">
      <w:start w:val="1"/>
      <w:numFmt w:val="bullet"/>
      <w:lvlText w:val=""/>
      <w:lvlJc w:val="left"/>
      <w:pPr>
        <w:ind w:left="5805" w:hanging="360"/>
      </w:pPr>
      <w:rPr>
        <w:rFonts w:ascii="Symbol" w:hAnsi="Symbol" w:hint="default"/>
      </w:rPr>
    </w:lvl>
    <w:lvl w:ilvl="7" w:tplc="04180003" w:tentative="1">
      <w:start w:val="1"/>
      <w:numFmt w:val="bullet"/>
      <w:lvlText w:val="o"/>
      <w:lvlJc w:val="left"/>
      <w:pPr>
        <w:ind w:left="6525" w:hanging="360"/>
      </w:pPr>
      <w:rPr>
        <w:rFonts w:ascii="Courier New" w:hAnsi="Courier New" w:cs="Courier New" w:hint="default"/>
      </w:rPr>
    </w:lvl>
    <w:lvl w:ilvl="8" w:tplc="04180005" w:tentative="1">
      <w:start w:val="1"/>
      <w:numFmt w:val="bullet"/>
      <w:lvlText w:val=""/>
      <w:lvlJc w:val="left"/>
      <w:pPr>
        <w:ind w:left="7245" w:hanging="360"/>
      </w:pPr>
      <w:rPr>
        <w:rFonts w:ascii="Wingdings" w:hAnsi="Wingdings" w:hint="default"/>
      </w:rPr>
    </w:lvl>
  </w:abstractNum>
  <w:abstractNum w:abstractNumId="8" w15:restartNumberingAfterBreak="0">
    <w:nsid w:val="14A65A2B"/>
    <w:multiLevelType w:val="hybridMultilevel"/>
    <w:tmpl w:val="BD04FADC"/>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9" w15:restartNumberingAfterBreak="0">
    <w:nsid w:val="14E972B8"/>
    <w:multiLevelType w:val="hybridMultilevel"/>
    <w:tmpl w:val="A1BEA0D8"/>
    <w:lvl w:ilvl="0" w:tplc="04180001">
      <w:start w:val="1"/>
      <w:numFmt w:val="bullet"/>
      <w:lvlText w:val=""/>
      <w:lvlJc w:val="left"/>
      <w:pPr>
        <w:ind w:left="1495" w:hanging="360"/>
      </w:pPr>
      <w:rPr>
        <w:rFonts w:ascii="Symbol" w:hAnsi="Symbol" w:hint="default"/>
      </w:rPr>
    </w:lvl>
    <w:lvl w:ilvl="1" w:tplc="04180003" w:tentative="1">
      <w:start w:val="1"/>
      <w:numFmt w:val="bullet"/>
      <w:lvlText w:val="o"/>
      <w:lvlJc w:val="left"/>
      <w:pPr>
        <w:ind w:left="2205" w:hanging="360"/>
      </w:pPr>
      <w:rPr>
        <w:rFonts w:ascii="Courier New" w:hAnsi="Courier New" w:cs="Courier New" w:hint="default"/>
      </w:rPr>
    </w:lvl>
    <w:lvl w:ilvl="2" w:tplc="04180005" w:tentative="1">
      <w:start w:val="1"/>
      <w:numFmt w:val="bullet"/>
      <w:lvlText w:val=""/>
      <w:lvlJc w:val="left"/>
      <w:pPr>
        <w:ind w:left="2925" w:hanging="360"/>
      </w:pPr>
      <w:rPr>
        <w:rFonts w:ascii="Wingdings" w:hAnsi="Wingdings" w:hint="default"/>
      </w:rPr>
    </w:lvl>
    <w:lvl w:ilvl="3" w:tplc="04180001" w:tentative="1">
      <w:start w:val="1"/>
      <w:numFmt w:val="bullet"/>
      <w:lvlText w:val=""/>
      <w:lvlJc w:val="left"/>
      <w:pPr>
        <w:ind w:left="3645" w:hanging="360"/>
      </w:pPr>
      <w:rPr>
        <w:rFonts w:ascii="Symbol" w:hAnsi="Symbol" w:hint="default"/>
      </w:rPr>
    </w:lvl>
    <w:lvl w:ilvl="4" w:tplc="04180003" w:tentative="1">
      <w:start w:val="1"/>
      <w:numFmt w:val="bullet"/>
      <w:lvlText w:val="o"/>
      <w:lvlJc w:val="left"/>
      <w:pPr>
        <w:ind w:left="4365" w:hanging="360"/>
      </w:pPr>
      <w:rPr>
        <w:rFonts w:ascii="Courier New" w:hAnsi="Courier New" w:cs="Courier New" w:hint="default"/>
      </w:rPr>
    </w:lvl>
    <w:lvl w:ilvl="5" w:tplc="04180005" w:tentative="1">
      <w:start w:val="1"/>
      <w:numFmt w:val="bullet"/>
      <w:lvlText w:val=""/>
      <w:lvlJc w:val="left"/>
      <w:pPr>
        <w:ind w:left="5085" w:hanging="360"/>
      </w:pPr>
      <w:rPr>
        <w:rFonts w:ascii="Wingdings" w:hAnsi="Wingdings" w:hint="default"/>
      </w:rPr>
    </w:lvl>
    <w:lvl w:ilvl="6" w:tplc="04180001" w:tentative="1">
      <w:start w:val="1"/>
      <w:numFmt w:val="bullet"/>
      <w:lvlText w:val=""/>
      <w:lvlJc w:val="left"/>
      <w:pPr>
        <w:ind w:left="5805" w:hanging="360"/>
      </w:pPr>
      <w:rPr>
        <w:rFonts w:ascii="Symbol" w:hAnsi="Symbol" w:hint="default"/>
      </w:rPr>
    </w:lvl>
    <w:lvl w:ilvl="7" w:tplc="04180003" w:tentative="1">
      <w:start w:val="1"/>
      <w:numFmt w:val="bullet"/>
      <w:lvlText w:val="o"/>
      <w:lvlJc w:val="left"/>
      <w:pPr>
        <w:ind w:left="6525" w:hanging="360"/>
      </w:pPr>
      <w:rPr>
        <w:rFonts w:ascii="Courier New" w:hAnsi="Courier New" w:cs="Courier New" w:hint="default"/>
      </w:rPr>
    </w:lvl>
    <w:lvl w:ilvl="8" w:tplc="04180005" w:tentative="1">
      <w:start w:val="1"/>
      <w:numFmt w:val="bullet"/>
      <w:lvlText w:val=""/>
      <w:lvlJc w:val="left"/>
      <w:pPr>
        <w:ind w:left="7245" w:hanging="360"/>
      </w:pPr>
      <w:rPr>
        <w:rFonts w:ascii="Wingdings" w:hAnsi="Wingdings" w:hint="default"/>
      </w:rPr>
    </w:lvl>
  </w:abstractNum>
  <w:abstractNum w:abstractNumId="10" w15:restartNumberingAfterBreak="0">
    <w:nsid w:val="15FE5B35"/>
    <w:multiLevelType w:val="hybridMultilevel"/>
    <w:tmpl w:val="72DCF540"/>
    <w:lvl w:ilvl="0" w:tplc="04180001">
      <w:start w:val="1"/>
      <w:numFmt w:val="bullet"/>
      <w:lvlText w:val=""/>
      <w:lvlJc w:val="left"/>
      <w:pPr>
        <w:ind w:left="928"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69925AA"/>
    <w:multiLevelType w:val="hybridMultilevel"/>
    <w:tmpl w:val="5570247A"/>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2" w15:restartNumberingAfterBreak="0">
    <w:nsid w:val="177E78A3"/>
    <w:multiLevelType w:val="hybridMultilevel"/>
    <w:tmpl w:val="D13A4706"/>
    <w:lvl w:ilvl="0" w:tplc="04180001">
      <w:start w:val="1"/>
      <w:numFmt w:val="bullet"/>
      <w:lvlText w:val=""/>
      <w:lvlJc w:val="left"/>
      <w:pPr>
        <w:ind w:left="1920" w:hanging="360"/>
      </w:pPr>
      <w:rPr>
        <w:rFonts w:ascii="Symbol" w:hAnsi="Symbol" w:hint="default"/>
      </w:rPr>
    </w:lvl>
    <w:lvl w:ilvl="1" w:tplc="04180003" w:tentative="1">
      <w:start w:val="1"/>
      <w:numFmt w:val="bullet"/>
      <w:lvlText w:val="o"/>
      <w:lvlJc w:val="left"/>
      <w:pPr>
        <w:ind w:left="2640" w:hanging="360"/>
      </w:pPr>
      <w:rPr>
        <w:rFonts w:ascii="Courier New" w:hAnsi="Courier New" w:cs="Courier New" w:hint="default"/>
      </w:rPr>
    </w:lvl>
    <w:lvl w:ilvl="2" w:tplc="04180005" w:tentative="1">
      <w:start w:val="1"/>
      <w:numFmt w:val="bullet"/>
      <w:lvlText w:val=""/>
      <w:lvlJc w:val="left"/>
      <w:pPr>
        <w:ind w:left="3360" w:hanging="360"/>
      </w:pPr>
      <w:rPr>
        <w:rFonts w:ascii="Wingdings" w:hAnsi="Wingdings" w:hint="default"/>
      </w:rPr>
    </w:lvl>
    <w:lvl w:ilvl="3" w:tplc="04180001" w:tentative="1">
      <w:start w:val="1"/>
      <w:numFmt w:val="bullet"/>
      <w:lvlText w:val=""/>
      <w:lvlJc w:val="left"/>
      <w:pPr>
        <w:ind w:left="4080" w:hanging="360"/>
      </w:pPr>
      <w:rPr>
        <w:rFonts w:ascii="Symbol" w:hAnsi="Symbol" w:hint="default"/>
      </w:rPr>
    </w:lvl>
    <w:lvl w:ilvl="4" w:tplc="04180003" w:tentative="1">
      <w:start w:val="1"/>
      <w:numFmt w:val="bullet"/>
      <w:lvlText w:val="o"/>
      <w:lvlJc w:val="left"/>
      <w:pPr>
        <w:ind w:left="4800" w:hanging="360"/>
      </w:pPr>
      <w:rPr>
        <w:rFonts w:ascii="Courier New" w:hAnsi="Courier New" w:cs="Courier New" w:hint="default"/>
      </w:rPr>
    </w:lvl>
    <w:lvl w:ilvl="5" w:tplc="04180005" w:tentative="1">
      <w:start w:val="1"/>
      <w:numFmt w:val="bullet"/>
      <w:lvlText w:val=""/>
      <w:lvlJc w:val="left"/>
      <w:pPr>
        <w:ind w:left="5520" w:hanging="360"/>
      </w:pPr>
      <w:rPr>
        <w:rFonts w:ascii="Wingdings" w:hAnsi="Wingdings" w:hint="default"/>
      </w:rPr>
    </w:lvl>
    <w:lvl w:ilvl="6" w:tplc="04180001" w:tentative="1">
      <w:start w:val="1"/>
      <w:numFmt w:val="bullet"/>
      <w:lvlText w:val=""/>
      <w:lvlJc w:val="left"/>
      <w:pPr>
        <w:ind w:left="6240" w:hanging="360"/>
      </w:pPr>
      <w:rPr>
        <w:rFonts w:ascii="Symbol" w:hAnsi="Symbol" w:hint="default"/>
      </w:rPr>
    </w:lvl>
    <w:lvl w:ilvl="7" w:tplc="04180003" w:tentative="1">
      <w:start w:val="1"/>
      <w:numFmt w:val="bullet"/>
      <w:lvlText w:val="o"/>
      <w:lvlJc w:val="left"/>
      <w:pPr>
        <w:ind w:left="6960" w:hanging="360"/>
      </w:pPr>
      <w:rPr>
        <w:rFonts w:ascii="Courier New" w:hAnsi="Courier New" w:cs="Courier New" w:hint="default"/>
      </w:rPr>
    </w:lvl>
    <w:lvl w:ilvl="8" w:tplc="04180005" w:tentative="1">
      <w:start w:val="1"/>
      <w:numFmt w:val="bullet"/>
      <w:lvlText w:val=""/>
      <w:lvlJc w:val="left"/>
      <w:pPr>
        <w:ind w:left="7680" w:hanging="360"/>
      </w:pPr>
      <w:rPr>
        <w:rFonts w:ascii="Wingdings" w:hAnsi="Wingdings" w:hint="default"/>
      </w:rPr>
    </w:lvl>
  </w:abstractNum>
  <w:abstractNum w:abstractNumId="13" w15:restartNumberingAfterBreak="0">
    <w:nsid w:val="18702EC9"/>
    <w:multiLevelType w:val="hybridMultilevel"/>
    <w:tmpl w:val="7720A5B6"/>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4" w15:restartNumberingAfterBreak="0">
    <w:nsid w:val="196034E7"/>
    <w:multiLevelType w:val="hybridMultilevel"/>
    <w:tmpl w:val="697896D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D712CD7"/>
    <w:multiLevelType w:val="hybridMultilevel"/>
    <w:tmpl w:val="B7E8E13A"/>
    <w:lvl w:ilvl="0" w:tplc="0418000B">
      <w:start w:val="1"/>
      <w:numFmt w:val="bullet"/>
      <w:lvlText w:val=""/>
      <w:lvlJc w:val="left"/>
      <w:pPr>
        <w:ind w:left="1068" w:hanging="360"/>
      </w:pPr>
      <w:rPr>
        <w:rFonts w:ascii="Wingdings" w:hAnsi="Wingdings" w:hint="default"/>
        <w:color w:val="auto"/>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6" w15:restartNumberingAfterBreak="0">
    <w:nsid w:val="1E886C00"/>
    <w:multiLevelType w:val="hybridMultilevel"/>
    <w:tmpl w:val="0EAADF7A"/>
    <w:lvl w:ilvl="0" w:tplc="04180001">
      <w:start w:val="1"/>
      <w:numFmt w:val="bullet"/>
      <w:lvlText w:val=""/>
      <w:lvlJc w:val="left"/>
      <w:pPr>
        <w:ind w:left="1495" w:hanging="360"/>
      </w:pPr>
      <w:rPr>
        <w:rFonts w:ascii="Symbol" w:hAnsi="Symbol" w:hint="default"/>
      </w:rPr>
    </w:lvl>
    <w:lvl w:ilvl="1" w:tplc="04180003" w:tentative="1">
      <w:start w:val="1"/>
      <w:numFmt w:val="bullet"/>
      <w:lvlText w:val="o"/>
      <w:lvlJc w:val="left"/>
      <w:pPr>
        <w:ind w:left="2205" w:hanging="360"/>
      </w:pPr>
      <w:rPr>
        <w:rFonts w:ascii="Courier New" w:hAnsi="Courier New" w:cs="Courier New" w:hint="default"/>
      </w:rPr>
    </w:lvl>
    <w:lvl w:ilvl="2" w:tplc="04180005" w:tentative="1">
      <w:start w:val="1"/>
      <w:numFmt w:val="bullet"/>
      <w:lvlText w:val=""/>
      <w:lvlJc w:val="left"/>
      <w:pPr>
        <w:ind w:left="2925" w:hanging="360"/>
      </w:pPr>
      <w:rPr>
        <w:rFonts w:ascii="Wingdings" w:hAnsi="Wingdings" w:hint="default"/>
      </w:rPr>
    </w:lvl>
    <w:lvl w:ilvl="3" w:tplc="04180001" w:tentative="1">
      <w:start w:val="1"/>
      <w:numFmt w:val="bullet"/>
      <w:lvlText w:val=""/>
      <w:lvlJc w:val="left"/>
      <w:pPr>
        <w:ind w:left="3645" w:hanging="360"/>
      </w:pPr>
      <w:rPr>
        <w:rFonts w:ascii="Symbol" w:hAnsi="Symbol" w:hint="default"/>
      </w:rPr>
    </w:lvl>
    <w:lvl w:ilvl="4" w:tplc="04180003" w:tentative="1">
      <w:start w:val="1"/>
      <w:numFmt w:val="bullet"/>
      <w:lvlText w:val="o"/>
      <w:lvlJc w:val="left"/>
      <w:pPr>
        <w:ind w:left="4365" w:hanging="360"/>
      </w:pPr>
      <w:rPr>
        <w:rFonts w:ascii="Courier New" w:hAnsi="Courier New" w:cs="Courier New" w:hint="default"/>
      </w:rPr>
    </w:lvl>
    <w:lvl w:ilvl="5" w:tplc="04180005" w:tentative="1">
      <w:start w:val="1"/>
      <w:numFmt w:val="bullet"/>
      <w:lvlText w:val=""/>
      <w:lvlJc w:val="left"/>
      <w:pPr>
        <w:ind w:left="5085" w:hanging="360"/>
      </w:pPr>
      <w:rPr>
        <w:rFonts w:ascii="Wingdings" w:hAnsi="Wingdings" w:hint="default"/>
      </w:rPr>
    </w:lvl>
    <w:lvl w:ilvl="6" w:tplc="04180001" w:tentative="1">
      <w:start w:val="1"/>
      <w:numFmt w:val="bullet"/>
      <w:lvlText w:val=""/>
      <w:lvlJc w:val="left"/>
      <w:pPr>
        <w:ind w:left="5805" w:hanging="360"/>
      </w:pPr>
      <w:rPr>
        <w:rFonts w:ascii="Symbol" w:hAnsi="Symbol" w:hint="default"/>
      </w:rPr>
    </w:lvl>
    <w:lvl w:ilvl="7" w:tplc="04180003" w:tentative="1">
      <w:start w:val="1"/>
      <w:numFmt w:val="bullet"/>
      <w:lvlText w:val="o"/>
      <w:lvlJc w:val="left"/>
      <w:pPr>
        <w:ind w:left="6525" w:hanging="360"/>
      </w:pPr>
      <w:rPr>
        <w:rFonts w:ascii="Courier New" w:hAnsi="Courier New" w:cs="Courier New" w:hint="default"/>
      </w:rPr>
    </w:lvl>
    <w:lvl w:ilvl="8" w:tplc="04180005" w:tentative="1">
      <w:start w:val="1"/>
      <w:numFmt w:val="bullet"/>
      <w:lvlText w:val=""/>
      <w:lvlJc w:val="left"/>
      <w:pPr>
        <w:ind w:left="7245" w:hanging="360"/>
      </w:pPr>
      <w:rPr>
        <w:rFonts w:ascii="Wingdings" w:hAnsi="Wingdings" w:hint="default"/>
      </w:rPr>
    </w:lvl>
  </w:abstractNum>
  <w:abstractNum w:abstractNumId="17" w15:restartNumberingAfterBreak="0">
    <w:nsid w:val="20C611F3"/>
    <w:multiLevelType w:val="hybridMultilevel"/>
    <w:tmpl w:val="D74C08EE"/>
    <w:lvl w:ilvl="0" w:tplc="0AACB362">
      <w:start w:val="1"/>
      <w:numFmt w:val="bullet"/>
      <w:lvlText w:val=""/>
      <w:lvlJc w:val="left"/>
      <w:pPr>
        <w:ind w:left="1429" w:hanging="360"/>
      </w:pPr>
      <w:rPr>
        <w:rFonts w:ascii="Symbol" w:hAnsi="Symbol" w:hint="default"/>
        <w:sz w:val="24"/>
        <w:szCs w:val="24"/>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18" w15:restartNumberingAfterBreak="0">
    <w:nsid w:val="210D3704"/>
    <w:multiLevelType w:val="hybridMultilevel"/>
    <w:tmpl w:val="83DAE48A"/>
    <w:lvl w:ilvl="0" w:tplc="04180011">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15:restartNumberingAfterBreak="0">
    <w:nsid w:val="25CD500A"/>
    <w:multiLevelType w:val="hybridMultilevel"/>
    <w:tmpl w:val="A65C8B68"/>
    <w:lvl w:ilvl="0" w:tplc="04180001">
      <w:start w:val="1"/>
      <w:numFmt w:val="bullet"/>
      <w:lvlText w:val=""/>
      <w:lvlJc w:val="left"/>
      <w:pPr>
        <w:ind w:left="1495" w:hanging="360"/>
      </w:pPr>
      <w:rPr>
        <w:rFonts w:ascii="Symbol" w:hAnsi="Symbol" w:hint="default"/>
      </w:rPr>
    </w:lvl>
    <w:lvl w:ilvl="1" w:tplc="04180003" w:tentative="1">
      <w:start w:val="1"/>
      <w:numFmt w:val="bullet"/>
      <w:lvlText w:val="o"/>
      <w:lvlJc w:val="left"/>
      <w:pPr>
        <w:ind w:left="2205" w:hanging="360"/>
      </w:pPr>
      <w:rPr>
        <w:rFonts w:ascii="Courier New" w:hAnsi="Courier New" w:cs="Courier New" w:hint="default"/>
      </w:rPr>
    </w:lvl>
    <w:lvl w:ilvl="2" w:tplc="04180005" w:tentative="1">
      <w:start w:val="1"/>
      <w:numFmt w:val="bullet"/>
      <w:lvlText w:val=""/>
      <w:lvlJc w:val="left"/>
      <w:pPr>
        <w:ind w:left="2925" w:hanging="360"/>
      </w:pPr>
      <w:rPr>
        <w:rFonts w:ascii="Wingdings" w:hAnsi="Wingdings" w:hint="default"/>
      </w:rPr>
    </w:lvl>
    <w:lvl w:ilvl="3" w:tplc="04180001" w:tentative="1">
      <w:start w:val="1"/>
      <w:numFmt w:val="bullet"/>
      <w:lvlText w:val=""/>
      <w:lvlJc w:val="left"/>
      <w:pPr>
        <w:ind w:left="3645" w:hanging="360"/>
      </w:pPr>
      <w:rPr>
        <w:rFonts w:ascii="Symbol" w:hAnsi="Symbol" w:hint="default"/>
      </w:rPr>
    </w:lvl>
    <w:lvl w:ilvl="4" w:tplc="04180003" w:tentative="1">
      <w:start w:val="1"/>
      <w:numFmt w:val="bullet"/>
      <w:lvlText w:val="o"/>
      <w:lvlJc w:val="left"/>
      <w:pPr>
        <w:ind w:left="4365" w:hanging="360"/>
      </w:pPr>
      <w:rPr>
        <w:rFonts w:ascii="Courier New" w:hAnsi="Courier New" w:cs="Courier New" w:hint="default"/>
      </w:rPr>
    </w:lvl>
    <w:lvl w:ilvl="5" w:tplc="04180005" w:tentative="1">
      <w:start w:val="1"/>
      <w:numFmt w:val="bullet"/>
      <w:lvlText w:val=""/>
      <w:lvlJc w:val="left"/>
      <w:pPr>
        <w:ind w:left="5085" w:hanging="360"/>
      </w:pPr>
      <w:rPr>
        <w:rFonts w:ascii="Wingdings" w:hAnsi="Wingdings" w:hint="default"/>
      </w:rPr>
    </w:lvl>
    <w:lvl w:ilvl="6" w:tplc="04180001" w:tentative="1">
      <w:start w:val="1"/>
      <w:numFmt w:val="bullet"/>
      <w:lvlText w:val=""/>
      <w:lvlJc w:val="left"/>
      <w:pPr>
        <w:ind w:left="5805" w:hanging="360"/>
      </w:pPr>
      <w:rPr>
        <w:rFonts w:ascii="Symbol" w:hAnsi="Symbol" w:hint="default"/>
      </w:rPr>
    </w:lvl>
    <w:lvl w:ilvl="7" w:tplc="04180003" w:tentative="1">
      <w:start w:val="1"/>
      <w:numFmt w:val="bullet"/>
      <w:lvlText w:val="o"/>
      <w:lvlJc w:val="left"/>
      <w:pPr>
        <w:ind w:left="6525" w:hanging="360"/>
      </w:pPr>
      <w:rPr>
        <w:rFonts w:ascii="Courier New" w:hAnsi="Courier New" w:cs="Courier New" w:hint="default"/>
      </w:rPr>
    </w:lvl>
    <w:lvl w:ilvl="8" w:tplc="04180005" w:tentative="1">
      <w:start w:val="1"/>
      <w:numFmt w:val="bullet"/>
      <w:lvlText w:val=""/>
      <w:lvlJc w:val="left"/>
      <w:pPr>
        <w:ind w:left="7245" w:hanging="360"/>
      </w:pPr>
      <w:rPr>
        <w:rFonts w:ascii="Wingdings" w:hAnsi="Wingdings" w:hint="default"/>
      </w:rPr>
    </w:lvl>
  </w:abstractNum>
  <w:abstractNum w:abstractNumId="20" w15:restartNumberingAfterBreak="0">
    <w:nsid w:val="282D09FC"/>
    <w:multiLevelType w:val="hybridMultilevel"/>
    <w:tmpl w:val="D13A2A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2B6E55CD"/>
    <w:multiLevelType w:val="hybridMultilevel"/>
    <w:tmpl w:val="DF18361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2D167072"/>
    <w:multiLevelType w:val="hybridMultilevel"/>
    <w:tmpl w:val="2B80360A"/>
    <w:lvl w:ilvl="0" w:tplc="04180001">
      <w:start w:val="1"/>
      <w:numFmt w:val="bullet"/>
      <w:lvlText w:val=""/>
      <w:lvlJc w:val="left"/>
      <w:pPr>
        <w:ind w:left="720" w:hanging="360"/>
      </w:pPr>
      <w:rPr>
        <w:rFonts w:ascii="Symbol" w:hAnsi="Symbol" w:hint="default"/>
        <w:sz w:val="24"/>
        <w:szCs w:val="24"/>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2DBE7AF1"/>
    <w:multiLevelType w:val="hybridMultilevel"/>
    <w:tmpl w:val="6150B2B2"/>
    <w:lvl w:ilvl="0" w:tplc="04180001">
      <w:start w:val="1"/>
      <w:numFmt w:val="bullet"/>
      <w:lvlText w:val=""/>
      <w:lvlJc w:val="left"/>
      <w:pPr>
        <w:ind w:left="1495" w:hanging="360"/>
      </w:pPr>
      <w:rPr>
        <w:rFonts w:ascii="Symbol" w:hAnsi="Symbol" w:hint="default"/>
      </w:rPr>
    </w:lvl>
    <w:lvl w:ilvl="1" w:tplc="04180003" w:tentative="1">
      <w:start w:val="1"/>
      <w:numFmt w:val="bullet"/>
      <w:lvlText w:val="o"/>
      <w:lvlJc w:val="left"/>
      <w:pPr>
        <w:ind w:left="2205" w:hanging="360"/>
      </w:pPr>
      <w:rPr>
        <w:rFonts w:ascii="Courier New" w:hAnsi="Courier New" w:cs="Courier New" w:hint="default"/>
      </w:rPr>
    </w:lvl>
    <w:lvl w:ilvl="2" w:tplc="04180005" w:tentative="1">
      <w:start w:val="1"/>
      <w:numFmt w:val="bullet"/>
      <w:lvlText w:val=""/>
      <w:lvlJc w:val="left"/>
      <w:pPr>
        <w:ind w:left="2925" w:hanging="360"/>
      </w:pPr>
      <w:rPr>
        <w:rFonts w:ascii="Wingdings" w:hAnsi="Wingdings" w:hint="default"/>
      </w:rPr>
    </w:lvl>
    <w:lvl w:ilvl="3" w:tplc="04180001" w:tentative="1">
      <w:start w:val="1"/>
      <w:numFmt w:val="bullet"/>
      <w:lvlText w:val=""/>
      <w:lvlJc w:val="left"/>
      <w:pPr>
        <w:ind w:left="3645" w:hanging="360"/>
      </w:pPr>
      <w:rPr>
        <w:rFonts w:ascii="Symbol" w:hAnsi="Symbol" w:hint="default"/>
      </w:rPr>
    </w:lvl>
    <w:lvl w:ilvl="4" w:tplc="04180003" w:tentative="1">
      <w:start w:val="1"/>
      <w:numFmt w:val="bullet"/>
      <w:lvlText w:val="o"/>
      <w:lvlJc w:val="left"/>
      <w:pPr>
        <w:ind w:left="4365" w:hanging="360"/>
      </w:pPr>
      <w:rPr>
        <w:rFonts w:ascii="Courier New" w:hAnsi="Courier New" w:cs="Courier New" w:hint="default"/>
      </w:rPr>
    </w:lvl>
    <w:lvl w:ilvl="5" w:tplc="04180005" w:tentative="1">
      <w:start w:val="1"/>
      <w:numFmt w:val="bullet"/>
      <w:lvlText w:val=""/>
      <w:lvlJc w:val="left"/>
      <w:pPr>
        <w:ind w:left="5085" w:hanging="360"/>
      </w:pPr>
      <w:rPr>
        <w:rFonts w:ascii="Wingdings" w:hAnsi="Wingdings" w:hint="default"/>
      </w:rPr>
    </w:lvl>
    <w:lvl w:ilvl="6" w:tplc="04180001" w:tentative="1">
      <w:start w:val="1"/>
      <w:numFmt w:val="bullet"/>
      <w:lvlText w:val=""/>
      <w:lvlJc w:val="left"/>
      <w:pPr>
        <w:ind w:left="5805" w:hanging="360"/>
      </w:pPr>
      <w:rPr>
        <w:rFonts w:ascii="Symbol" w:hAnsi="Symbol" w:hint="default"/>
      </w:rPr>
    </w:lvl>
    <w:lvl w:ilvl="7" w:tplc="04180003" w:tentative="1">
      <w:start w:val="1"/>
      <w:numFmt w:val="bullet"/>
      <w:lvlText w:val="o"/>
      <w:lvlJc w:val="left"/>
      <w:pPr>
        <w:ind w:left="6525" w:hanging="360"/>
      </w:pPr>
      <w:rPr>
        <w:rFonts w:ascii="Courier New" w:hAnsi="Courier New" w:cs="Courier New" w:hint="default"/>
      </w:rPr>
    </w:lvl>
    <w:lvl w:ilvl="8" w:tplc="04180005" w:tentative="1">
      <w:start w:val="1"/>
      <w:numFmt w:val="bullet"/>
      <w:lvlText w:val=""/>
      <w:lvlJc w:val="left"/>
      <w:pPr>
        <w:ind w:left="7245" w:hanging="360"/>
      </w:pPr>
      <w:rPr>
        <w:rFonts w:ascii="Wingdings" w:hAnsi="Wingdings" w:hint="default"/>
      </w:rPr>
    </w:lvl>
  </w:abstractNum>
  <w:abstractNum w:abstractNumId="24" w15:restartNumberingAfterBreak="0">
    <w:nsid w:val="2F5168BF"/>
    <w:multiLevelType w:val="hybridMultilevel"/>
    <w:tmpl w:val="740A1B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1890FB0"/>
    <w:multiLevelType w:val="hybridMultilevel"/>
    <w:tmpl w:val="0D166838"/>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6" w15:restartNumberingAfterBreak="0">
    <w:nsid w:val="34BA7C34"/>
    <w:multiLevelType w:val="hybridMultilevel"/>
    <w:tmpl w:val="4FF2643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355C3FD6"/>
    <w:multiLevelType w:val="hybridMultilevel"/>
    <w:tmpl w:val="500A0B32"/>
    <w:lvl w:ilvl="0" w:tplc="04180001">
      <w:start w:val="1"/>
      <w:numFmt w:val="bullet"/>
      <w:lvlText w:val=""/>
      <w:lvlJc w:val="left"/>
      <w:pPr>
        <w:ind w:left="1495" w:hanging="360"/>
      </w:pPr>
      <w:rPr>
        <w:rFonts w:ascii="Symbol" w:hAnsi="Symbol" w:hint="default"/>
      </w:rPr>
    </w:lvl>
    <w:lvl w:ilvl="1" w:tplc="04180003" w:tentative="1">
      <w:start w:val="1"/>
      <w:numFmt w:val="bullet"/>
      <w:lvlText w:val="o"/>
      <w:lvlJc w:val="left"/>
      <w:pPr>
        <w:ind w:left="2205" w:hanging="360"/>
      </w:pPr>
      <w:rPr>
        <w:rFonts w:ascii="Courier New" w:hAnsi="Courier New" w:cs="Courier New" w:hint="default"/>
      </w:rPr>
    </w:lvl>
    <w:lvl w:ilvl="2" w:tplc="04180005" w:tentative="1">
      <w:start w:val="1"/>
      <w:numFmt w:val="bullet"/>
      <w:lvlText w:val=""/>
      <w:lvlJc w:val="left"/>
      <w:pPr>
        <w:ind w:left="2925" w:hanging="360"/>
      </w:pPr>
      <w:rPr>
        <w:rFonts w:ascii="Wingdings" w:hAnsi="Wingdings" w:hint="default"/>
      </w:rPr>
    </w:lvl>
    <w:lvl w:ilvl="3" w:tplc="04180001" w:tentative="1">
      <w:start w:val="1"/>
      <w:numFmt w:val="bullet"/>
      <w:lvlText w:val=""/>
      <w:lvlJc w:val="left"/>
      <w:pPr>
        <w:ind w:left="3645" w:hanging="360"/>
      </w:pPr>
      <w:rPr>
        <w:rFonts w:ascii="Symbol" w:hAnsi="Symbol" w:hint="default"/>
      </w:rPr>
    </w:lvl>
    <w:lvl w:ilvl="4" w:tplc="04180003" w:tentative="1">
      <w:start w:val="1"/>
      <w:numFmt w:val="bullet"/>
      <w:lvlText w:val="o"/>
      <w:lvlJc w:val="left"/>
      <w:pPr>
        <w:ind w:left="4365" w:hanging="360"/>
      </w:pPr>
      <w:rPr>
        <w:rFonts w:ascii="Courier New" w:hAnsi="Courier New" w:cs="Courier New" w:hint="default"/>
      </w:rPr>
    </w:lvl>
    <w:lvl w:ilvl="5" w:tplc="04180005" w:tentative="1">
      <w:start w:val="1"/>
      <w:numFmt w:val="bullet"/>
      <w:lvlText w:val=""/>
      <w:lvlJc w:val="left"/>
      <w:pPr>
        <w:ind w:left="5085" w:hanging="360"/>
      </w:pPr>
      <w:rPr>
        <w:rFonts w:ascii="Wingdings" w:hAnsi="Wingdings" w:hint="default"/>
      </w:rPr>
    </w:lvl>
    <w:lvl w:ilvl="6" w:tplc="04180001" w:tentative="1">
      <w:start w:val="1"/>
      <w:numFmt w:val="bullet"/>
      <w:lvlText w:val=""/>
      <w:lvlJc w:val="left"/>
      <w:pPr>
        <w:ind w:left="5805" w:hanging="360"/>
      </w:pPr>
      <w:rPr>
        <w:rFonts w:ascii="Symbol" w:hAnsi="Symbol" w:hint="default"/>
      </w:rPr>
    </w:lvl>
    <w:lvl w:ilvl="7" w:tplc="04180003" w:tentative="1">
      <w:start w:val="1"/>
      <w:numFmt w:val="bullet"/>
      <w:lvlText w:val="o"/>
      <w:lvlJc w:val="left"/>
      <w:pPr>
        <w:ind w:left="6525" w:hanging="360"/>
      </w:pPr>
      <w:rPr>
        <w:rFonts w:ascii="Courier New" w:hAnsi="Courier New" w:cs="Courier New" w:hint="default"/>
      </w:rPr>
    </w:lvl>
    <w:lvl w:ilvl="8" w:tplc="04180005" w:tentative="1">
      <w:start w:val="1"/>
      <w:numFmt w:val="bullet"/>
      <w:lvlText w:val=""/>
      <w:lvlJc w:val="left"/>
      <w:pPr>
        <w:ind w:left="7245" w:hanging="360"/>
      </w:pPr>
      <w:rPr>
        <w:rFonts w:ascii="Wingdings" w:hAnsi="Wingdings" w:hint="default"/>
      </w:rPr>
    </w:lvl>
  </w:abstractNum>
  <w:abstractNum w:abstractNumId="28" w15:restartNumberingAfterBreak="0">
    <w:nsid w:val="35607057"/>
    <w:multiLevelType w:val="hybridMultilevel"/>
    <w:tmpl w:val="13F0574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368C4656"/>
    <w:multiLevelType w:val="hybridMultilevel"/>
    <w:tmpl w:val="2C5E5838"/>
    <w:lvl w:ilvl="0" w:tplc="04180001">
      <w:start w:val="1"/>
      <w:numFmt w:val="bullet"/>
      <w:lvlText w:val=""/>
      <w:lvlJc w:val="left"/>
      <w:pPr>
        <w:ind w:left="1080" w:hanging="360"/>
      </w:pPr>
      <w:rPr>
        <w:rFonts w:ascii="Symbol" w:hAnsi="Symbol" w:hint="default"/>
        <w:sz w:val="24"/>
        <w:szCs w:val="24"/>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30" w15:restartNumberingAfterBreak="0">
    <w:nsid w:val="36B0474B"/>
    <w:multiLevelType w:val="hybridMultilevel"/>
    <w:tmpl w:val="73EEF5C4"/>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1" w15:restartNumberingAfterBreak="0">
    <w:nsid w:val="36D71BFD"/>
    <w:multiLevelType w:val="hybridMultilevel"/>
    <w:tmpl w:val="EC4A7C22"/>
    <w:lvl w:ilvl="0" w:tplc="04180001">
      <w:start w:val="1"/>
      <w:numFmt w:val="bullet"/>
      <w:lvlText w:val=""/>
      <w:lvlJc w:val="left"/>
      <w:pPr>
        <w:ind w:left="4755"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2" w15:restartNumberingAfterBreak="0">
    <w:nsid w:val="38351346"/>
    <w:multiLevelType w:val="hybridMultilevel"/>
    <w:tmpl w:val="2F4E48A8"/>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385609C3"/>
    <w:multiLevelType w:val="hybridMultilevel"/>
    <w:tmpl w:val="A30443D8"/>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34" w15:restartNumberingAfterBreak="0">
    <w:nsid w:val="39AA6E12"/>
    <w:multiLevelType w:val="hybridMultilevel"/>
    <w:tmpl w:val="E200B2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3C374705"/>
    <w:multiLevelType w:val="hybridMultilevel"/>
    <w:tmpl w:val="9B56C364"/>
    <w:lvl w:ilvl="0" w:tplc="40102AFC">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15:restartNumberingAfterBreak="0">
    <w:nsid w:val="3D87246B"/>
    <w:multiLevelType w:val="hybridMultilevel"/>
    <w:tmpl w:val="9DBE26FC"/>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7" w15:restartNumberingAfterBreak="0">
    <w:nsid w:val="3E8B24AE"/>
    <w:multiLevelType w:val="hybridMultilevel"/>
    <w:tmpl w:val="CD409C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3F741833"/>
    <w:multiLevelType w:val="hybridMultilevel"/>
    <w:tmpl w:val="29E6AD2A"/>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9" w15:restartNumberingAfterBreak="0">
    <w:nsid w:val="409842F5"/>
    <w:multiLevelType w:val="hybridMultilevel"/>
    <w:tmpl w:val="E00CE7FE"/>
    <w:lvl w:ilvl="0" w:tplc="04180001">
      <w:start w:val="1"/>
      <w:numFmt w:val="bullet"/>
      <w:lvlText w:val=""/>
      <w:lvlJc w:val="left"/>
      <w:pPr>
        <w:ind w:left="1495" w:hanging="360"/>
      </w:pPr>
      <w:rPr>
        <w:rFonts w:ascii="Symbol" w:hAnsi="Symbol" w:hint="default"/>
      </w:rPr>
    </w:lvl>
    <w:lvl w:ilvl="1" w:tplc="04180003" w:tentative="1">
      <w:start w:val="1"/>
      <w:numFmt w:val="bullet"/>
      <w:lvlText w:val="o"/>
      <w:lvlJc w:val="left"/>
      <w:pPr>
        <w:ind w:left="2205" w:hanging="360"/>
      </w:pPr>
      <w:rPr>
        <w:rFonts w:ascii="Courier New" w:hAnsi="Courier New" w:cs="Courier New" w:hint="default"/>
      </w:rPr>
    </w:lvl>
    <w:lvl w:ilvl="2" w:tplc="04180005" w:tentative="1">
      <w:start w:val="1"/>
      <w:numFmt w:val="bullet"/>
      <w:lvlText w:val=""/>
      <w:lvlJc w:val="left"/>
      <w:pPr>
        <w:ind w:left="2925" w:hanging="360"/>
      </w:pPr>
      <w:rPr>
        <w:rFonts w:ascii="Wingdings" w:hAnsi="Wingdings" w:hint="default"/>
      </w:rPr>
    </w:lvl>
    <w:lvl w:ilvl="3" w:tplc="04180001" w:tentative="1">
      <w:start w:val="1"/>
      <w:numFmt w:val="bullet"/>
      <w:lvlText w:val=""/>
      <w:lvlJc w:val="left"/>
      <w:pPr>
        <w:ind w:left="3645" w:hanging="360"/>
      </w:pPr>
      <w:rPr>
        <w:rFonts w:ascii="Symbol" w:hAnsi="Symbol" w:hint="default"/>
      </w:rPr>
    </w:lvl>
    <w:lvl w:ilvl="4" w:tplc="04180003" w:tentative="1">
      <w:start w:val="1"/>
      <w:numFmt w:val="bullet"/>
      <w:lvlText w:val="o"/>
      <w:lvlJc w:val="left"/>
      <w:pPr>
        <w:ind w:left="4365" w:hanging="360"/>
      </w:pPr>
      <w:rPr>
        <w:rFonts w:ascii="Courier New" w:hAnsi="Courier New" w:cs="Courier New" w:hint="default"/>
      </w:rPr>
    </w:lvl>
    <w:lvl w:ilvl="5" w:tplc="04180005" w:tentative="1">
      <w:start w:val="1"/>
      <w:numFmt w:val="bullet"/>
      <w:lvlText w:val=""/>
      <w:lvlJc w:val="left"/>
      <w:pPr>
        <w:ind w:left="5085" w:hanging="360"/>
      </w:pPr>
      <w:rPr>
        <w:rFonts w:ascii="Wingdings" w:hAnsi="Wingdings" w:hint="default"/>
      </w:rPr>
    </w:lvl>
    <w:lvl w:ilvl="6" w:tplc="04180001" w:tentative="1">
      <w:start w:val="1"/>
      <w:numFmt w:val="bullet"/>
      <w:lvlText w:val=""/>
      <w:lvlJc w:val="left"/>
      <w:pPr>
        <w:ind w:left="5805" w:hanging="360"/>
      </w:pPr>
      <w:rPr>
        <w:rFonts w:ascii="Symbol" w:hAnsi="Symbol" w:hint="default"/>
      </w:rPr>
    </w:lvl>
    <w:lvl w:ilvl="7" w:tplc="04180003" w:tentative="1">
      <w:start w:val="1"/>
      <w:numFmt w:val="bullet"/>
      <w:lvlText w:val="o"/>
      <w:lvlJc w:val="left"/>
      <w:pPr>
        <w:ind w:left="6525" w:hanging="360"/>
      </w:pPr>
      <w:rPr>
        <w:rFonts w:ascii="Courier New" w:hAnsi="Courier New" w:cs="Courier New" w:hint="default"/>
      </w:rPr>
    </w:lvl>
    <w:lvl w:ilvl="8" w:tplc="04180005" w:tentative="1">
      <w:start w:val="1"/>
      <w:numFmt w:val="bullet"/>
      <w:lvlText w:val=""/>
      <w:lvlJc w:val="left"/>
      <w:pPr>
        <w:ind w:left="7245" w:hanging="360"/>
      </w:pPr>
      <w:rPr>
        <w:rFonts w:ascii="Wingdings" w:hAnsi="Wingdings" w:hint="default"/>
      </w:rPr>
    </w:lvl>
  </w:abstractNum>
  <w:abstractNum w:abstractNumId="40" w15:restartNumberingAfterBreak="0">
    <w:nsid w:val="413B2B43"/>
    <w:multiLevelType w:val="hybridMultilevel"/>
    <w:tmpl w:val="B8DE9DC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41AA6577"/>
    <w:multiLevelType w:val="hybridMultilevel"/>
    <w:tmpl w:val="A994277C"/>
    <w:lvl w:ilvl="0" w:tplc="04180001">
      <w:start w:val="1"/>
      <w:numFmt w:val="bullet"/>
      <w:lvlText w:val=""/>
      <w:lvlJc w:val="left"/>
      <w:pPr>
        <w:ind w:left="1495" w:hanging="360"/>
      </w:pPr>
      <w:rPr>
        <w:rFonts w:ascii="Symbol" w:hAnsi="Symbol" w:hint="default"/>
      </w:rPr>
    </w:lvl>
    <w:lvl w:ilvl="1" w:tplc="04180003" w:tentative="1">
      <w:start w:val="1"/>
      <w:numFmt w:val="bullet"/>
      <w:lvlText w:val="o"/>
      <w:lvlJc w:val="left"/>
      <w:pPr>
        <w:ind w:left="2205" w:hanging="360"/>
      </w:pPr>
      <w:rPr>
        <w:rFonts w:ascii="Courier New" w:hAnsi="Courier New" w:cs="Courier New" w:hint="default"/>
      </w:rPr>
    </w:lvl>
    <w:lvl w:ilvl="2" w:tplc="04180005" w:tentative="1">
      <w:start w:val="1"/>
      <w:numFmt w:val="bullet"/>
      <w:lvlText w:val=""/>
      <w:lvlJc w:val="left"/>
      <w:pPr>
        <w:ind w:left="2925" w:hanging="360"/>
      </w:pPr>
      <w:rPr>
        <w:rFonts w:ascii="Wingdings" w:hAnsi="Wingdings" w:hint="default"/>
      </w:rPr>
    </w:lvl>
    <w:lvl w:ilvl="3" w:tplc="04180001" w:tentative="1">
      <w:start w:val="1"/>
      <w:numFmt w:val="bullet"/>
      <w:lvlText w:val=""/>
      <w:lvlJc w:val="left"/>
      <w:pPr>
        <w:ind w:left="3645" w:hanging="360"/>
      </w:pPr>
      <w:rPr>
        <w:rFonts w:ascii="Symbol" w:hAnsi="Symbol" w:hint="default"/>
      </w:rPr>
    </w:lvl>
    <w:lvl w:ilvl="4" w:tplc="04180003" w:tentative="1">
      <w:start w:val="1"/>
      <w:numFmt w:val="bullet"/>
      <w:lvlText w:val="o"/>
      <w:lvlJc w:val="left"/>
      <w:pPr>
        <w:ind w:left="4365" w:hanging="360"/>
      </w:pPr>
      <w:rPr>
        <w:rFonts w:ascii="Courier New" w:hAnsi="Courier New" w:cs="Courier New" w:hint="default"/>
      </w:rPr>
    </w:lvl>
    <w:lvl w:ilvl="5" w:tplc="04180005" w:tentative="1">
      <w:start w:val="1"/>
      <w:numFmt w:val="bullet"/>
      <w:lvlText w:val=""/>
      <w:lvlJc w:val="left"/>
      <w:pPr>
        <w:ind w:left="5085" w:hanging="360"/>
      </w:pPr>
      <w:rPr>
        <w:rFonts w:ascii="Wingdings" w:hAnsi="Wingdings" w:hint="default"/>
      </w:rPr>
    </w:lvl>
    <w:lvl w:ilvl="6" w:tplc="04180001" w:tentative="1">
      <w:start w:val="1"/>
      <w:numFmt w:val="bullet"/>
      <w:lvlText w:val=""/>
      <w:lvlJc w:val="left"/>
      <w:pPr>
        <w:ind w:left="5805" w:hanging="360"/>
      </w:pPr>
      <w:rPr>
        <w:rFonts w:ascii="Symbol" w:hAnsi="Symbol" w:hint="default"/>
      </w:rPr>
    </w:lvl>
    <w:lvl w:ilvl="7" w:tplc="04180003" w:tentative="1">
      <w:start w:val="1"/>
      <w:numFmt w:val="bullet"/>
      <w:lvlText w:val="o"/>
      <w:lvlJc w:val="left"/>
      <w:pPr>
        <w:ind w:left="6525" w:hanging="360"/>
      </w:pPr>
      <w:rPr>
        <w:rFonts w:ascii="Courier New" w:hAnsi="Courier New" w:cs="Courier New" w:hint="default"/>
      </w:rPr>
    </w:lvl>
    <w:lvl w:ilvl="8" w:tplc="04180005" w:tentative="1">
      <w:start w:val="1"/>
      <w:numFmt w:val="bullet"/>
      <w:lvlText w:val=""/>
      <w:lvlJc w:val="left"/>
      <w:pPr>
        <w:ind w:left="7245" w:hanging="360"/>
      </w:pPr>
      <w:rPr>
        <w:rFonts w:ascii="Wingdings" w:hAnsi="Wingdings" w:hint="default"/>
      </w:rPr>
    </w:lvl>
  </w:abstractNum>
  <w:abstractNum w:abstractNumId="42" w15:restartNumberingAfterBreak="0">
    <w:nsid w:val="421149F2"/>
    <w:multiLevelType w:val="hybridMultilevel"/>
    <w:tmpl w:val="FDF2AF8A"/>
    <w:lvl w:ilvl="0" w:tplc="04180001">
      <w:start w:val="1"/>
      <w:numFmt w:val="bullet"/>
      <w:lvlText w:val=""/>
      <w:lvlJc w:val="left"/>
      <w:pPr>
        <w:ind w:left="1846" w:hanging="360"/>
      </w:pPr>
      <w:rPr>
        <w:rFonts w:ascii="Symbol" w:hAnsi="Symbol" w:hint="default"/>
      </w:rPr>
    </w:lvl>
    <w:lvl w:ilvl="1" w:tplc="04180003" w:tentative="1">
      <w:start w:val="1"/>
      <w:numFmt w:val="bullet"/>
      <w:lvlText w:val="o"/>
      <w:lvlJc w:val="left"/>
      <w:pPr>
        <w:ind w:left="2566" w:hanging="360"/>
      </w:pPr>
      <w:rPr>
        <w:rFonts w:ascii="Courier New" w:hAnsi="Courier New" w:cs="Courier New" w:hint="default"/>
      </w:rPr>
    </w:lvl>
    <w:lvl w:ilvl="2" w:tplc="04180005" w:tentative="1">
      <w:start w:val="1"/>
      <w:numFmt w:val="bullet"/>
      <w:lvlText w:val=""/>
      <w:lvlJc w:val="left"/>
      <w:pPr>
        <w:ind w:left="3286" w:hanging="360"/>
      </w:pPr>
      <w:rPr>
        <w:rFonts w:ascii="Wingdings" w:hAnsi="Wingdings" w:hint="default"/>
      </w:rPr>
    </w:lvl>
    <w:lvl w:ilvl="3" w:tplc="04180001" w:tentative="1">
      <w:start w:val="1"/>
      <w:numFmt w:val="bullet"/>
      <w:lvlText w:val=""/>
      <w:lvlJc w:val="left"/>
      <w:pPr>
        <w:ind w:left="4006" w:hanging="360"/>
      </w:pPr>
      <w:rPr>
        <w:rFonts w:ascii="Symbol" w:hAnsi="Symbol" w:hint="default"/>
      </w:rPr>
    </w:lvl>
    <w:lvl w:ilvl="4" w:tplc="04180003" w:tentative="1">
      <w:start w:val="1"/>
      <w:numFmt w:val="bullet"/>
      <w:lvlText w:val="o"/>
      <w:lvlJc w:val="left"/>
      <w:pPr>
        <w:ind w:left="4726" w:hanging="360"/>
      </w:pPr>
      <w:rPr>
        <w:rFonts w:ascii="Courier New" w:hAnsi="Courier New" w:cs="Courier New" w:hint="default"/>
      </w:rPr>
    </w:lvl>
    <w:lvl w:ilvl="5" w:tplc="04180005" w:tentative="1">
      <w:start w:val="1"/>
      <w:numFmt w:val="bullet"/>
      <w:lvlText w:val=""/>
      <w:lvlJc w:val="left"/>
      <w:pPr>
        <w:ind w:left="5446" w:hanging="360"/>
      </w:pPr>
      <w:rPr>
        <w:rFonts w:ascii="Wingdings" w:hAnsi="Wingdings" w:hint="default"/>
      </w:rPr>
    </w:lvl>
    <w:lvl w:ilvl="6" w:tplc="04180001" w:tentative="1">
      <w:start w:val="1"/>
      <w:numFmt w:val="bullet"/>
      <w:lvlText w:val=""/>
      <w:lvlJc w:val="left"/>
      <w:pPr>
        <w:ind w:left="6166" w:hanging="360"/>
      </w:pPr>
      <w:rPr>
        <w:rFonts w:ascii="Symbol" w:hAnsi="Symbol" w:hint="default"/>
      </w:rPr>
    </w:lvl>
    <w:lvl w:ilvl="7" w:tplc="04180003" w:tentative="1">
      <w:start w:val="1"/>
      <w:numFmt w:val="bullet"/>
      <w:lvlText w:val="o"/>
      <w:lvlJc w:val="left"/>
      <w:pPr>
        <w:ind w:left="6886" w:hanging="360"/>
      </w:pPr>
      <w:rPr>
        <w:rFonts w:ascii="Courier New" w:hAnsi="Courier New" w:cs="Courier New" w:hint="default"/>
      </w:rPr>
    </w:lvl>
    <w:lvl w:ilvl="8" w:tplc="04180005" w:tentative="1">
      <w:start w:val="1"/>
      <w:numFmt w:val="bullet"/>
      <w:lvlText w:val=""/>
      <w:lvlJc w:val="left"/>
      <w:pPr>
        <w:ind w:left="7606" w:hanging="360"/>
      </w:pPr>
      <w:rPr>
        <w:rFonts w:ascii="Wingdings" w:hAnsi="Wingdings" w:hint="default"/>
      </w:rPr>
    </w:lvl>
  </w:abstractNum>
  <w:abstractNum w:abstractNumId="43" w15:restartNumberingAfterBreak="0">
    <w:nsid w:val="43751F00"/>
    <w:multiLevelType w:val="hybridMultilevel"/>
    <w:tmpl w:val="1452D4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15:restartNumberingAfterBreak="0">
    <w:nsid w:val="454C3A2D"/>
    <w:multiLevelType w:val="hybridMultilevel"/>
    <w:tmpl w:val="2F763BE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45" w15:restartNumberingAfterBreak="0">
    <w:nsid w:val="479973D4"/>
    <w:multiLevelType w:val="hybridMultilevel"/>
    <w:tmpl w:val="A4328398"/>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46" w15:restartNumberingAfterBreak="0">
    <w:nsid w:val="494D54D5"/>
    <w:multiLevelType w:val="hybridMultilevel"/>
    <w:tmpl w:val="68FC1AD8"/>
    <w:lvl w:ilvl="0" w:tplc="04180001">
      <w:start w:val="1"/>
      <w:numFmt w:val="bullet"/>
      <w:lvlText w:val=""/>
      <w:lvlJc w:val="left"/>
      <w:pPr>
        <w:ind w:left="862" w:hanging="360"/>
      </w:pPr>
      <w:rPr>
        <w:rFonts w:ascii="Symbol" w:hAnsi="Symbol" w:hint="default"/>
        <w:sz w:val="24"/>
        <w:szCs w:val="24"/>
      </w:rPr>
    </w:lvl>
    <w:lvl w:ilvl="1" w:tplc="04180003" w:tentative="1">
      <w:start w:val="1"/>
      <w:numFmt w:val="bullet"/>
      <w:lvlText w:val="o"/>
      <w:lvlJc w:val="left"/>
      <w:pPr>
        <w:ind w:left="1582" w:hanging="360"/>
      </w:pPr>
      <w:rPr>
        <w:rFonts w:ascii="Courier New" w:hAnsi="Courier New" w:cs="Courier New" w:hint="default"/>
      </w:rPr>
    </w:lvl>
    <w:lvl w:ilvl="2" w:tplc="04180005" w:tentative="1">
      <w:start w:val="1"/>
      <w:numFmt w:val="bullet"/>
      <w:lvlText w:val=""/>
      <w:lvlJc w:val="left"/>
      <w:pPr>
        <w:ind w:left="2302" w:hanging="360"/>
      </w:pPr>
      <w:rPr>
        <w:rFonts w:ascii="Wingdings" w:hAnsi="Wingdings" w:hint="default"/>
      </w:rPr>
    </w:lvl>
    <w:lvl w:ilvl="3" w:tplc="04180001" w:tentative="1">
      <w:start w:val="1"/>
      <w:numFmt w:val="bullet"/>
      <w:lvlText w:val=""/>
      <w:lvlJc w:val="left"/>
      <w:pPr>
        <w:ind w:left="3022" w:hanging="360"/>
      </w:pPr>
      <w:rPr>
        <w:rFonts w:ascii="Symbol" w:hAnsi="Symbol" w:hint="default"/>
      </w:rPr>
    </w:lvl>
    <w:lvl w:ilvl="4" w:tplc="04180003" w:tentative="1">
      <w:start w:val="1"/>
      <w:numFmt w:val="bullet"/>
      <w:lvlText w:val="o"/>
      <w:lvlJc w:val="left"/>
      <w:pPr>
        <w:ind w:left="3742" w:hanging="360"/>
      </w:pPr>
      <w:rPr>
        <w:rFonts w:ascii="Courier New" w:hAnsi="Courier New" w:cs="Courier New" w:hint="default"/>
      </w:rPr>
    </w:lvl>
    <w:lvl w:ilvl="5" w:tplc="04180005" w:tentative="1">
      <w:start w:val="1"/>
      <w:numFmt w:val="bullet"/>
      <w:lvlText w:val=""/>
      <w:lvlJc w:val="left"/>
      <w:pPr>
        <w:ind w:left="4462" w:hanging="360"/>
      </w:pPr>
      <w:rPr>
        <w:rFonts w:ascii="Wingdings" w:hAnsi="Wingdings" w:hint="default"/>
      </w:rPr>
    </w:lvl>
    <w:lvl w:ilvl="6" w:tplc="04180001" w:tentative="1">
      <w:start w:val="1"/>
      <w:numFmt w:val="bullet"/>
      <w:lvlText w:val=""/>
      <w:lvlJc w:val="left"/>
      <w:pPr>
        <w:ind w:left="5182" w:hanging="360"/>
      </w:pPr>
      <w:rPr>
        <w:rFonts w:ascii="Symbol" w:hAnsi="Symbol" w:hint="default"/>
      </w:rPr>
    </w:lvl>
    <w:lvl w:ilvl="7" w:tplc="04180003" w:tentative="1">
      <w:start w:val="1"/>
      <w:numFmt w:val="bullet"/>
      <w:lvlText w:val="o"/>
      <w:lvlJc w:val="left"/>
      <w:pPr>
        <w:ind w:left="5902" w:hanging="360"/>
      </w:pPr>
      <w:rPr>
        <w:rFonts w:ascii="Courier New" w:hAnsi="Courier New" w:cs="Courier New" w:hint="default"/>
      </w:rPr>
    </w:lvl>
    <w:lvl w:ilvl="8" w:tplc="04180005" w:tentative="1">
      <w:start w:val="1"/>
      <w:numFmt w:val="bullet"/>
      <w:lvlText w:val=""/>
      <w:lvlJc w:val="left"/>
      <w:pPr>
        <w:ind w:left="6622" w:hanging="360"/>
      </w:pPr>
      <w:rPr>
        <w:rFonts w:ascii="Wingdings" w:hAnsi="Wingdings" w:hint="default"/>
      </w:rPr>
    </w:lvl>
  </w:abstractNum>
  <w:abstractNum w:abstractNumId="47" w15:restartNumberingAfterBreak="0">
    <w:nsid w:val="4AE9072A"/>
    <w:multiLevelType w:val="hybridMultilevel"/>
    <w:tmpl w:val="4EAA4A1C"/>
    <w:lvl w:ilvl="0" w:tplc="04180007">
      <w:start w:val="1"/>
      <w:numFmt w:val="bullet"/>
      <w:lvlText w:val=""/>
      <w:lvlPicBulletId w:val="0"/>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8" w15:restartNumberingAfterBreak="0">
    <w:nsid w:val="4C301279"/>
    <w:multiLevelType w:val="hybridMultilevel"/>
    <w:tmpl w:val="C9FEA2E6"/>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49" w15:restartNumberingAfterBreak="0">
    <w:nsid w:val="4D562AEF"/>
    <w:multiLevelType w:val="hybridMultilevel"/>
    <w:tmpl w:val="A5380282"/>
    <w:lvl w:ilvl="0" w:tplc="04180001">
      <w:start w:val="1"/>
      <w:numFmt w:val="bullet"/>
      <w:lvlText w:val=""/>
      <w:lvlJc w:val="left"/>
      <w:pPr>
        <w:ind w:left="862" w:hanging="360"/>
      </w:pPr>
      <w:rPr>
        <w:rFonts w:ascii="Symbol" w:hAnsi="Symbol" w:hint="default"/>
        <w:sz w:val="24"/>
        <w:szCs w:val="24"/>
      </w:rPr>
    </w:lvl>
    <w:lvl w:ilvl="1" w:tplc="04180003" w:tentative="1">
      <w:start w:val="1"/>
      <w:numFmt w:val="bullet"/>
      <w:lvlText w:val="o"/>
      <w:lvlJc w:val="left"/>
      <w:pPr>
        <w:ind w:left="1582" w:hanging="360"/>
      </w:pPr>
      <w:rPr>
        <w:rFonts w:ascii="Courier New" w:hAnsi="Courier New" w:cs="Courier New" w:hint="default"/>
      </w:rPr>
    </w:lvl>
    <w:lvl w:ilvl="2" w:tplc="04180005" w:tentative="1">
      <w:start w:val="1"/>
      <w:numFmt w:val="bullet"/>
      <w:lvlText w:val=""/>
      <w:lvlJc w:val="left"/>
      <w:pPr>
        <w:ind w:left="2302" w:hanging="360"/>
      </w:pPr>
      <w:rPr>
        <w:rFonts w:ascii="Wingdings" w:hAnsi="Wingdings" w:hint="default"/>
      </w:rPr>
    </w:lvl>
    <w:lvl w:ilvl="3" w:tplc="04180001" w:tentative="1">
      <w:start w:val="1"/>
      <w:numFmt w:val="bullet"/>
      <w:lvlText w:val=""/>
      <w:lvlJc w:val="left"/>
      <w:pPr>
        <w:ind w:left="3022" w:hanging="360"/>
      </w:pPr>
      <w:rPr>
        <w:rFonts w:ascii="Symbol" w:hAnsi="Symbol" w:hint="default"/>
      </w:rPr>
    </w:lvl>
    <w:lvl w:ilvl="4" w:tplc="04180003" w:tentative="1">
      <w:start w:val="1"/>
      <w:numFmt w:val="bullet"/>
      <w:lvlText w:val="o"/>
      <w:lvlJc w:val="left"/>
      <w:pPr>
        <w:ind w:left="3742" w:hanging="360"/>
      </w:pPr>
      <w:rPr>
        <w:rFonts w:ascii="Courier New" w:hAnsi="Courier New" w:cs="Courier New" w:hint="default"/>
      </w:rPr>
    </w:lvl>
    <w:lvl w:ilvl="5" w:tplc="04180005" w:tentative="1">
      <w:start w:val="1"/>
      <w:numFmt w:val="bullet"/>
      <w:lvlText w:val=""/>
      <w:lvlJc w:val="left"/>
      <w:pPr>
        <w:ind w:left="4462" w:hanging="360"/>
      </w:pPr>
      <w:rPr>
        <w:rFonts w:ascii="Wingdings" w:hAnsi="Wingdings" w:hint="default"/>
      </w:rPr>
    </w:lvl>
    <w:lvl w:ilvl="6" w:tplc="04180001" w:tentative="1">
      <w:start w:val="1"/>
      <w:numFmt w:val="bullet"/>
      <w:lvlText w:val=""/>
      <w:lvlJc w:val="left"/>
      <w:pPr>
        <w:ind w:left="5182" w:hanging="360"/>
      </w:pPr>
      <w:rPr>
        <w:rFonts w:ascii="Symbol" w:hAnsi="Symbol" w:hint="default"/>
      </w:rPr>
    </w:lvl>
    <w:lvl w:ilvl="7" w:tplc="04180003" w:tentative="1">
      <w:start w:val="1"/>
      <w:numFmt w:val="bullet"/>
      <w:lvlText w:val="o"/>
      <w:lvlJc w:val="left"/>
      <w:pPr>
        <w:ind w:left="5902" w:hanging="360"/>
      </w:pPr>
      <w:rPr>
        <w:rFonts w:ascii="Courier New" w:hAnsi="Courier New" w:cs="Courier New" w:hint="default"/>
      </w:rPr>
    </w:lvl>
    <w:lvl w:ilvl="8" w:tplc="04180005" w:tentative="1">
      <w:start w:val="1"/>
      <w:numFmt w:val="bullet"/>
      <w:lvlText w:val=""/>
      <w:lvlJc w:val="left"/>
      <w:pPr>
        <w:ind w:left="6622" w:hanging="360"/>
      </w:pPr>
      <w:rPr>
        <w:rFonts w:ascii="Wingdings" w:hAnsi="Wingdings" w:hint="default"/>
      </w:rPr>
    </w:lvl>
  </w:abstractNum>
  <w:abstractNum w:abstractNumId="50" w15:restartNumberingAfterBreak="0">
    <w:nsid w:val="4E542540"/>
    <w:multiLevelType w:val="hybridMultilevel"/>
    <w:tmpl w:val="848678D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1" w15:restartNumberingAfterBreak="0">
    <w:nsid w:val="5016239B"/>
    <w:multiLevelType w:val="hybridMultilevel"/>
    <w:tmpl w:val="84B6B34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2" w15:restartNumberingAfterBreak="0">
    <w:nsid w:val="50396EC0"/>
    <w:multiLevelType w:val="hybridMultilevel"/>
    <w:tmpl w:val="268AF504"/>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53" w15:restartNumberingAfterBreak="0">
    <w:nsid w:val="50D5497A"/>
    <w:multiLevelType w:val="hybridMultilevel"/>
    <w:tmpl w:val="79342320"/>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54" w15:restartNumberingAfterBreak="0">
    <w:nsid w:val="53EF4C2B"/>
    <w:multiLevelType w:val="hybridMultilevel"/>
    <w:tmpl w:val="2ECCB8E0"/>
    <w:lvl w:ilvl="0" w:tplc="3B905602">
      <w:start w:val="1"/>
      <w:numFmt w:val="bullet"/>
      <w:lvlText w:val=""/>
      <w:lvlJc w:val="left"/>
      <w:pPr>
        <w:ind w:left="1068" w:hanging="360"/>
      </w:pPr>
      <w:rPr>
        <w:rFonts w:ascii="Symbol" w:hAnsi="Symbol" w:hint="default"/>
        <w:color w:val="auto"/>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55" w15:restartNumberingAfterBreak="0">
    <w:nsid w:val="54CA1691"/>
    <w:multiLevelType w:val="hybridMultilevel"/>
    <w:tmpl w:val="F54CFF6A"/>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56" w15:restartNumberingAfterBreak="0">
    <w:nsid w:val="552A67CD"/>
    <w:multiLevelType w:val="hybridMultilevel"/>
    <w:tmpl w:val="FC12086A"/>
    <w:lvl w:ilvl="0" w:tplc="04180001">
      <w:start w:val="1"/>
      <w:numFmt w:val="bullet"/>
      <w:lvlText w:val=""/>
      <w:lvlJc w:val="left"/>
      <w:pPr>
        <w:ind w:left="1407" w:hanging="360"/>
      </w:pPr>
      <w:rPr>
        <w:rFonts w:ascii="Symbol" w:hAnsi="Symbol" w:hint="default"/>
      </w:rPr>
    </w:lvl>
    <w:lvl w:ilvl="1" w:tplc="04180003" w:tentative="1">
      <w:start w:val="1"/>
      <w:numFmt w:val="bullet"/>
      <w:lvlText w:val="o"/>
      <w:lvlJc w:val="left"/>
      <w:pPr>
        <w:ind w:left="2127" w:hanging="360"/>
      </w:pPr>
      <w:rPr>
        <w:rFonts w:ascii="Courier New" w:hAnsi="Courier New" w:cs="Courier New" w:hint="default"/>
      </w:rPr>
    </w:lvl>
    <w:lvl w:ilvl="2" w:tplc="04180005" w:tentative="1">
      <w:start w:val="1"/>
      <w:numFmt w:val="bullet"/>
      <w:lvlText w:val=""/>
      <w:lvlJc w:val="left"/>
      <w:pPr>
        <w:ind w:left="2847" w:hanging="360"/>
      </w:pPr>
      <w:rPr>
        <w:rFonts w:ascii="Wingdings" w:hAnsi="Wingdings" w:hint="default"/>
      </w:rPr>
    </w:lvl>
    <w:lvl w:ilvl="3" w:tplc="04180001" w:tentative="1">
      <w:start w:val="1"/>
      <w:numFmt w:val="bullet"/>
      <w:lvlText w:val=""/>
      <w:lvlJc w:val="left"/>
      <w:pPr>
        <w:ind w:left="3567" w:hanging="360"/>
      </w:pPr>
      <w:rPr>
        <w:rFonts w:ascii="Symbol" w:hAnsi="Symbol" w:hint="default"/>
      </w:rPr>
    </w:lvl>
    <w:lvl w:ilvl="4" w:tplc="04180003" w:tentative="1">
      <w:start w:val="1"/>
      <w:numFmt w:val="bullet"/>
      <w:lvlText w:val="o"/>
      <w:lvlJc w:val="left"/>
      <w:pPr>
        <w:ind w:left="4287" w:hanging="360"/>
      </w:pPr>
      <w:rPr>
        <w:rFonts w:ascii="Courier New" w:hAnsi="Courier New" w:cs="Courier New" w:hint="default"/>
      </w:rPr>
    </w:lvl>
    <w:lvl w:ilvl="5" w:tplc="04180005" w:tentative="1">
      <w:start w:val="1"/>
      <w:numFmt w:val="bullet"/>
      <w:lvlText w:val=""/>
      <w:lvlJc w:val="left"/>
      <w:pPr>
        <w:ind w:left="5007" w:hanging="360"/>
      </w:pPr>
      <w:rPr>
        <w:rFonts w:ascii="Wingdings" w:hAnsi="Wingdings" w:hint="default"/>
      </w:rPr>
    </w:lvl>
    <w:lvl w:ilvl="6" w:tplc="04180001" w:tentative="1">
      <w:start w:val="1"/>
      <w:numFmt w:val="bullet"/>
      <w:lvlText w:val=""/>
      <w:lvlJc w:val="left"/>
      <w:pPr>
        <w:ind w:left="5727" w:hanging="360"/>
      </w:pPr>
      <w:rPr>
        <w:rFonts w:ascii="Symbol" w:hAnsi="Symbol" w:hint="default"/>
      </w:rPr>
    </w:lvl>
    <w:lvl w:ilvl="7" w:tplc="04180003" w:tentative="1">
      <w:start w:val="1"/>
      <w:numFmt w:val="bullet"/>
      <w:lvlText w:val="o"/>
      <w:lvlJc w:val="left"/>
      <w:pPr>
        <w:ind w:left="6447" w:hanging="360"/>
      </w:pPr>
      <w:rPr>
        <w:rFonts w:ascii="Courier New" w:hAnsi="Courier New" w:cs="Courier New" w:hint="default"/>
      </w:rPr>
    </w:lvl>
    <w:lvl w:ilvl="8" w:tplc="04180005" w:tentative="1">
      <w:start w:val="1"/>
      <w:numFmt w:val="bullet"/>
      <w:lvlText w:val=""/>
      <w:lvlJc w:val="left"/>
      <w:pPr>
        <w:ind w:left="7167" w:hanging="360"/>
      </w:pPr>
      <w:rPr>
        <w:rFonts w:ascii="Wingdings" w:hAnsi="Wingdings" w:hint="default"/>
      </w:rPr>
    </w:lvl>
  </w:abstractNum>
  <w:abstractNum w:abstractNumId="57" w15:restartNumberingAfterBreak="0">
    <w:nsid w:val="55A27206"/>
    <w:multiLevelType w:val="hybridMultilevel"/>
    <w:tmpl w:val="2004B4B8"/>
    <w:lvl w:ilvl="0" w:tplc="0418000B">
      <w:start w:val="1"/>
      <w:numFmt w:val="bullet"/>
      <w:lvlText w:val=""/>
      <w:lvlJc w:val="left"/>
      <w:pPr>
        <w:ind w:left="1068" w:hanging="360"/>
      </w:pPr>
      <w:rPr>
        <w:rFonts w:ascii="Wingdings" w:hAnsi="Wingdings" w:hint="default"/>
        <w:color w:val="auto"/>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58" w15:restartNumberingAfterBreak="0">
    <w:nsid w:val="55C812F1"/>
    <w:multiLevelType w:val="hybridMultilevel"/>
    <w:tmpl w:val="DB84FD9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9" w15:restartNumberingAfterBreak="0">
    <w:nsid w:val="57D25DF3"/>
    <w:multiLevelType w:val="hybridMultilevel"/>
    <w:tmpl w:val="DA92D262"/>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0" w15:restartNumberingAfterBreak="0">
    <w:nsid w:val="5A844245"/>
    <w:multiLevelType w:val="hybridMultilevel"/>
    <w:tmpl w:val="7BDC2D04"/>
    <w:lvl w:ilvl="0" w:tplc="04180001">
      <w:start w:val="1"/>
      <w:numFmt w:val="bullet"/>
      <w:lvlText w:val=""/>
      <w:lvlJc w:val="left"/>
      <w:pPr>
        <w:ind w:left="1504" w:hanging="360"/>
      </w:pPr>
      <w:rPr>
        <w:rFonts w:ascii="Symbol" w:hAnsi="Symbol" w:hint="default"/>
      </w:rPr>
    </w:lvl>
    <w:lvl w:ilvl="1" w:tplc="04180003" w:tentative="1">
      <w:start w:val="1"/>
      <w:numFmt w:val="bullet"/>
      <w:lvlText w:val="o"/>
      <w:lvlJc w:val="left"/>
      <w:pPr>
        <w:ind w:left="2224" w:hanging="360"/>
      </w:pPr>
      <w:rPr>
        <w:rFonts w:ascii="Courier New" w:hAnsi="Courier New" w:cs="Courier New" w:hint="default"/>
      </w:rPr>
    </w:lvl>
    <w:lvl w:ilvl="2" w:tplc="04180005" w:tentative="1">
      <w:start w:val="1"/>
      <w:numFmt w:val="bullet"/>
      <w:lvlText w:val=""/>
      <w:lvlJc w:val="left"/>
      <w:pPr>
        <w:ind w:left="2944" w:hanging="360"/>
      </w:pPr>
      <w:rPr>
        <w:rFonts w:ascii="Wingdings" w:hAnsi="Wingdings" w:hint="default"/>
      </w:rPr>
    </w:lvl>
    <w:lvl w:ilvl="3" w:tplc="04180001" w:tentative="1">
      <w:start w:val="1"/>
      <w:numFmt w:val="bullet"/>
      <w:lvlText w:val=""/>
      <w:lvlJc w:val="left"/>
      <w:pPr>
        <w:ind w:left="3664" w:hanging="360"/>
      </w:pPr>
      <w:rPr>
        <w:rFonts w:ascii="Symbol" w:hAnsi="Symbol" w:hint="default"/>
      </w:rPr>
    </w:lvl>
    <w:lvl w:ilvl="4" w:tplc="04180003" w:tentative="1">
      <w:start w:val="1"/>
      <w:numFmt w:val="bullet"/>
      <w:lvlText w:val="o"/>
      <w:lvlJc w:val="left"/>
      <w:pPr>
        <w:ind w:left="4384" w:hanging="360"/>
      </w:pPr>
      <w:rPr>
        <w:rFonts w:ascii="Courier New" w:hAnsi="Courier New" w:cs="Courier New" w:hint="default"/>
      </w:rPr>
    </w:lvl>
    <w:lvl w:ilvl="5" w:tplc="04180005" w:tentative="1">
      <w:start w:val="1"/>
      <w:numFmt w:val="bullet"/>
      <w:lvlText w:val=""/>
      <w:lvlJc w:val="left"/>
      <w:pPr>
        <w:ind w:left="5104" w:hanging="360"/>
      </w:pPr>
      <w:rPr>
        <w:rFonts w:ascii="Wingdings" w:hAnsi="Wingdings" w:hint="default"/>
      </w:rPr>
    </w:lvl>
    <w:lvl w:ilvl="6" w:tplc="04180001" w:tentative="1">
      <w:start w:val="1"/>
      <w:numFmt w:val="bullet"/>
      <w:lvlText w:val=""/>
      <w:lvlJc w:val="left"/>
      <w:pPr>
        <w:ind w:left="5824" w:hanging="360"/>
      </w:pPr>
      <w:rPr>
        <w:rFonts w:ascii="Symbol" w:hAnsi="Symbol" w:hint="default"/>
      </w:rPr>
    </w:lvl>
    <w:lvl w:ilvl="7" w:tplc="04180003" w:tentative="1">
      <w:start w:val="1"/>
      <w:numFmt w:val="bullet"/>
      <w:lvlText w:val="o"/>
      <w:lvlJc w:val="left"/>
      <w:pPr>
        <w:ind w:left="6544" w:hanging="360"/>
      </w:pPr>
      <w:rPr>
        <w:rFonts w:ascii="Courier New" w:hAnsi="Courier New" w:cs="Courier New" w:hint="default"/>
      </w:rPr>
    </w:lvl>
    <w:lvl w:ilvl="8" w:tplc="04180005" w:tentative="1">
      <w:start w:val="1"/>
      <w:numFmt w:val="bullet"/>
      <w:lvlText w:val=""/>
      <w:lvlJc w:val="left"/>
      <w:pPr>
        <w:ind w:left="7264" w:hanging="360"/>
      </w:pPr>
      <w:rPr>
        <w:rFonts w:ascii="Wingdings" w:hAnsi="Wingdings" w:hint="default"/>
      </w:rPr>
    </w:lvl>
  </w:abstractNum>
  <w:abstractNum w:abstractNumId="61" w15:restartNumberingAfterBreak="0">
    <w:nsid w:val="5A9264B1"/>
    <w:multiLevelType w:val="hybridMultilevel"/>
    <w:tmpl w:val="6EECDA74"/>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2" w15:restartNumberingAfterBreak="0">
    <w:nsid w:val="5E74427C"/>
    <w:multiLevelType w:val="hybridMultilevel"/>
    <w:tmpl w:val="ACA6FFAE"/>
    <w:lvl w:ilvl="0" w:tplc="04180001">
      <w:start w:val="1"/>
      <w:numFmt w:val="bullet"/>
      <w:lvlText w:val=""/>
      <w:lvlJc w:val="left"/>
      <w:pPr>
        <w:ind w:left="1353" w:hanging="360"/>
      </w:pPr>
      <w:rPr>
        <w:rFonts w:ascii="Symbol" w:hAnsi="Symbol" w:hint="default"/>
      </w:rPr>
    </w:lvl>
    <w:lvl w:ilvl="1" w:tplc="04180003" w:tentative="1">
      <w:start w:val="1"/>
      <w:numFmt w:val="bullet"/>
      <w:lvlText w:val="o"/>
      <w:lvlJc w:val="left"/>
      <w:pPr>
        <w:ind w:left="2073" w:hanging="360"/>
      </w:pPr>
      <w:rPr>
        <w:rFonts w:ascii="Courier New" w:hAnsi="Courier New" w:cs="Courier New" w:hint="default"/>
      </w:rPr>
    </w:lvl>
    <w:lvl w:ilvl="2" w:tplc="04180005" w:tentative="1">
      <w:start w:val="1"/>
      <w:numFmt w:val="bullet"/>
      <w:lvlText w:val=""/>
      <w:lvlJc w:val="left"/>
      <w:pPr>
        <w:ind w:left="2793" w:hanging="360"/>
      </w:pPr>
      <w:rPr>
        <w:rFonts w:ascii="Wingdings" w:hAnsi="Wingdings" w:hint="default"/>
      </w:rPr>
    </w:lvl>
    <w:lvl w:ilvl="3" w:tplc="04180001" w:tentative="1">
      <w:start w:val="1"/>
      <w:numFmt w:val="bullet"/>
      <w:lvlText w:val=""/>
      <w:lvlJc w:val="left"/>
      <w:pPr>
        <w:ind w:left="3513" w:hanging="360"/>
      </w:pPr>
      <w:rPr>
        <w:rFonts w:ascii="Symbol" w:hAnsi="Symbol" w:hint="default"/>
      </w:rPr>
    </w:lvl>
    <w:lvl w:ilvl="4" w:tplc="04180003" w:tentative="1">
      <w:start w:val="1"/>
      <w:numFmt w:val="bullet"/>
      <w:lvlText w:val="o"/>
      <w:lvlJc w:val="left"/>
      <w:pPr>
        <w:ind w:left="4233" w:hanging="360"/>
      </w:pPr>
      <w:rPr>
        <w:rFonts w:ascii="Courier New" w:hAnsi="Courier New" w:cs="Courier New" w:hint="default"/>
      </w:rPr>
    </w:lvl>
    <w:lvl w:ilvl="5" w:tplc="04180005" w:tentative="1">
      <w:start w:val="1"/>
      <w:numFmt w:val="bullet"/>
      <w:lvlText w:val=""/>
      <w:lvlJc w:val="left"/>
      <w:pPr>
        <w:ind w:left="4953" w:hanging="360"/>
      </w:pPr>
      <w:rPr>
        <w:rFonts w:ascii="Wingdings" w:hAnsi="Wingdings" w:hint="default"/>
      </w:rPr>
    </w:lvl>
    <w:lvl w:ilvl="6" w:tplc="04180001" w:tentative="1">
      <w:start w:val="1"/>
      <w:numFmt w:val="bullet"/>
      <w:lvlText w:val=""/>
      <w:lvlJc w:val="left"/>
      <w:pPr>
        <w:ind w:left="5673" w:hanging="360"/>
      </w:pPr>
      <w:rPr>
        <w:rFonts w:ascii="Symbol" w:hAnsi="Symbol" w:hint="default"/>
      </w:rPr>
    </w:lvl>
    <w:lvl w:ilvl="7" w:tplc="04180003" w:tentative="1">
      <w:start w:val="1"/>
      <w:numFmt w:val="bullet"/>
      <w:lvlText w:val="o"/>
      <w:lvlJc w:val="left"/>
      <w:pPr>
        <w:ind w:left="6393" w:hanging="360"/>
      </w:pPr>
      <w:rPr>
        <w:rFonts w:ascii="Courier New" w:hAnsi="Courier New" w:cs="Courier New" w:hint="default"/>
      </w:rPr>
    </w:lvl>
    <w:lvl w:ilvl="8" w:tplc="04180005" w:tentative="1">
      <w:start w:val="1"/>
      <w:numFmt w:val="bullet"/>
      <w:lvlText w:val=""/>
      <w:lvlJc w:val="left"/>
      <w:pPr>
        <w:ind w:left="7113" w:hanging="360"/>
      </w:pPr>
      <w:rPr>
        <w:rFonts w:ascii="Wingdings" w:hAnsi="Wingdings" w:hint="default"/>
      </w:rPr>
    </w:lvl>
  </w:abstractNum>
  <w:abstractNum w:abstractNumId="63" w15:restartNumberingAfterBreak="0">
    <w:nsid w:val="5EC27DC8"/>
    <w:multiLevelType w:val="hybridMultilevel"/>
    <w:tmpl w:val="78CCB8E2"/>
    <w:lvl w:ilvl="0" w:tplc="04180001">
      <w:start w:val="1"/>
      <w:numFmt w:val="bullet"/>
      <w:lvlText w:val=""/>
      <w:lvlJc w:val="left"/>
      <w:pPr>
        <w:ind w:left="1495" w:hanging="360"/>
      </w:pPr>
      <w:rPr>
        <w:rFonts w:ascii="Symbol" w:hAnsi="Symbol" w:hint="default"/>
      </w:rPr>
    </w:lvl>
    <w:lvl w:ilvl="1" w:tplc="04180003" w:tentative="1">
      <w:start w:val="1"/>
      <w:numFmt w:val="bullet"/>
      <w:lvlText w:val="o"/>
      <w:lvlJc w:val="left"/>
      <w:pPr>
        <w:ind w:left="2205" w:hanging="360"/>
      </w:pPr>
      <w:rPr>
        <w:rFonts w:ascii="Courier New" w:hAnsi="Courier New" w:cs="Courier New" w:hint="default"/>
      </w:rPr>
    </w:lvl>
    <w:lvl w:ilvl="2" w:tplc="04180005" w:tentative="1">
      <w:start w:val="1"/>
      <w:numFmt w:val="bullet"/>
      <w:lvlText w:val=""/>
      <w:lvlJc w:val="left"/>
      <w:pPr>
        <w:ind w:left="2925" w:hanging="360"/>
      </w:pPr>
      <w:rPr>
        <w:rFonts w:ascii="Wingdings" w:hAnsi="Wingdings" w:hint="default"/>
      </w:rPr>
    </w:lvl>
    <w:lvl w:ilvl="3" w:tplc="04180001" w:tentative="1">
      <w:start w:val="1"/>
      <w:numFmt w:val="bullet"/>
      <w:lvlText w:val=""/>
      <w:lvlJc w:val="left"/>
      <w:pPr>
        <w:ind w:left="3645" w:hanging="360"/>
      </w:pPr>
      <w:rPr>
        <w:rFonts w:ascii="Symbol" w:hAnsi="Symbol" w:hint="default"/>
      </w:rPr>
    </w:lvl>
    <w:lvl w:ilvl="4" w:tplc="04180003" w:tentative="1">
      <w:start w:val="1"/>
      <w:numFmt w:val="bullet"/>
      <w:lvlText w:val="o"/>
      <w:lvlJc w:val="left"/>
      <w:pPr>
        <w:ind w:left="4365" w:hanging="360"/>
      </w:pPr>
      <w:rPr>
        <w:rFonts w:ascii="Courier New" w:hAnsi="Courier New" w:cs="Courier New" w:hint="default"/>
      </w:rPr>
    </w:lvl>
    <w:lvl w:ilvl="5" w:tplc="04180005" w:tentative="1">
      <w:start w:val="1"/>
      <w:numFmt w:val="bullet"/>
      <w:lvlText w:val=""/>
      <w:lvlJc w:val="left"/>
      <w:pPr>
        <w:ind w:left="5085" w:hanging="360"/>
      </w:pPr>
      <w:rPr>
        <w:rFonts w:ascii="Wingdings" w:hAnsi="Wingdings" w:hint="default"/>
      </w:rPr>
    </w:lvl>
    <w:lvl w:ilvl="6" w:tplc="04180001" w:tentative="1">
      <w:start w:val="1"/>
      <w:numFmt w:val="bullet"/>
      <w:lvlText w:val=""/>
      <w:lvlJc w:val="left"/>
      <w:pPr>
        <w:ind w:left="5805" w:hanging="360"/>
      </w:pPr>
      <w:rPr>
        <w:rFonts w:ascii="Symbol" w:hAnsi="Symbol" w:hint="default"/>
      </w:rPr>
    </w:lvl>
    <w:lvl w:ilvl="7" w:tplc="04180003" w:tentative="1">
      <w:start w:val="1"/>
      <w:numFmt w:val="bullet"/>
      <w:lvlText w:val="o"/>
      <w:lvlJc w:val="left"/>
      <w:pPr>
        <w:ind w:left="6525" w:hanging="360"/>
      </w:pPr>
      <w:rPr>
        <w:rFonts w:ascii="Courier New" w:hAnsi="Courier New" w:cs="Courier New" w:hint="default"/>
      </w:rPr>
    </w:lvl>
    <w:lvl w:ilvl="8" w:tplc="04180005" w:tentative="1">
      <w:start w:val="1"/>
      <w:numFmt w:val="bullet"/>
      <w:lvlText w:val=""/>
      <w:lvlJc w:val="left"/>
      <w:pPr>
        <w:ind w:left="7245" w:hanging="360"/>
      </w:pPr>
      <w:rPr>
        <w:rFonts w:ascii="Wingdings" w:hAnsi="Wingdings" w:hint="default"/>
      </w:rPr>
    </w:lvl>
  </w:abstractNum>
  <w:abstractNum w:abstractNumId="64" w15:restartNumberingAfterBreak="0">
    <w:nsid w:val="60695F54"/>
    <w:multiLevelType w:val="hybridMultilevel"/>
    <w:tmpl w:val="3A6A5EF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5" w15:restartNumberingAfterBreak="0">
    <w:nsid w:val="607F2F17"/>
    <w:multiLevelType w:val="hybridMultilevel"/>
    <w:tmpl w:val="A680EB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6" w15:restartNumberingAfterBreak="0">
    <w:nsid w:val="61025148"/>
    <w:multiLevelType w:val="hybridMultilevel"/>
    <w:tmpl w:val="FDDEE6FE"/>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7" w15:restartNumberingAfterBreak="0">
    <w:nsid w:val="62035A42"/>
    <w:multiLevelType w:val="hybridMultilevel"/>
    <w:tmpl w:val="C942A6F6"/>
    <w:lvl w:ilvl="0" w:tplc="04180011">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8" w15:restartNumberingAfterBreak="0">
    <w:nsid w:val="6441628D"/>
    <w:multiLevelType w:val="hybridMultilevel"/>
    <w:tmpl w:val="71287188"/>
    <w:lvl w:ilvl="0" w:tplc="0418000D">
      <w:start w:val="1"/>
      <w:numFmt w:val="bullet"/>
      <w:lvlText w:val=""/>
      <w:lvlJc w:val="left"/>
      <w:pPr>
        <w:ind w:left="4755" w:hanging="360"/>
      </w:pPr>
      <w:rPr>
        <w:rFonts w:ascii="Wingdings" w:hAnsi="Wingdings"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69" w15:restartNumberingAfterBreak="0">
    <w:nsid w:val="645448F2"/>
    <w:multiLevelType w:val="hybridMultilevel"/>
    <w:tmpl w:val="7C2C0EFE"/>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70" w15:restartNumberingAfterBreak="0">
    <w:nsid w:val="64751EBE"/>
    <w:multiLevelType w:val="hybridMultilevel"/>
    <w:tmpl w:val="1772D722"/>
    <w:lvl w:ilvl="0" w:tplc="04180019">
      <w:start w:val="1"/>
      <w:numFmt w:val="lowerLetter"/>
      <w:lvlText w:val="%1."/>
      <w:lvlJc w:val="left"/>
      <w:pPr>
        <w:ind w:left="783" w:hanging="360"/>
      </w:p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71" w15:restartNumberingAfterBreak="0">
    <w:nsid w:val="65E541A5"/>
    <w:multiLevelType w:val="hybridMultilevel"/>
    <w:tmpl w:val="17CADEEA"/>
    <w:lvl w:ilvl="0" w:tplc="72F21434">
      <w:start w:val="1"/>
      <w:numFmt w:val="decimal"/>
      <w:lvlText w:val="(%1)"/>
      <w:lvlJc w:val="left"/>
      <w:pPr>
        <w:ind w:left="720" w:hanging="360"/>
      </w:pPr>
      <w:rPr>
        <w:rFonts w:hint="default"/>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2" w15:restartNumberingAfterBreak="0">
    <w:nsid w:val="67090CB0"/>
    <w:multiLevelType w:val="hybridMultilevel"/>
    <w:tmpl w:val="F1862EC0"/>
    <w:lvl w:ilvl="0" w:tplc="04180001">
      <w:start w:val="1"/>
      <w:numFmt w:val="bullet"/>
      <w:lvlText w:val=""/>
      <w:lvlJc w:val="left"/>
      <w:pPr>
        <w:ind w:left="1495" w:hanging="360"/>
      </w:pPr>
      <w:rPr>
        <w:rFonts w:ascii="Symbol" w:hAnsi="Symbol" w:hint="default"/>
      </w:rPr>
    </w:lvl>
    <w:lvl w:ilvl="1" w:tplc="04180003" w:tentative="1">
      <w:start w:val="1"/>
      <w:numFmt w:val="bullet"/>
      <w:lvlText w:val="o"/>
      <w:lvlJc w:val="left"/>
      <w:pPr>
        <w:ind w:left="2205" w:hanging="360"/>
      </w:pPr>
      <w:rPr>
        <w:rFonts w:ascii="Courier New" w:hAnsi="Courier New" w:cs="Courier New" w:hint="default"/>
      </w:rPr>
    </w:lvl>
    <w:lvl w:ilvl="2" w:tplc="04180005" w:tentative="1">
      <w:start w:val="1"/>
      <w:numFmt w:val="bullet"/>
      <w:lvlText w:val=""/>
      <w:lvlJc w:val="left"/>
      <w:pPr>
        <w:ind w:left="2925" w:hanging="360"/>
      </w:pPr>
      <w:rPr>
        <w:rFonts w:ascii="Wingdings" w:hAnsi="Wingdings" w:hint="default"/>
      </w:rPr>
    </w:lvl>
    <w:lvl w:ilvl="3" w:tplc="04180001" w:tentative="1">
      <w:start w:val="1"/>
      <w:numFmt w:val="bullet"/>
      <w:lvlText w:val=""/>
      <w:lvlJc w:val="left"/>
      <w:pPr>
        <w:ind w:left="3645" w:hanging="360"/>
      </w:pPr>
      <w:rPr>
        <w:rFonts w:ascii="Symbol" w:hAnsi="Symbol" w:hint="default"/>
      </w:rPr>
    </w:lvl>
    <w:lvl w:ilvl="4" w:tplc="04180003" w:tentative="1">
      <w:start w:val="1"/>
      <w:numFmt w:val="bullet"/>
      <w:lvlText w:val="o"/>
      <w:lvlJc w:val="left"/>
      <w:pPr>
        <w:ind w:left="4365" w:hanging="360"/>
      </w:pPr>
      <w:rPr>
        <w:rFonts w:ascii="Courier New" w:hAnsi="Courier New" w:cs="Courier New" w:hint="default"/>
      </w:rPr>
    </w:lvl>
    <w:lvl w:ilvl="5" w:tplc="04180005" w:tentative="1">
      <w:start w:val="1"/>
      <w:numFmt w:val="bullet"/>
      <w:lvlText w:val=""/>
      <w:lvlJc w:val="left"/>
      <w:pPr>
        <w:ind w:left="5085" w:hanging="360"/>
      </w:pPr>
      <w:rPr>
        <w:rFonts w:ascii="Wingdings" w:hAnsi="Wingdings" w:hint="default"/>
      </w:rPr>
    </w:lvl>
    <w:lvl w:ilvl="6" w:tplc="04180001" w:tentative="1">
      <w:start w:val="1"/>
      <w:numFmt w:val="bullet"/>
      <w:lvlText w:val=""/>
      <w:lvlJc w:val="left"/>
      <w:pPr>
        <w:ind w:left="5805" w:hanging="360"/>
      </w:pPr>
      <w:rPr>
        <w:rFonts w:ascii="Symbol" w:hAnsi="Symbol" w:hint="default"/>
      </w:rPr>
    </w:lvl>
    <w:lvl w:ilvl="7" w:tplc="04180003" w:tentative="1">
      <w:start w:val="1"/>
      <w:numFmt w:val="bullet"/>
      <w:lvlText w:val="o"/>
      <w:lvlJc w:val="left"/>
      <w:pPr>
        <w:ind w:left="6525" w:hanging="360"/>
      </w:pPr>
      <w:rPr>
        <w:rFonts w:ascii="Courier New" w:hAnsi="Courier New" w:cs="Courier New" w:hint="default"/>
      </w:rPr>
    </w:lvl>
    <w:lvl w:ilvl="8" w:tplc="04180005" w:tentative="1">
      <w:start w:val="1"/>
      <w:numFmt w:val="bullet"/>
      <w:lvlText w:val=""/>
      <w:lvlJc w:val="left"/>
      <w:pPr>
        <w:ind w:left="7245" w:hanging="360"/>
      </w:pPr>
      <w:rPr>
        <w:rFonts w:ascii="Wingdings" w:hAnsi="Wingdings" w:hint="default"/>
      </w:rPr>
    </w:lvl>
  </w:abstractNum>
  <w:abstractNum w:abstractNumId="73" w15:restartNumberingAfterBreak="0">
    <w:nsid w:val="67FC0CD5"/>
    <w:multiLevelType w:val="hybridMultilevel"/>
    <w:tmpl w:val="E12E2F9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4" w15:restartNumberingAfterBreak="0">
    <w:nsid w:val="68490397"/>
    <w:multiLevelType w:val="hybridMultilevel"/>
    <w:tmpl w:val="EFA2A976"/>
    <w:lvl w:ilvl="0" w:tplc="04180001">
      <w:start w:val="1"/>
      <w:numFmt w:val="bullet"/>
      <w:lvlText w:val=""/>
      <w:lvlJc w:val="left"/>
      <w:pPr>
        <w:ind w:left="1495" w:hanging="360"/>
      </w:pPr>
      <w:rPr>
        <w:rFonts w:ascii="Symbol" w:hAnsi="Symbol" w:hint="default"/>
      </w:rPr>
    </w:lvl>
    <w:lvl w:ilvl="1" w:tplc="04180003" w:tentative="1">
      <w:start w:val="1"/>
      <w:numFmt w:val="bullet"/>
      <w:lvlText w:val="o"/>
      <w:lvlJc w:val="left"/>
      <w:pPr>
        <w:ind w:left="2205" w:hanging="360"/>
      </w:pPr>
      <w:rPr>
        <w:rFonts w:ascii="Courier New" w:hAnsi="Courier New" w:cs="Courier New" w:hint="default"/>
      </w:rPr>
    </w:lvl>
    <w:lvl w:ilvl="2" w:tplc="04180005" w:tentative="1">
      <w:start w:val="1"/>
      <w:numFmt w:val="bullet"/>
      <w:lvlText w:val=""/>
      <w:lvlJc w:val="left"/>
      <w:pPr>
        <w:ind w:left="2925" w:hanging="360"/>
      </w:pPr>
      <w:rPr>
        <w:rFonts w:ascii="Wingdings" w:hAnsi="Wingdings" w:hint="default"/>
      </w:rPr>
    </w:lvl>
    <w:lvl w:ilvl="3" w:tplc="04180001" w:tentative="1">
      <w:start w:val="1"/>
      <w:numFmt w:val="bullet"/>
      <w:lvlText w:val=""/>
      <w:lvlJc w:val="left"/>
      <w:pPr>
        <w:ind w:left="3645" w:hanging="360"/>
      </w:pPr>
      <w:rPr>
        <w:rFonts w:ascii="Symbol" w:hAnsi="Symbol" w:hint="default"/>
      </w:rPr>
    </w:lvl>
    <w:lvl w:ilvl="4" w:tplc="04180003" w:tentative="1">
      <w:start w:val="1"/>
      <w:numFmt w:val="bullet"/>
      <w:lvlText w:val="o"/>
      <w:lvlJc w:val="left"/>
      <w:pPr>
        <w:ind w:left="4365" w:hanging="360"/>
      </w:pPr>
      <w:rPr>
        <w:rFonts w:ascii="Courier New" w:hAnsi="Courier New" w:cs="Courier New" w:hint="default"/>
      </w:rPr>
    </w:lvl>
    <w:lvl w:ilvl="5" w:tplc="04180005" w:tentative="1">
      <w:start w:val="1"/>
      <w:numFmt w:val="bullet"/>
      <w:lvlText w:val=""/>
      <w:lvlJc w:val="left"/>
      <w:pPr>
        <w:ind w:left="5085" w:hanging="360"/>
      </w:pPr>
      <w:rPr>
        <w:rFonts w:ascii="Wingdings" w:hAnsi="Wingdings" w:hint="default"/>
      </w:rPr>
    </w:lvl>
    <w:lvl w:ilvl="6" w:tplc="04180001" w:tentative="1">
      <w:start w:val="1"/>
      <w:numFmt w:val="bullet"/>
      <w:lvlText w:val=""/>
      <w:lvlJc w:val="left"/>
      <w:pPr>
        <w:ind w:left="5805" w:hanging="360"/>
      </w:pPr>
      <w:rPr>
        <w:rFonts w:ascii="Symbol" w:hAnsi="Symbol" w:hint="default"/>
      </w:rPr>
    </w:lvl>
    <w:lvl w:ilvl="7" w:tplc="04180003" w:tentative="1">
      <w:start w:val="1"/>
      <w:numFmt w:val="bullet"/>
      <w:lvlText w:val="o"/>
      <w:lvlJc w:val="left"/>
      <w:pPr>
        <w:ind w:left="6525" w:hanging="360"/>
      </w:pPr>
      <w:rPr>
        <w:rFonts w:ascii="Courier New" w:hAnsi="Courier New" w:cs="Courier New" w:hint="default"/>
      </w:rPr>
    </w:lvl>
    <w:lvl w:ilvl="8" w:tplc="04180005" w:tentative="1">
      <w:start w:val="1"/>
      <w:numFmt w:val="bullet"/>
      <w:lvlText w:val=""/>
      <w:lvlJc w:val="left"/>
      <w:pPr>
        <w:ind w:left="7245" w:hanging="360"/>
      </w:pPr>
      <w:rPr>
        <w:rFonts w:ascii="Wingdings" w:hAnsi="Wingdings" w:hint="default"/>
      </w:rPr>
    </w:lvl>
  </w:abstractNum>
  <w:abstractNum w:abstractNumId="75" w15:restartNumberingAfterBreak="0">
    <w:nsid w:val="6BEF09D0"/>
    <w:multiLevelType w:val="multilevel"/>
    <w:tmpl w:val="4D6800F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6" w15:restartNumberingAfterBreak="0">
    <w:nsid w:val="6C5D7811"/>
    <w:multiLevelType w:val="hybridMultilevel"/>
    <w:tmpl w:val="DE1EE0A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7" w15:restartNumberingAfterBreak="0">
    <w:nsid w:val="700D7463"/>
    <w:multiLevelType w:val="hybridMultilevel"/>
    <w:tmpl w:val="7C72A3B8"/>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78" w15:restartNumberingAfterBreak="0">
    <w:nsid w:val="70276654"/>
    <w:multiLevelType w:val="hybridMultilevel"/>
    <w:tmpl w:val="D63A0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9" w15:restartNumberingAfterBreak="0">
    <w:nsid w:val="71B32024"/>
    <w:multiLevelType w:val="hybridMultilevel"/>
    <w:tmpl w:val="830625D0"/>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80" w15:restartNumberingAfterBreak="0">
    <w:nsid w:val="72E8734E"/>
    <w:multiLevelType w:val="hybridMultilevel"/>
    <w:tmpl w:val="6A7811B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1" w15:restartNumberingAfterBreak="0">
    <w:nsid w:val="73FF440F"/>
    <w:multiLevelType w:val="hybridMultilevel"/>
    <w:tmpl w:val="7C6249C0"/>
    <w:lvl w:ilvl="0" w:tplc="04180001">
      <w:start w:val="1"/>
      <w:numFmt w:val="bullet"/>
      <w:lvlText w:val=""/>
      <w:lvlJc w:val="left"/>
      <w:pPr>
        <w:ind w:left="2792" w:hanging="360"/>
      </w:pPr>
      <w:rPr>
        <w:rFonts w:ascii="Symbol" w:hAnsi="Symbol" w:hint="default"/>
      </w:rPr>
    </w:lvl>
    <w:lvl w:ilvl="1" w:tplc="04180003" w:tentative="1">
      <w:start w:val="1"/>
      <w:numFmt w:val="bullet"/>
      <w:lvlText w:val="o"/>
      <w:lvlJc w:val="left"/>
      <w:pPr>
        <w:ind w:left="3512" w:hanging="360"/>
      </w:pPr>
      <w:rPr>
        <w:rFonts w:ascii="Courier New" w:hAnsi="Courier New" w:cs="Courier New" w:hint="default"/>
      </w:rPr>
    </w:lvl>
    <w:lvl w:ilvl="2" w:tplc="04180005" w:tentative="1">
      <w:start w:val="1"/>
      <w:numFmt w:val="bullet"/>
      <w:lvlText w:val=""/>
      <w:lvlJc w:val="left"/>
      <w:pPr>
        <w:ind w:left="4232" w:hanging="360"/>
      </w:pPr>
      <w:rPr>
        <w:rFonts w:ascii="Wingdings" w:hAnsi="Wingdings" w:hint="default"/>
      </w:rPr>
    </w:lvl>
    <w:lvl w:ilvl="3" w:tplc="04180001" w:tentative="1">
      <w:start w:val="1"/>
      <w:numFmt w:val="bullet"/>
      <w:lvlText w:val=""/>
      <w:lvlJc w:val="left"/>
      <w:pPr>
        <w:ind w:left="4952" w:hanging="360"/>
      </w:pPr>
      <w:rPr>
        <w:rFonts w:ascii="Symbol" w:hAnsi="Symbol" w:hint="default"/>
      </w:rPr>
    </w:lvl>
    <w:lvl w:ilvl="4" w:tplc="04180003" w:tentative="1">
      <w:start w:val="1"/>
      <w:numFmt w:val="bullet"/>
      <w:lvlText w:val="o"/>
      <w:lvlJc w:val="left"/>
      <w:pPr>
        <w:ind w:left="5672" w:hanging="360"/>
      </w:pPr>
      <w:rPr>
        <w:rFonts w:ascii="Courier New" w:hAnsi="Courier New" w:cs="Courier New" w:hint="default"/>
      </w:rPr>
    </w:lvl>
    <w:lvl w:ilvl="5" w:tplc="04180005" w:tentative="1">
      <w:start w:val="1"/>
      <w:numFmt w:val="bullet"/>
      <w:lvlText w:val=""/>
      <w:lvlJc w:val="left"/>
      <w:pPr>
        <w:ind w:left="6392" w:hanging="360"/>
      </w:pPr>
      <w:rPr>
        <w:rFonts w:ascii="Wingdings" w:hAnsi="Wingdings" w:hint="default"/>
      </w:rPr>
    </w:lvl>
    <w:lvl w:ilvl="6" w:tplc="04180001" w:tentative="1">
      <w:start w:val="1"/>
      <w:numFmt w:val="bullet"/>
      <w:lvlText w:val=""/>
      <w:lvlJc w:val="left"/>
      <w:pPr>
        <w:ind w:left="7112" w:hanging="360"/>
      </w:pPr>
      <w:rPr>
        <w:rFonts w:ascii="Symbol" w:hAnsi="Symbol" w:hint="default"/>
      </w:rPr>
    </w:lvl>
    <w:lvl w:ilvl="7" w:tplc="04180003" w:tentative="1">
      <w:start w:val="1"/>
      <w:numFmt w:val="bullet"/>
      <w:lvlText w:val="o"/>
      <w:lvlJc w:val="left"/>
      <w:pPr>
        <w:ind w:left="7832" w:hanging="360"/>
      </w:pPr>
      <w:rPr>
        <w:rFonts w:ascii="Courier New" w:hAnsi="Courier New" w:cs="Courier New" w:hint="default"/>
      </w:rPr>
    </w:lvl>
    <w:lvl w:ilvl="8" w:tplc="04180005" w:tentative="1">
      <w:start w:val="1"/>
      <w:numFmt w:val="bullet"/>
      <w:lvlText w:val=""/>
      <w:lvlJc w:val="left"/>
      <w:pPr>
        <w:ind w:left="8552" w:hanging="360"/>
      </w:pPr>
      <w:rPr>
        <w:rFonts w:ascii="Wingdings" w:hAnsi="Wingdings" w:hint="default"/>
      </w:rPr>
    </w:lvl>
  </w:abstractNum>
  <w:abstractNum w:abstractNumId="82" w15:restartNumberingAfterBreak="0">
    <w:nsid w:val="77216E18"/>
    <w:multiLevelType w:val="hybridMultilevel"/>
    <w:tmpl w:val="D33E984A"/>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83" w15:restartNumberingAfterBreak="0">
    <w:nsid w:val="782201B5"/>
    <w:multiLevelType w:val="hybridMultilevel"/>
    <w:tmpl w:val="645234FE"/>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84" w15:restartNumberingAfterBreak="0">
    <w:nsid w:val="7D921051"/>
    <w:multiLevelType w:val="hybridMultilevel"/>
    <w:tmpl w:val="6B02B98C"/>
    <w:lvl w:ilvl="0" w:tplc="04180001">
      <w:start w:val="1"/>
      <w:numFmt w:val="bullet"/>
      <w:lvlText w:val=""/>
      <w:lvlJc w:val="left"/>
      <w:pPr>
        <w:ind w:left="1495" w:hanging="360"/>
      </w:pPr>
      <w:rPr>
        <w:rFonts w:ascii="Symbol" w:hAnsi="Symbol" w:hint="default"/>
      </w:rPr>
    </w:lvl>
    <w:lvl w:ilvl="1" w:tplc="04180003" w:tentative="1">
      <w:start w:val="1"/>
      <w:numFmt w:val="bullet"/>
      <w:lvlText w:val="o"/>
      <w:lvlJc w:val="left"/>
      <w:pPr>
        <w:ind w:left="2205" w:hanging="360"/>
      </w:pPr>
      <w:rPr>
        <w:rFonts w:ascii="Courier New" w:hAnsi="Courier New" w:cs="Courier New" w:hint="default"/>
      </w:rPr>
    </w:lvl>
    <w:lvl w:ilvl="2" w:tplc="04180005" w:tentative="1">
      <w:start w:val="1"/>
      <w:numFmt w:val="bullet"/>
      <w:lvlText w:val=""/>
      <w:lvlJc w:val="left"/>
      <w:pPr>
        <w:ind w:left="2925" w:hanging="360"/>
      </w:pPr>
      <w:rPr>
        <w:rFonts w:ascii="Wingdings" w:hAnsi="Wingdings" w:hint="default"/>
      </w:rPr>
    </w:lvl>
    <w:lvl w:ilvl="3" w:tplc="04180001" w:tentative="1">
      <w:start w:val="1"/>
      <w:numFmt w:val="bullet"/>
      <w:lvlText w:val=""/>
      <w:lvlJc w:val="left"/>
      <w:pPr>
        <w:ind w:left="3645" w:hanging="360"/>
      </w:pPr>
      <w:rPr>
        <w:rFonts w:ascii="Symbol" w:hAnsi="Symbol" w:hint="default"/>
      </w:rPr>
    </w:lvl>
    <w:lvl w:ilvl="4" w:tplc="04180003" w:tentative="1">
      <w:start w:val="1"/>
      <w:numFmt w:val="bullet"/>
      <w:lvlText w:val="o"/>
      <w:lvlJc w:val="left"/>
      <w:pPr>
        <w:ind w:left="4365" w:hanging="360"/>
      </w:pPr>
      <w:rPr>
        <w:rFonts w:ascii="Courier New" w:hAnsi="Courier New" w:cs="Courier New" w:hint="default"/>
      </w:rPr>
    </w:lvl>
    <w:lvl w:ilvl="5" w:tplc="04180005" w:tentative="1">
      <w:start w:val="1"/>
      <w:numFmt w:val="bullet"/>
      <w:lvlText w:val=""/>
      <w:lvlJc w:val="left"/>
      <w:pPr>
        <w:ind w:left="5085" w:hanging="360"/>
      </w:pPr>
      <w:rPr>
        <w:rFonts w:ascii="Wingdings" w:hAnsi="Wingdings" w:hint="default"/>
      </w:rPr>
    </w:lvl>
    <w:lvl w:ilvl="6" w:tplc="04180001" w:tentative="1">
      <w:start w:val="1"/>
      <w:numFmt w:val="bullet"/>
      <w:lvlText w:val=""/>
      <w:lvlJc w:val="left"/>
      <w:pPr>
        <w:ind w:left="5805" w:hanging="360"/>
      </w:pPr>
      <w:rPr>
        <w:rFonts w:ascii="Symbol" w:hAnsi="Symbol" w:hint="default"/>
      </w:rPr>
    </w:lvl>
    <w:lvl w:ilvl="7" w:tplc="04180003" w:tentative="1">
      <w:start w:val="1"/>
      <w:numFmt w:val="bullet"/>
      <w:lvlText w:val="o"/>
      <w:lvlJc w:val="left"/>
      <w:pPr>
        <w:ind w:left="6525" w:hanging="360"/>
      </w:pPr>
      <w:rPr>
        <w:rFonts w:ascii="Courier New" w:hAnsi="Courier New" w:cs="Courier New" w:hint="default"/>
      </w:rPr>
    </w:lvl>
    <w:lvl w:ilvl="8" w:tplc="04180005" w:tentative="1">
      <w:start w:val="1"/>
      <w:numFmt w:val="bullet"/>
      <w:lvlText w:val=""/>
      <w:lvlJc w:val="left"/>
      <w:pPr>
        <w:ind w:left="7245" w:hanging="360"/>
      </w:pPr>
      <w:rPr>
        <w:rFonts w:ascii="Wingdings" w:hAnsi="Wingdings" w:hint="default"/>
      </w:rPr>
    </w:lvl>
  </w:abstractNum>
  <w:num w:numId="1">
    <w:abstractNumId w:val="64"/>
  </w:num>
  <w:num w:numId="2">
    <w:abstractNumId w:val="47"/>
  </w:num>
  <w:num w:numId="3">
    <w:abstractNumId w:val="20"/>
  </w:num>
  <w:num w:numId="4">
    <w:abstractNumId w:val="54"/>
  </w:num>
  <w:num w:numId="5">
    <w:abstractNumId w:val="68"/>
  </w:num>
  <w:num w:numId="6">
    <w:abstractNumId w:val="60"/>
  </w:num>
  <w:num w:numId="7">
    <w:abstractNumId w:val="70"/>
  </w:num>
  <w:num w:numId="8">
    <w:abstractNumId w:val="53"/>
  </w:num>
  <w:num w:numId="9">
    <w:abstractNumId w:val="33"/>
  </w:num>
  <w:num w:numId="10">
    <w:abstractNumId w:val="2"/>
  </w:num>
  <w:num w:numId="11">
    <w:abstractNumId w:val="13"/>
  </w:num>
  <w:num w:numId="12">
    <w:abstractNumId w:val="75"/>
  </w:num>
  <w:num w:numId="13">
    <w:abstractNumId w:val="18"/>
  </w:num>
  <w:num w:numId="14">
    <w:abstractNumId w:val="76"/>
  </w:num>
  <w:num w:numId="15">
    <w:abstractNumId w:val="1"/>
  </w:num>
  <w:num w:numId="16">
    <w:abstractNumId w:val="71"/>
  </w:num>
  <w:num w:numId="17">
    <w:abstractNumId w:val="40"/>
  </w:num>
  <w:num w:numId="18">
    <w:abstractNumId w:val="67"/>
  </w:num>
  <w:num w:numId="19">
    <w:abstractNumId w:val="42"/>
  </w:num>
  <w:num w:numId="20">
    <w:abstractNumId w:val="12"/>
  </w:num>
  <w:num w:numId="21">
    <w:abstractNumId w:val="79"/>
  </w:num>
  <w:num w:numId="22">
    <w:abstractNumId w:val="77"/>
  </w:num>
  <w:num w:numId="23">
    <w:abstractNumId w:val="30"/>
  </w:num>
  <w:num w:numId="24">
    <w:abstractNumId w:val="69"/>
  </w:num>
  <w:num w:numId="25">
    <w:abstractNumId w:val="39"/>
  </w:num>
  <w:num w:numId="26">
    <w:abstractNumId w:val="38"/>
  </w:num>
  <w:num w:numId="27">
    <w:abstractNumId w:val="7"/>
  </w:num>
  <w:num w:numId="28">
    <w:abstractNumId w:val="25"/>
  </w:num>
  <w:num w:numId="29">
    <w:abstractNumId w:val="27"/>
  </w:num>
  <w:num w:numId="30">
    <w:abstractNumId w:val="48"/>
  </w:num>
  <w:num w:numId="31">
    <w:abstractNumId w:val="23"/>
  </w:num>
  <w:num w:numId="32">
    <w:abstractNumId w:val="66"/>
  </w:num>
  <w:num w:numId="33">
    <w:abstractNumId w:val="32"/>
  </w:num>
  <w:num w:numId="34">
    <w:abstractNumId w:val="16"/>
  </w:num>
  <w:num w:numId="35">
    <w:abstractNumId w:val="59"/>
  </w:num>
  <w:num w:numId="36">
    <w:abstractNumId w:val="84"/>
  </w:num>
  <w:num w:numId="37">
    <w:abstractNumId w:val="8"/>
  </w:num>
  <w:num w:numId="38">
    <w:abstractNumId w:val="11"/>
  </w:num>
  <w:num w:numId="39">
    <w:abstractNumId w:val="74"/>
  </w:num>
  <w:num w:numId="40">
    <w:abstractNumId w:val="83"/>
  </w:num>
  <w:num w:numId="41">
    <w:abstractNumId w:val="3"/>
  </w:num>
  <w:num w:numId="42">
    <w:abstractNumId w:val="28"/>
  </w:num>
  <w:num w:numId="43">
    <w:abstractNumId w:val="63"/>
  </w:num>
  <w:num w:numId="44">
    <w:abstractNumId w:val="82"/>
  </w:num>
  <w:num w:numId="45">
    <w:abstractNumId w:val="41"/>
  </w:num>
  <w:num w:numId="46">
    <w:abstractNumId w:val="52"/>
  </w:num>
  <w:num w:numId="47">
    <w:abstractNumId w:val="9"/>
  </w:num>
  <w:num w:numId="48">
    <w:abstractNumId w:val="36"/>
  </w:num>
  <w:num w:numId="49">
    <w:abstractNumId w:val="19"/>
  </w:num>
  <w:num w:numId="50">
    <w:abstractNumId w:val="61"/>
  </w:num>
  <w:num w:numId="51">
    <w:abstractNumId w:val="72"/>
  </w:num>
  <w:num w:numId="52">
    <w:abstractNumId w:val="65"/>
  </w:num>
  <w:num w:numId="53">
    <w:abstractNumId w:val="81"/>
  </w:num>
  <w:num w:numId="54">
    <w:abstractNumId w:val="6"/>
  </w:num>
  <w:num w:numId="55">
    <w:abstractNumId w:val="58"/>
  </w:num>
  <w:num w:numId="56">
    <w:abstractNumId w:val="62"/>
  </w:num>
  <w:num w:numId="57">
    <w:abstractNumId w:val="10"/>
  </w:num>
  <w:num w:numId="58">
    <w:abstractNumId w:val="55"/>
  </w:num>
  <w:num w:numId="59">
    <w:abstractNumId w:val="80"/>
  </w:num>
  <w:num w:numId="60">
    <w:abstractNumId w:val="34"/>
  </w:num>
  <w:num w:numId="61">
    <w:abstractNumId w:val="43"/>
  </w:num>
  <w:num w:numId="62">
    <w:abstractNumId w:val="78"/>
  </w:num>
  <w:num w:numId="63">
    <w:abstractNumId w:val="26"/>
  </w:num>
  <w:num w:numId="64">
    <w:abstractNumId w:val="73"/>
  </w:num>
  <w:num w:numId="65">
    <w:abstractNumId w:val="14"/>
  </w:num>
  <w:num w:numId="66">
    <w:abstractNumId w:val="0"/>
  </w:num>
  <w:num w:numId="67">
    <w:abstractNumId w:val="57"/>
  </w:num>
  <w:num w:numId="68">
    <w:abstractNumId w:val="51"/>
  </w:num>
  <w:num w:numId="69">
    <w:abstractNumId w:val="22"/>
  </w:num>
  <w:num w:numId="70">
    <w:abstractNumId w:val="45"/>
  </w:num>
  <w:num w:numId="71">
    <w:abstractNumId w:val="29"/>
  </w:num>
  <w:num w:numId="72">
    <w:abstractNumId w:val="49"/>
  </w:num>
  <w:num w:numId="73">
    <w:abstractNumId w:val="46"/>
  </w:num>
  <w:num w:numId="74">
    <w:abstractNumId w:val="50"/>
  </w:num>
  <w:num w:numId="75">
    <w:abstractNumId w:val="35"/>
  </w:num>
  <w:num w:numId="76">
    <w:abstractNumId w:val="15"/>
  </w:num>
  <w:num w:numId="77">
    <w:abstractNumId w:val="4"/>
  </w:num>
  <w:num w:numId="78">
    <w:abstractNumId w:val="17"/>
  </w:num>
  <w:num w:numId="79">
    <w:abstractNumId w:val="21"/>
  </w:num>
  <w:num w:numId="80">
    <w:abstractNumId w:val="56"/>
  </w:num>
  <w:num w:numId="81">
    <w:abstractNumId w:val="37"/>
  </w:num>
  <w:num w:numId="82">
    <w:abstractNumId w:val="5"/>
  </w:num>
  <w:num w:numId="83">
    <w:abstractNumId w:val="44"/>
  </w:num>
  <w:num w:numId="84">
    <w:abstractNumId w:val="31"/>
  </w:num>
  <w:num w:numId="85">
    <w:abstractNumId w:val="2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hideSpellingErrors/>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4E07"/>
    <w:rsid w:val="000005D6"/>
    <w:rsid w:val="00000CD4"/>
    <w:rsid w:val="00001AF5"/>
    <w:rsid w:val="0000249F"/>
    <w:rsid w:val="00005000"/>
    <w:rsid w:val="000052DD"/>
    <w:rsid w:val="00005649"/>
    <w:rsid w:val="00005C52"/>
    <w:rsid w:val="00006262"/>
    <w:rsid w:val="000062DA"/>
    <w:rsid w:val="0000674E"/>
    <w:rsid w:val="000107AD"/>
    <w:rsid w:val="00010C18"/>
    <w:rsid w:val="000113AC"/>
    <w:rsid w:val="000116F5"/>
    <w:rsid w:val="00013D8C"/>
    <w:rsid w:val="00016ECE"/>
    <w:rsid w:val="00017113"/>
    <w:rsid w:val="0001721C"/>
    <w:rsid w:val="00020647"/>
    <w:rsid w:val="00020706"/>
    <w:rsid w:val="00020DF6"/>
    <w:rsid w:val="0002384B"/>
    <w:rsid w:val="000243BC"/>
    <w:rsid w:val="00024433"/>
    <w:rsid w:val="00024B44"/>
    <w:rsid w:val="00024F77"/>
    <w:rsid w:val="00025046"/>
    <w:rsid w:val="0002539F"/>
    <w:rsid w:val="00025C0D"/>
    <w:rsid w:val="00026B25"/>
    <w:rsid w:val="00026E3A"/>
    <w:rsid w:val="00031FA9"/>
    <w:rsid w:val="00032459"/>
    <w:rsid w:val="00035A32"/>
    <w:rsid w:val="0003652D"/>
    <w:rsid w:val="000368EE"/>
    <w:rsid w:val="00040176"/>
    <w:rsid w:val="00042DF8"/>
    <w:rsid w:val="00043E22"/>
    <w:rsid w:val="00044766"/>
    <w:rsid w:val="00044A0C"/>
    <w:rsid w:val="000461AA"/>
    <w:rsid w:val="00046915"/>
    <w:rsid w:val="0004699E"/>
    <w:rsid w:val="00051A8E"/>
    <w:rsid w:val="0005298F"/>
    <w:rsid w:val="00053AEB"/>
    <w:rsid w:val="0005563E"/>
    <w:rsid w:val="00055992"/>
    <w:rsid w:val="000577B1"/>
    <w:rsid w:val="00060E8D"/>
    <w:rsid w:val="0006212D"/>
    <w:rsid w:val="00062379"/>
    <w:rsid w:val="0006611C"/>
    <w:rsid w:val="0006690F"/>
    <w:rsid w:val="00066E81"/>
    <w:rsid w:val="000704F2"/>
    <w:rsid w:val="00070A56"/>
    <w:rsid w:val="00071E32"/>
    <w:rsid w:val="0007212F"/>
    <w:rsid w:val="000722A8"/>
    <w:rsid w:val="00072D0F"/>
    <w:rsid w:val="00074441"/>
    <w:rsid w:val="00074EF3"/>
    <w:rsid w:val="0007613A"/>
    <w:rsid w:val="0007647B"/>
    <w:rsid w:val="00083650"/>
    <w:rsid w:val="0008556E"/>
    <w:rsid w:val="00086DB1"/>
    <w:rsid w:val="000878AF"/>
    <w:rsid w:val="00090072"/>
    <w:rsid w:val="00090B7E"/>
    <w:rsid w:val="00090E0C"/>
    <w:rsid w:val="00091300"/>
    <w:rsid w:val="00091DB0"/>
    <w:rsid w:val="00093EE6"/>
    <w:rsid w:val="000942FA"/>
    <w:rsid w:val="00094403"/>
    <w:rsid w:val="00094928"/>
    <w:rsid w:val="000A244F"/>
    <w:rsid w:val="000A28FD"/>
    <w:rsid w:val="000A42FB"/>
    <w:rsid w:val="000A49CE"/>
    <w:rsid w:val="000A4D17"/>
    <w:rsid w:val="000B007B"/>
    <w:rsid w:val="000B0AA8"/>
    <w:rsid w:val="000B13DE"/>
    <w:rsid w:val="000B2485"/>
    <w:rsid w:val="000B2805"/>
    <w:rsid w:val="000B28B9"/>
    <w:rsid w:val="000B2B79"/>
    <w:rsid w:val="000B2B87"/>
    <w:rsid w:val="000B45ED"/>
    <w:rsid w:val="000B5A11"/>
    <w:rsid w:val="000B61F3"/>
    <w:rsid w:val="000B6AB9"/>
    <w:rsid w:val="000B6EA6"/>
    <w:rsid w:val="000C0A9C"/>
    <w:rsid w:val="000C0BBD"/>
    <w:rsid w:val="000C0DEC"/>
    <w:rsid w:val="000C1E4B"/>
    <w:rsid w:val="000C221B"/>
    <w:rsid w:val="000C393C"/>
    <w:rsid w:val="000C3B21"/>
    <w:rsid w:val="000C42F7"/>
    <w:rsid w:val="000D274D"/>
    <w:rsid w:val="000D4664"/>
    <w:rsid w:val="000D4B5C"/>
    <w:rsid w:val="000D58F1"/>
    <w:rsid w:val="000D7EC8"/>
    <w:rsid w:val="000E1259"/>
    <w:rsid w:val="000E15E2"/>
    <w:rsid w:val="000E318D"/>
    <w:rsid w:val="000E3558"/>
    <w:rsid w:val="000E3E01"/>
    <w:rsid w:val="000E7BFD"/>
    <w:rsid w:val="000F018C"/>
    <w:rsid w:val="000F0E43"/>
    <w:rsid w:val="000F180C"/>
    <w:rsid w:val="000F3F07"/>
    <w:rsid w:val="000F3FEC"/>
    <w:rsid w:val="000F40B6"/>
    <w:rsid w:val="000F4F58"/>
    <w:rsid w:val="000F5585"/>
    <w:rsid w:val="000F57F9"/>
    <w:rsid w:val="000F5F68"/>
    <w:rsid w:val="000F6278"/>
    <w:rsid w:val="000F7A73"/>
    <w:rsid w:val="001002E0"/>
    <w:rsid w:val="0010076E"/>
    <w:rsid w:val="00100957"/>
    <w:rsid w:val="00100C58"/>
    <w:rsid w:val="00100DF0"/>
    <w:rsid w:val="001013B2"/>
    <w:rsid w:val="00102810"/>
    <w:rsid w:val="00103A19"/>
    <w:rsid w:val="001060CA"/>
    <w:rsid w:val="00107D03"/>
    <w:rsid w:val="001131ED"/>
    <w:rsid w:val="001138A7"/>
    <w:rsid w:val="0011489E"/>
    <w:rsid w:val="00115E6B"/>
    <w:rsid w:val="001164DD"/>
    <w:rsid w:val="001172E7"/>
    <w:rsid w:val="001176B8"/>
    <w:rsid w:val="00120561"/>
    <w:rsid w:val="00120846"/>
    <w:rsid w:val="0012091D"/>
    <w:rsid w:val="00122ABC"/>
    <w:rsid w:val="001235BB"/>
    <w:rsid w:val="00123AC1"/>
    <w:rsid w:val="001246D9"/>
    <w:rsid w:val="00125F6C"/>
    <w:rsid w:val="001269F8"/>
    <w:rsid w:val="00126D7C"/>
    <w:rsid w:val="00130D58"/>
    <w:rsid w:val="00130D86"/>
    <w:rsid w:val="00131CDD"/>
    <w:rsid w:val="001333CE"/>
    <w:rsid w:val="001372BD"/>
    <w:rsid w:val="001406DA"/>
    <w:rsid w:val="0014226B"/>
    <w:rsid w:val="00145351"/>
    <w:rsid w:val="00145827"/>
    <w:rsid w:val="00146846"/>
    <w:rsid w:val="001477C3"/>
    <w:rsid w:val="001478C7"/>
    <w:rsid w:val="00151752"/>
    <w:rsid w:val="0015299C"/>
    <w:rsid w:val="001529E0"/>
    <w:rsid w:val="00154C34"/>
    <w:rsid w:val="00154C5A"/>
    <w:rsid w:val="00154E06"/>
    <w:rsid w:val="00155B7A"/>
    <w:rsid w:val="00156288"/>
    <w:rsid w:val="00156D05"/>
    <w:rsid w:val="00156E65"/>
    <w:rsid w:val="001575F2"/>
    <w:rsid w:val="001579D0"/>
    <w:rsid w:val="00161235"/>
    <w:rsid w:val="00161F4B"/>
    <w:rsid w:val="00161FA3"/>
    <w:rsid w:val="001661C8"/>
    <w:rsid w:val="00166467"/>
    <w:rsid w:val="0016688D"/>
    <w:rsid w:val="00166D41"/>
    <w:rsid w:val="0016776D"/>
    <w:rsid w:val="00167827"/>
    <w:rsid w:val="00170156"/>
    <w:rsid w:val="0017149F"/>
    <w:rsid w:val="00171E1C"/>
    <w:rsid w:val="001731A7"/>
    <w:rsid w:val="00174EB4"/>
    <w:rsid w:val="00175EAE"/>
    <w:rsid w:val="001825CA"/>
    <w:rsid w:val="00182A78"/>
    <w:rsid w:val="00183982"/>
    <w:rsid w:val="0018406F"/>
    <w:rsid w:val="0018465A"/>
    <w:rsid w:val="00184AFE"/>
    <w:rsid w:val="001857F6"/>
    <w:rsid w:val="00185F50"/>
    <w:rsid w:val="00186F28"/>
    <w:rsid w:val="00187705"/>
    <w:rsid w:val="00190182"/>
    <w:rsid w:val="0019225A"/>
    <w:rsid w:val="001938CF"/>
    <w:rsid w:val="001950A8"/>
    <w:rsid w:val="00196002"/>
    <w:rsid w:val="001963B0"/>
    <w:rsid w:val="00197533"/>
    <w:rsid w:val="001979C2"/>
    <w:rsid w:val="00197C8E"/>
    <w:rsid w:val="001A31B6"/>
    <w:rsid w:val="001A42F3"/>
    <w:rsid w:val="001A5A2A"/>
    <w:rsid w:val="001A5AA4"/>
    <w:rsid w:val="001A6106"/>
    <w:rsid w:val="001A663F"/>
    <w:rsid w:val="001B0128"/>
    <w:rsid w:val="001B058D"/>
    <w:rsid w:val="001B1FA5"/>
    <w:rsid w:val="001B270E"/>
    <w:rsid w:val="001B2B79"/>
    <w:rsid w:val="001B416A"/>
    <w:rsid w:val="001B4BAC"/>
    <w:rsid w:val="001B525B"/>
    <w:rsid w:val="001B5312"/>
    <w:rsid w:val="001B6E6C"/>
    <w:rsid w:val="001B700E"/>
    <w:rsid w:val="001B7137"/>
    <w:rsid w:val="001B7741"/>
    <w:rsid w:val="001B7BA5"/>
    <w:rsid w:val="001B7CCE"/>
    <w:rsid w:val="001B7EA5"/>
    <w:rsid w:val="001C2238"/>
    <w:rsid w:val="001C23DD"/>
    <w:rsid w:val="001C26B7"/>
    <w:rsid w:val="001C29AC"/>
    <w:rsid w:val="001C46FB"/>
    <w:rsid w:val="001C4F82"/>
    <w:rsid w:val="001C6297"/>
    <w:rsid w:val="001C71A1"/>
    <w:rsid w:val="001D02F1"/>
    <w:rsid w:val="001D15E2"/>
    <w:rsid w:val="001D21C2"/>
    <w:rsid w:val="001D2376"/>
    <w:rsid w:val="001D32C5"/>
    <w:rsid w:val="001D36D7"/>
    <w:rsid w:val="001D3FCD"/>
    <w:rsid w:val="001D50D6"/>
    <w:rsid w:val="001D6998"/>
    <w:rsid w:val="001D73EA"/>
    <w:rsid w:val="001E089F"/>
    <w:rsid w:val="001E0C14"/>
    <w:rsid w:val="001E0D2C"/>
    <w:rsid w:val="001E1578"/>
    <w:rsid w:val="001E48AC"/>
    <w:rsid w:val="001E6BEC"/>
    <w:rsid w:val="001F0A7A"/>
    <w:rsid w:val="001F1D09"/>
    <w:rsid w:val="001F3075"/>
    <w:rsid w:val="001F4311"/>
    <w:rsid w:val="001F571C"/>
    <w:rsid w:val="001F69A6"/>
    <w:rsid w:val="001F6CA9"/>
    <w:rsid w:val="00200336"/>
    <w:rsid w:val="00200783"/>
    <w:rsid w:val="002013A4"/>
    <w:rsid w:val="0020380E"/>
    <w:rsid w:val="00204557"/>
    <w:rsid w:val="0020692B"/>
    <w:rsid w:val="00206AC6"/>
    <w:rsid w:val="00207434"/>
    <w:rsid w:val="0021028E"/>
    <w:rsid w:val="00211CB0"/>
    <w:rsid w:val="00212999"/>
    <w:rsid w:val="00213075"/>
    <w:rsid w:val="002136C2"/>
    <w:rsid w:val="00214CBD"/>
    <w:rsid w:val="00215CED"/>
    <w:rsid w:val="002160F5"/>
    <w:rsid w:val="00216A9E"/>
    <w:rsid w:val="002204CE"/>
    <w:rsid w:val="00221048"/>
    <w:rsid w:val="00222730"/>
    <w:rsid w:val="00222BDE"/>
    <w:rsid w:val="0022317B"/>
    <w:rsid w:val="00225E6F"/>
    <w:rsid w:val="00226691"/>
    <w:rsid w:val="0022711D"/>
    <w:rsid w:val="002276EC"/>
    <w:rsid w:val="0023001B"/>
    <w:rsid w:val="00230399"/>
    <w:rsid w:val="002306CF"/>
    <w:rsid w:val="002354A5"/>
    <w:rsid w:val="002356F4"/>
    <w:rsid w:val="00237D61"/>
    <w:rsid w:val="00237E13"/>
    <w:rsid w:val="00240047"/>
    <w:rsid w:val="002408CA"/>
    <w:rsid w:val="00240C41"/>
    <w:rsid w:val="00241121"/>
    <w:rsid w:val="00241593"/>
    <w:rsid w:val="002415B5"/>
    <w:rsid w:val="00245301"/>
    <w:rsid w:val="002455CC"/>
    <w:rsid w:val="00246DAE"/>
    <w:rsid w:val="00250CD0"/>
    <w:rsid w:val="002516DB"/>
    <w:rsid w:val="00252C18"/>
    <w:rsid w:val="00254C76"/>
    <w:rsid w:val="00256B1F"/>
    <w:rsid w:val="00260113"/>
    <w:rsid w:val="00261563"/>
    <w:rsid w:val="0026474C"/>
    <w:rsid w:val="002650ED"/>
    <w:rsid w:val="00265891"/>
    <w:rsid w:val="00266028"/>
    <w:rsid w:val="00271453"/>
    <w:rsid w:val="00271B7E"/>
    <w:rsid w:val="0027213F"/>
    <w:rsid w:val="0027253F"/>
    <w:rsid w:val="00276DE2"/>
    <w:rsid w:val="00277C86"/>
    <w:rsid w:val="00281732"/>
    <w:rsid w:val="00282738"/>
    <w:rsid w:val="002838B5"/>
    <w:rsid w:val="00283C12"/>
    <w:rsid w:val="00284A6B"/>
    <w:rsid w:val="00285D0C"/>
    <w:rsid w:val="00285F88"/>
    <w:rsid w:val="00286F56"/>
    <w:rsid w:val="00287874"/>
    <w:rsid w:val="00290781"/>
    <w:rsid w:val="002913D1"/>
    <w:rsid w:val="002916F9"/>
    <w:rsid w:val="00292243"/>
    <w:rsid w:val="00293BDD"/>
    <w:rsid w:val="00294C92"/>
    <w:rsid w:val="00295245"/>
    <w:rsid w:val="002961FE"/>
    <w:rsid w:val="00296BCD"/>
    <w:rsid w:val="00296D84"/>
    <w:rsid w:val="0029750E"/>
    <w:rsid w:val="00297ED2"/>
    <w:rsid w:val="002A040E"/>
    <w:rsid w:val="002A04EE"/>
    <w:rsid w:val="002A0806"/>
    <w:rsid w:val="002A0B65"/>
    <w:rsid w:val="002A1DCB"/>
    <w:rsid w:val="002A1FDE"/>
    <w:rsid w:val="002A2B9B"/>
    <w:rsid w:val="002A2FA5"/>
    <w:rsid w:val="002A31C4"/>
    <w:rsid w:val="002A364C"/>
    <w:rsid w:val="002A393E"/>
    <w:rsid w:val="002A49A1"/>
    <w:rsid w:val="002A4C5B"/>
    <w:rsid w:val="002A5C7B"/>
    <w:rsid w:val="002A5E91"/>
    <w:rsid w:val="002A7C11"/>
    <w:rsid w:val="002B125C"/>
    <w:rsid w:val="002B132D"/>
    <w:rsid w:val="002B245C"/>
    <w:rsid w:val="002B32BA"/>
    <w:rsid w:val="002B3FCC"/>
    <w:rsid w:val="002B4FD3"/>
    <w:rsid w:val="002B62F0"/>
    <w:rsid w:val="002B653C"/>
    <w:rsid w:val="002C0404"/>
    <w:rsid w:val="002C2A73"/>
    <w:rsid w:val="002C3CD0"/>
    <w:rsid w:val="002C458B"/>
    <w:rsid w:val="002C4C93"/>
    <w:rsid w:val="002C4E6A"/>
    <w:rsid w:val="002D21DA"/>
    <w:rsid w:val="002D368F"/>
    <w:rsid w:val="002D411B"/>
    <w:rsid w:val="002D45DF"/>
    <w:rsid w:val="002D7488"/>
    <w:rsid w:val="002D7F52"/>
    <w:rsid w:val="002E225D"/>
    <w:rsid w:val="002E4DC6"/>
    <w:rsid w:val="002E66A5"/>
    <w:rsid w:val="002E6EA7"/>
    <w:rsid w:val="002E756E"/>
    <w:rsid w:val="002F16BD"/>
    <w:rsid w:val="002F17B0"/>
    <w:rsid w:val="002F28C4"/>
    <w:rsid w:val="002F31BC"/>
    <w:rsid w:val="002F4A55"/>
    <w:rsid w:val="002F52C0"/>
    <w:rsid w:val="002F58FE"/>
    <w:rsid w:val="002F6A7E"/>
    <w:rsid w:val="003010D8"/>
    <w:rsid w:val="0030147D"/>
    <w:rsid w:val="00302C08"/>
    <w:rsid w:val="003055DE"/>
    <w:rsid w:val="00306733"/>
    <w:rsid w:val="003073C7"/>
    <w:rsid w:val="00307DDB"/>
    <w:rsid w:val="00310C1C"/>
    <w:rsid w:val="00311765"/>
    <w:rsid w:val="003139AC"/>
    <w:rsid w:val="00315162"/>
    <w:rsid w:val="0031790D"/>
    <w:rsid w:val="00320521"/>
    <w:rsid w:val="00320D63"/>
    <w:rsid w:val="00321749"/>
    <w:rsid w:val="00323EF9"/>
    <w:rsid w:val="0032455B"/>
    <w:rsid w:val="00324BB9"/>
    <w:rsid w:val="00325066"/>
    <w:rsid w:val="003258D4"/>
    <w:rsid w:val="00327A21"/>
    <w:rsid w:val="0033067B"/>
    <w:rsid w:val="00330F31"/>
    <w:rsid w:val="003313F7"/>
    <w:rsid w:val="00334FA9"/>
    <w:rsid w:val="00337CDA"/>
    <w:rsid w:val="00340393"/>
    <w:rsid w:val="003404B6"/>
    <w:rsid w:val="0034119E"/>
    <w:rsid w:val="00342540"/>
    <w:rsid w:val="00342D5D"/>
    <w:rsid w:val="0034324D"/>
    <w:rsid w:val="00344146"/>
    <w:rsid w:val="00344EA9"/>
    <w:rsid w:val="00346182"/>
    <w:rsid w:val="00347845"/>
    <w:rsid w:val="00350BF2"/>
    <w:rsid w:val="003515D4"/>
    <w:rsid w:val="00353B25"/>
    <w:rsid w:val="00353D0D"/>
    <w:rsid w:val="0035422C"/>
    <w:rsid w:val="0035493E"/>
    <w:rsid w:val="003556BE"/>
    <w:rsid w:val="00355D0C"/>
    <w:rsid w:val="00360A5A"/>
    <w:rsid w:val="00360F95"/>
    <w:rsid w:val="003628A2"/>
    <w:rsid w:val="0036335D"/>
    <w:rsid w:val="00363735"/>
    <w:rsid w:val="0036490F"/>
    <w:rsid w:val="00366703"/>
    <w:rsid w:val="00367EB8"/>
    <w:rsid w:val="00367F49"/>
    <w:rsid w:val="00370B3C"/>
    <w:rsid w:val="00371007"/>
    <w:rsid w:val="003726A7"/>
    <w:rsid w:val="00372784"/>
    <w:rsid w:val="00373308"/>
    <w:rsid w:val="003739B6"/>
    <w:rsid w:val="00380364"/>
    <w:rsid w:val="00381A8E"/>
    <w:rsid w:val="00381D7A"/>
    <w:rsid w:val="00383899"/>
    <w:rsid w:val="003902E8"/>
    <w:rsid w:val="00394206"/>
    <w:rsid w:val="0039628E"/>
    <w:rsid w:val="003A1433"/>
    <w:rsid w:val="003A2605"/>
    <w:rsid w:val="003A31F2"/>
    <w:rsid w:val="003A5075"/>
    <w:rsid w:val="003A66B9"/>
    <w:rsid w:val="003A7974"/>
    <w:rsid w:val="003B0FF4"/>
    <w:rsid w:val="003B7328"/>
    <w:rsid w:val="003C1C4D"/>
    <w:rsid w:val="003C2F9E"/>
    <w:rsid w:val="003C4F2B"/>
    <w:rsid w:val="003C532A"/>
    <w:rsid w:val="003C58B3"/>
    <w:rsid w:val="003D2900"/>
    <w:rsid w:val="003D2C5B"/>
    <w:rsid w:val="003D4252"/>
    <w:rsid w:val="003D5A16"/>
    <w:rsid w:val="003E01B4"/>
    <w:rsid w:val="003E0AF9"/>
    <w:rsid w:val="003E1068"/>
    <w:rsid w:val="003E1E49"/>
    <w:rsid w:val="003E2317"/>
    <w:rsid w:val="003E24C2"/>
    <w:rsid w:val="003E2CF1"/>
    <w:rsid w:val="003E4A5F"/>
    <w:rsid w:val="003E511D"/>
    <w:rsid w:val="003E51DD"/>
    <w:rsid w:val="003E780A"/>
    <w:rsid w:val="003E7CF4"/>
    <w:rsid w:val="003E7EED"/>
    <w:rsid w:val="003F242C"/>
    <w:rsid w:val="003F32C9"/>
    <w:rsid w:val="003F3AF0"/>
    <w:rsid w:val="003F7593"/>
    <w:rsid w:val="003F79F0"/>
    <w:rsid w:val="00402A53"/>
    <w:rsid w:val="00402D2A"/>
    <w:rsid w:val="0040313D"/>
    <w:rsid w:val="00405832"/>
    <w:rsid w:val="00405E53"/>
    <w:rsid w:val="00407315"/>
    <w:rsid w:val="004109AC"/>
    <w:rsid w:val="00411012"/>
    <w:rsid w:val="00411F9F"/>
    <w:rsid w:val="00411FAB"/>
    <w:rsid w:val="0041243A"/>
    <w:rsid w:val="00412653"/>
    <w:rsid w:val="004127BA"/>
    <w:rsid w:val="00413372"/>
    <w:rsid w:val="00417590"/>
    <w:rsid w:val="00417AF8"/>
    <w:rsid w:val="004200D0"/>
    <w:rsid w:val="004201F1"/>
    <w:rsid w:val="004203CB"/>
    <w:rsid w:val="00421140"/>
    <w:rsid w:val="00421984"/>
    <w:rsid w:val="0042312A"/>
    <w:rsid w:val="0042326A"/>
    <w:rsid w:val="004252E9"/>
    <w:rsid w:val="00425BD8"/>
    <w:rsid w:val="00426D5D"/>
    <w:rsid w:val="004313AF"/>
    <w:rsid w:val="00431864"/>
    <w:rsid w:val="00435FB3"/>
    <w:rsid w:val="00436196"/>
    <w:rsid w:val="004371E0"/>
    <w:rsid w:val="0043774D"/>
    <w:rsid w:val="004379B5"/>
    <w:rsid w:val="00437C6B"/>
    <w:rsid w:val="00441972"/>
    <w:rsid w:val="00442D7D"/>
    <w:rsid w:val="00445BC4"/>
    <w:rsid w:val="004467C5"/>
    <w:rsid w:val="00446FFE"/>
    <w:rsid w:val="004501E3"/>
    <w:rsid w:val="00450919"/>
    <w:rsid w:val="00450EDA"/>
    <w:rsid w:val="00451425"/>
    <w:rsid w:val="004522EC"/>
    <w:rsid w:val="00453FAF"/>
    <w:rsid w:val="00455CC1"/>
    <w:rsid w:val="00457C04"/>
    <w:rsid w:val="00457E97"/>
    <w:rsid w:val="00460BD5"/>
    <w:rsid w:val="00461201"/>
    <w:rsid w:val="00462270"/>
    <w:rsid w:val="00465028"/>
    <w:rsid w:val="00465385"/>
    <w:rsid w:val="004667BE"/>
    <w:rsid w:val="00467753"/>
    <w:rsid w:val="00467DCC"/>
    <w:rsid w:val="004705FD"/>
    <w:rsid w:val="00471866"/>
    <w:rsid w:val="00472819"/>
    <w:rsid w:val="00472970"/>
    <w:rsid w:val="00472B0E"/>
    <w:rsid w:val="00475343"/>
    <w:rsid w:val="004763BF"/>
    <w:rsid w:val="004800E2"/>
    <w:rsid w:val="004818A0"/>
    <w:rsid w:val="00481E8A"/>
    <w:rsid w:val="00483670"/>
    <w:rsid w:val="00484E61"/>
    <w:rsid w:val="00485D9D"/>
    <w:rsid w:val="0048717B"/>
    <w:rsid w:val="00490619"/>
    <w:rsid w:val="0049183D"/>
    <w:rsid w:val="00491BD7"/>
    <w:rsid w:val="004920C6"/>
    <w:rsid w:val="00492A7A"/>
    <w:rsid w:val="004963C7"/>
    <w:rsid w:val="00497838"/>
    <w:rsid w:val="004A0086"/>
    <w:rsid w:val="004A072A"/>
    <w:rsid w:val="004A08D6"/>
    <w:rsid w:val="004A0C87"/>
    <w:rsid w:val="004A0D71"/>
    <w:rsid w:val="004A173B"/>
    <w:rsid w:val="004A2CC9"/>
    <w:rsid w:val="004A3DD1"/>
    <w:rsid w:val="004A540E"/>
    <w:rsid w:val="004A6CCA"/>
    <w:rsid w:val="004B07AB"/>
    <w:rsid w:val="004B07AF"/>
    <w:rsid w:val="004B0D05"/>
    <w:rsid w:val="004B2905"/>
    <w:rsid w:val="004B2B08"/>
    <w:rsid w:val="004B3495"/>
    <w:rsid w:val="004B3BB8"/>
    <w:rsid w:val="004B3BD1"/>
    <w:rsid w:val="004B78B7"/>
    <w:rsid w:val="004C0297"/>
    <w:rsid w:val="004C08F6"/>
    <w:rsid w:val="004C2037"/>
    <w:rsid w:val="004C214C"/>
    <w:rsid w:val="004C28E0"/>
    <w:rsid w:val="004C390E"/>
    <w:rsid w:val="004C4FBA"/>
    <w:rsid w:val="004C61ED"/>
    <w:rsid w:val="004C6D69"/>
    <w:rsid w:val="004C6DC8"/>
    <w:rsid w:val="004D30B2"/>
    <w:rsid w:val="004D47D0"/>
    <w:rsid w:val="004D6724"/>
    <w:rsid w:val="004D70EC"/>
    <w:rsid w:val="004E2217"/>
    <w:rsid w:val="004E24E2"/>
    <w:rsid w:val="004E3CC2"/>
    <w:rsid w:val="004E3F81"/>
    <w:rsid w:val="004E608F"/>
    <w:rsid w:val="004E62D7"/>
    <w:rsid w:val="004E65F4"/>
    <w:rsid w:val="004E7010"/>
    <w:rsid w:val="004E73AA"/>
    <w:rsid w:val="004E7AC4"/>
    <w:rsid w:val="004F0928"/>
    <w:rsid w:val="004F13E2"/>
    <w:rsid w:val="004F22BE"/>
    <w:rsid w:val="004F34A3"/>
    <w:rsid w:val="004F41F9"/>
    <w:rsid w:val="004F4F91"/>
    <w:rsid w:val="004F6F8C"/>
    <w:rsid w:val="005006A4"/>
    <w:rsid w:val="00500CD0"/>
    <w:rsid w:val="00500F4F"/>
    <w:rsid w:val="00501326"/>
    <w:rsid w:val="00502091"/>
    <w:rsid w:val="00502294"/>
    <w:rsid w:val="005027F7"/>
    <w:rsid w:val="00502F54"/>
    <w:rsid w:val="00503D24"/>
    <w:rsid w:val="00504F35"/>
    <w:rsid w:val="0050555B"/>
    <w:rsid w:val="005058CD"/>
    <w:rsid w:val="00511494"/>
    <w:rsid w:val="005119D1"/>
    <w:rsid w:val="00511D64"/>
    <w:rsid w:val="005121BD"/>
    <w:rsid w:val="00512BF0"/>
    <w:rsid w:val="00512C22"/>
    <w:rsid w:val="005134E7"/>
    <w:rsid w:val="0051357A"/>
    <w:rsid w:val="00513C67"/>
    <w:rsid w:val="005145CB"/>
    <w:rsid w:val="005164A5"/>
    <w:rsid w:val="005169FA"/>
    <w:rsid w:val="00520721"/>
    <w:rsid w:val="00522700"/>
    <w:rsid w:val="00523737"/>
    <w:rsid w:val="00523A6B"/>
    <w:rsid w:val="005315BE"/>
    <w:rsid w:val="00531FF9"/>
    <w:rsid w:val="00533BF9"/>
    <w:rsid w:val="00535610"/>
    <w:rsid w:val="005359BF"/>
    <w:rsid w:val="0054198F"/>
    <w:rsid w:val="00542974"/>
    <w:rsid w:val="0054305C"/>
    <w:rsid w:val="0054347A"/>
    <w:rsid w:val="00544BEC"/>
    <w:rsid w:val="0054683D"/>
    <w:rsid w:val="005476F1"/>
    <w:rsid w:val="00547F0F"/>
    <w:rsid w:val="00552D1C"/>
    <w:rsid w:val="005535D1"/>
    <w:rsid w:val="00553D0B"/>
    <w:rsid w:val="00554F66"/>
    <w:rsid w:val="0055537A"/>
    <w:rsid w:val="00555820"/>
    <w:rsid w:val="00557187"/>
    <w:rsid w:val="00557834"/>
    <w:rsid w:val="0056194C"/>
    <w:rsid w:val="0056437D"/>
    <w:rsid w:val="005649EF"/>
    <w:rsid w:val="00566569"/>
    <w:rsid w:val="005673FE"/>
    <w:rsid w:val="005676ED"/>
    <w:rsid w:val="0057086F"/>
    <w:rsid w:val="005719E6"/>
    <w:rsid w:val="00572C01"/>
    <w:rsid w:val="00572C18"/>
    <w:rsid w:val="005746BF"/>
    <w:rsid w:val="005759BA"/>
    <w:rsid w:val="005764D8"/>
    <w:rsid w:val="005767C3"/>
    <w:rsid w:val="00577FC6"/>
    <w:rsid w:val="0058080F"/>
    <w:rsid w:val="00580BA6"/>
    <w:rsid w:val="00581058"/>
    <w:rsid w:val="0058301B"/>
    <w:rsid w:val="005837A2"/>
    <w:rsid w:val="00584623"/>
    <w:rsid w:val="005863F3"/>
    <w:rsid w:val="0058664B"/>
    <w:rsid w:val="00586A23"/>
    <w:rsid w:val="00591B87"/>
    <w:rsid w:val="005932AD"/>
    <w:rsid w:val="005966C8"/>
    <w:rsid w:val="00596936"/>
    <w:rsid w:val="00597FBA"/>
    <w:rsid w:val="005A02FC"/>
    <w:rsid w:val="005A0516"/>
    <w:rsid w:val="005A15CC"/>
    <w:rsid w:val="005A21F6"/>
    <w:rsid w:val="005A34DA"/>
    <w:rsid w:val="005A39CD"/>
    <w:rsid w:val="005A3DED"/>
    <w:rsid w:val="005A5096"/>
    <w:rsid w:val="005A51E7"/>
    <w:rsid w:val="005A7199"/>
    <w:rsid w:val="005A7A28"/>
    <w:rsid w:val="005B0AF5"/>
    <w:rsid w:val="005B0B9E"/>
    <w:rsid w:val="005B1BEC"/>
    <w:rsid w:val="005B3CB3"/>
    <w:rsid w:val="005B4940"/>
    <w:rsid w:val="005B4D09"/>
    <w:rsid w:val="005B7DC4"/>
    <w:rsid w:val="005C1103"/>
    <w:rsid w:val="005C17FB"/>
    <w:rsid w:val="005C20E2"/>
    <w:rsid w:val="005C2310"/>
    <w:rsid w:val="005C2436"/>
    <w:rsid w:val="005C2CA0"/>
    <w:rsid w:val="005C34B4"/>
    <w:rsid w:val="005C4C23"/>
    <w:rsid w:val="005C5735"/>
    <w:rsid w:val="005C67DD"/>
    <w:rsid w:val="005C792E"/>
    <w:rsid w:val="005D040A"/>
    <w:rsid w:val="005D0CDB"/>
    <w:rsid w:val="005D0D33"/>
    <w:rsid w:val="005D1142"/>
    <w:rsid w:val="005D148A"/>
    <w:rsid w:val="005D2C69"/>
    <w:rsid w:val="005D3252"/>
    <w:rsid w:val="005D39C2"/>
    <w:rsid w:val="005D4A87"/>
    <w:rsid w:val="005E199C"/>
    <w:rsid w:val="005E1F4D"/>
    <w:rsid w:val="005E3762"/>
    <w:rsid w:val="005E637B"/>
    <w:rsid w:val="005E7372"/>
    <w:rsid w:val="005E748B"/>
    <w:rsid w:val="005E7A26"/>
    <w:rsid w:val="005F0EBD"/>
    <w:rsid w:val="005F1705"/>
    <w:rsid w:val="005F1EB2"/>
    <w:rsid w:val="005F247F"/>
    <w:rsid w:val="005F2F9D"/>
    <w:rsid w:val="005F3619"/>
    <w:rsid w:val="005F44EC"/>
    <w:rsid w:val="005F6767"/>
    <w:rsid w:val="005F74E7"/>
    <w:rsid w:val="006009D8"/>
    <w:rsid w:val="00601383"/>
    <w:rsid w:val="0060227E"/>
    <w:rsid w:val="006026EC"/>
    <w:rsid w:val="00602BDC"/>
    <w:rsid w:val="006033E5"/>
    <w:rsid w:val="00603ABD"/>
    <w:rsid w:val="00603D56"/>
    <w:rsid w:val="00607DF1"/>
    <w:rsid w:val="0061080E"/>
    <w:rsid w:val="00610B85"/>
    <w:rsid w:val="006110C0"/>
    <w:rsid w:val="006111C9"/>
    <w:rsid w:val="00612BC7"/>
    <w:rsid w:val="006141B9"/>
    <w:rsid w:val="00614B93"/>
    <w:rsid w:val="0061532D"/>
    <w:rsid w:val="00615658"/>
    <w:rsid w:val="006157C7"/>
    <w:rsid w:val="00615A27"/>
    <w:rsid w:val="0061689C"/>
    <w:rsid w:val="00617A08"/>
    <w:rsid w:val="00617F6A"/>
    <w:rsid w:val="00620191"/>
    <w:rsid w:val="006216A7"/>
    <w:rsid w:val="00621DE9"/>
    <w:rsid w:val="00622473"/>
    <w:rsid w:val="00622AB1"/>
    <w:rsid w:val="006236C2"/>
    <w:rsid w:val="006259DE"/>
    <w:rsid w:val="00625C99"/>
    <w:rsid w:val="00626A84"/>
    <w:rsid w:val="00626EE5"/>
    <w:rsid w:val="00626EE6"/>
    <w:rsid w:val="00630D2A"/>
    <w:rsid w:val="006316E1"/>
    <w:rsid w:val="006318F6"/>
    <w:rsid w:val="00632145"/>
    <w:rsid w:val="00632217"/>
    <w:rsid w:val="00633B94"/>
    <w:rsid w:val="0063449D"/>
    <w:rsid w:val="006353E9"/>
    <w:rsid w:val="006355B8"/>
    <w:rsid w:val="006357C3"/>
    <w:rsid w:val="006360C9"/>
    <w:rsid w:val="00637ADD"/>
    <w:rsid w:val="00640D9D"/>
    <w:rsid w:val="006425A1"/>
    <w:rsid w:val="006439A4"/>
    <w:rsid w:val="00643C5D"/>
    <w:rsid w:val="00643FC9"/>
    <w:rsid w:val="006442FF"/>
    <w:rsid w:val="00644AC7"/>
    <w:rsid w:val="00650019"/>
    <w:rsid w:val="0065233C"/>
    <w:rsid w:val="00654887"/>
    <w:rsid w:val="0065713E"/>
    <w:rsid w:val="00657957"/>
    <w:rsid w:val="00660509"/>
    <w:rsid w:val="00661029"/>
    <w:rsid w:val="00661E16"/>
    <w:rsid w:val="006622BB"/>
    <w:rsid w:val="006636B5"/>
    <w:rsid w:val="00663C77"/>
    <w:rsid w:val="00664A10"/>
    <w:rsid w:val="00665264"/>
    <w:rsid w:val="006656C3"/>
    <w:rsid w:val="006660AB"/>
    <w:rsid w:val="00666211"/>
    <w:rsid w:val="0067003F"/>
    <w:rsid w:val="0067170D"/>
    <w:rsid w:val="0067283C"/>
    <w:rsid w:val="00672ADF"/>
    <w:rsid w:val="00672D6B"/>
    <w:rsid w:val="00673FA1"/>
    <w:rsid w:val="006742C6"/>
    <w:rsid w:val="00675972"/>
    <w:rsid w:val="0068131B"/>
    <w:rsid w:val="00681ADA"/>
    <w:rsid w:val="00682CC0"/>
    <w:rsid w:val="00683B99"/>
    <w:rsid w:val="0068612D"/>
    <w:rsid w:val="0068681F"/>
    <w:rsid w:val="0068724A"/>
    <w:rsid w:val="006873D5"/>
    <w:rsid w:val="00690566"/>
    <w:rsid w:val="00691D87"/>
    <w:rsid w:val="006921B4"/>
    <w:rsid w:val="00693A75"/>
    <w:rsid w:val="00695106"/>
    <w:rsid w:val="00695584"/>
    <w:rsid w:val="00696B3F"/>
    <w:rsid w:val="006971E7"/>
    <w:rsid w:val="006A055D"/>
    <w:rsid w:val="006A0947"/>
    <w:rsid w:val="006A0B0E"/>
    <w:rsid w:val="006A20B3"/>
    <w:rsid w:val="006A2425"/>
    <w:rsid w:val="006A245D"/>
    <w:rsid w:val="006A2846"/>
    <w:rsid w:val="006A2E59"/>
    <w:rsid w:val="006A4225"/>
    <w:rsid w:val="006A62B1"/>
    <w:rsid w:val="006A691B"/>
    <w:rsid w:val="006A78B6"/>
    <w:rsid w:val="006B087E"/>
    <w:rsid w:val="006B11D4"/>
    <w:rsid w:val="006B185E"/>
    <w:rsid w:val="006B1864"/>
    <w:rsid w:val="006B19F3"/>
    <w:rsid w:val="006B429B"/>
    <w:rsid w:val="006B4BAD"/>
    <w:rsid w:val="006B5127"/>
    <w:rsid w:val="006B6861"/>
    <w:rsid w:val="006B7BD3"/>
    <w:rsid w:val="006C141F"/>
    <w:rsid w:val="006C3FBC"/>
    <w:rsid w:val="006C5A2C"/>
    <w:rsid w:val="006C739A"/>
    <w:rsid w:val="006C7951"/>
    <w:rsid w:val="006D20BB"/>
    <w:rsid w:val="006D24CF"/>
    <w:rsid w:val="006D2E5A"/>
    <w:rsid w:val="006D3E04"/>
    <w:rsid w:val="006D5A3F"/>
    <w:rsid w:val="006D6236"/>
    <w:rsid w:val="006D6317"/>
    <w:rsid w:val="006D6C1A"/>
    <w:rsid w:val="006D7AD4"/>
    <w:rsid w:val="006E0894"/>
    <w:rsid w:val="006E26F9"/>
    <w:rsid w:val="006E645B"/>
    <w:rsid w:val="006E6820"/>
    <w:rsid w:val="006E7162"/>
    <w:rsid w:val="006E722C"/>
    <w:rsid w:val="006E75FE"/>
    <w:rsid w:val="006F21D0"/>
    <w:rsid w:val="006F24DD"/>
    <w:rsid w:val="006F412E"/>
    <w:rsid w:val="006F52B9"/>
    <w:rsid w:val="006F7CCB"/>
    <w:rsid w:val="007015A9"/>
    <w:rsid w:val="007016D2"/>
    <w:rsid w:val="00701950"/>
    <w:rsid w:val="00702D32"/>
    <w:rsid w:val="00703275"/>
    <w:rsid w:val="00704FF2"/>
    <w:rsid w:val="00705A4D"/>
    <w:rsid w:val="0070773C"/>
    <w:rsid w:val="00710BAB"/>
    <w:rsid w:val="00710C22"/>
    <w:rsid w:val="00710CF5"/>
    <w:rsid w:val="00710FFC"/>
    <w:rsid w:val="00711256"/>
    <w:rsid w:val="00711A18"/>
    <w:rsid w:val="00712314"/>
    <w:rsid w:val="00712660"/>
    <w:rsid w:val="00712B31"/>
    <w:rsid w:val="00712DBC"/>
    <w:rsid w:val="00713067"/>
    <w:rsid w:val="0071625D"/>
    <w:rsid w:val="007210C2"/>
    <w:rsid w:val="00723570"/>
    <w:rsid w:val="007236D2"/>
    <w:rsid w:val="00723F20"/>
    <w:rsid w:val="007241F6"/>
    <w:rsid w:val="00725140"/>
    <w:rsid w:val="00726038"/>
    <w:rsid w:val="00727880"/>
    <w:rsid w:val="00727AE7"/>
    <w:rsid w:val="00727FEB"/>
    <w:rsid w:val="007308FF"/>
    <w:rsid w:val="007315A4"/>
    <w:rsid w:val="007323E1"/>
    <w:rsid w:val="0073369D"/>
    <w:rsid w:val="007361EB"/>
    <w:rsid w:val="007377C2"/>
    <w:rsid w:val="007378B6"/>
    <w:rsid w:val="007410E3"/>
    <w:rsid w:val="00742237"/>
    <w:rsid w:val="00743DF6"/>
    <w:rsid w:val="007447F3"/>
    <w:rsid w:val="00744F21"/>
    <w:rsid w:val="0074500D"/>
    <w:rsid w:val="00747FC8"/>
    <w:rsid w:val="00751101"/>
    <w:rsid w:val="00753EEF"/>
    <w:rsid w:val="00754493"/>
    <w:rsid w:val="00755C2A"/>
    <w:rsid w:val="00755E83"/>
    <w:rsid w:val="00761103"/>
    <w:rsid w:val="00761D09"/>
    <w:rsid w:val="007622B8"/>
    <w:rsid w:val="00764FE3"/>
    <w:rsid w:val="007652D4"/>
    <w:rsid w:val="00770169"/>
    <w:rsid w:val="00772169"/>
    <w:rsid w:val="00773A2E"/>
    <w:rsid w:val="007754B5"/>
    <w:rsid w:val="00776186"/>
    <w:rsid w:val="007761FD"/>
    <w:rsid w:val="0077708F"/>
    <w:rsid w:val="00777918"/>
    <w:rsid w:val="0078147B"/>
    <w:rsid w:val="007814BF"/>
    <w:rsid w:val="00785C57"/>
    <w:rsid w:val="00787B2A"/>
    <w:rsid w:val="00791320"/>
    <w:rsid w:val="00791456"/>
    <w:rsid w:val="00792DF2"/>
    <w:rsid w:val="00793BCE"/>
    <w:rsid w:val="0079461D"/>
    <w:rsid w:val="007953BF"/>
    <w:rsid w:val="007A02C8"/>
    <w:rsid w:val="007A04FB"/>
    <w:rsid w:val="007A077F"/>
    <w:rsid w:val="007A125B"/>
    <w:rsid w:val="007A2C1E"/>
    <w:rsid w:val="007A3189"/>
    <w:rsid w:val="007A4586"/>
    <w:rsid w:val="007A743B"/>
    <w:rsid w:val="007B1291"/>
    <w:rsid w:val="007B46E5"/>
    <w:rsid w:val="007B6671"/>
    <w:rsid w:val="007B6CA3"/>
    <w:rsid w:val="007C05DB"/>
    <w:rsid w:val="007C0B56"/>
    <w:rsid w:val="007C2A60"/>
    <w:rsid w:val="007C300B"/>
    <w:rsid w:val="007C39BE"/>
    <w:rsid w:val="007C5160"/>
    <w:rsid w:val="007C5C19"/>
    <w:rsid w:val="007C6F77"/>
    <w:rsid w:val="007C750D"/>
    <w:rsid w:val="007C773B"/>
    <w:rsid w:val="007C7B34"/>
    <w:rsid w:val="007D00B2"/>
    <w:rsid w:val="007D1601"/>
    <w:rsid w:val="007D39F1"/>
    <w:rsid w:val="007D3FE6"/>
    <w:rsid w:val="007D4991"/>
    <w:rsid w:val="007D5FF3"/>
    <w:rsid w:val="007D6856"/>
    <w:rsid w:val="007E02A8"/>
    <w:rsid w:val="007E0545"/>
    <w:rsid w:val="007E2659"/>
    <w:rsid w:val="007E3F6D"/>
    <w:rsid w:val="007E655B"/>
    <w:rsid w:val="007E795C"/>
    <w:rsid w:val="007E7C71"/>
    <w:rsid w:val="007E7FC1"/>
    <w:rsid w:val="007F07BE"/>
    <w:rsid w:val="007F1622"/>
    <w:rsid w:val="007F1854"/>
    <w:rsid w:val="007F46FF"/>
    <w:rsid w:val="007F5226"/>
    <w:rsid w:val="007F6563"/>
    <w:rsid w:val="007F6987"/>
    <w:rsid w:val="007F6DDB"/>
    <w:rsid w:val="007F7544"/>
    <w:rsid w:val="00800549"/>
    <w:rsid w:val="0080113B"/>
    <w:rsid w:val="00802D76"/>
    <w:rsid w:val="008032CA"/>
    <w:rsid w:val="00803722"/>
    <w:rsid w:val="00804536"/>
    <w:rsid w:val="00804FA6"/>
    <w:rsid w:val="00805DFE"/>
    <w:rsid w:val="008067E5"/>
    <w:rsid w:val="0081000F"/>
    <w:rsid w:val="00810E3C"/>
    <w:rsid w:val="00814E55"/>
    <w:rsid w:val="0081598B"/>
    <w:rsid w:val="008163CD"/>
    <w:rsid w:val="0081672A"/>
    <w:rsid w:val="008173AF"/>
    <w:rsid w:val="00817969"/>
    <w:rsid w:val="008179F9"/>
    <w:rsid w:val="0082036C"/>
    <w:rsid w:val="00822058"/>
    <w:rsid w:val="00822566"/>
    <w:rsid w:val="008235FC"/>
    <w:rsid w:val="00824A01"/>
    <w:rsid w:val="00825E68"/>
    <w:rsid w:val="00827463"/>
    <w:rsid w:val="00830034"/>
    <w:rsid w:val="008315B7"/>
    <w:rsid w:val="00832462"/>
    <w:rsid w:val="00834893"/>
    <w:rsid w:val="00836000"/>
    <w:rsid w:val="00837DFE"/>
    <w:rsid w:val="00841524"/>
    <w:rsid w:val="00842A5F"/>
    <w:rsid w:val="008438AB"/>
    <w:rsid w:val="00845852"/>
    <w:rsid w:val="00845B2C"/>
    <w:rsid w:val="00845C5D"/>
    <w:rsid w:val="008461AB"/>
    <w:rsid w:val="00846F79"/>
    <w:rsid w:val="00847349"/>
    <w:rsid w:val="008503EF"/>
    <w:rsid w:val="008504D4"/>
    <w:rsid w:val="00850E37"/>
    <w:rsid w:val="00851C49"/>
    <w:rsid w:val="00851D44"/>
    <w:rsid w:val="00852052"/>
    <w:rsid w:val="00852C7A"/>
    <w:rsid w:val="00853803"/>
    <w:rsid w:val="00853F74"/>
    <w:rsid w:val="00854154"/>
    <w:rsid w:val="00854780"/>
    <w:rsid w:val="008569BF"/>
    <w:rsid w:val="00857AFB"/>
    <w:rsid w:val="00861031"/>
    <w:rsid w:val="00861952"/>
    <w:rsid w:val="00861E83"/>
    <w:rsid w:val="00862241"/>
    <w:rsid w:val="00865591"/>
    <w:rsid w:val="00867092"/>
    <w:rsid w:val="00867E92"/>
    <w:rsid w:val="00871988"/>
    <w:rsid w:val="00871A37"/>
    <w:rsid w:val="00871D7E"/>
    <w:rsid w:val="00873202"/>
    <w:rsid w:val="0087654E"/>
    <w:rsid w:val="00877CF6"/>
    <w:rsid w:val="00881402"/>
    <w:rsid w:val="00884DF4"/>
    <w:rsid w:val="0088558A"/>
    <w:rsid w:val="00885A39"/>
    <w:rsid w:val="00886837"/>
    <w:rsid w:val="008872DA"/>
    <w:rsid w:val="00887BF7"/>
    <w:rsid w:val="0089009D"/>
    <w:rsid w:val="008936E3"/>
    <w:rsid w:val="00894AD7"/>
    <w:rsid w:val="0089506B"/>
    <w:rsid w:val="00895236"/>
    <w:rsid w:val="00895616"/>
    <w:rsid w:val="0089668A"/>
    <w:rsid w:val="008966B0"/>
    <w:rsid w:val="008979AA"/>
    <w:rsid w:val="008A0100"/>
    <w:rsid w:val="008A022E"/>
    <w:rsid w:val="008A0320"/>
    <w:rsid w:val="008A1452"/>
    <w:rsid w:val="008A3D1C"/>
    <w:rsid w:val="008A494B"/>
    <w:rsid w:val="008A5627"/>
    <w:rsid w:val="008A6BD8"/>
    <w:rsid w:val="008A7529"/>
    <w:rsid w:val="008B0A34"/>
    <w:rsid w:val="008B0F85"/>
    <w:rsid w:val="008B147C"/>
    <w:rsid w:val="008B297C"/>
    <w:rsid w:val="008B2DBA"/>
    <w:rsid w:val="008B3DDA"/>
    <w:rsid w:val="008B5B60"/>
    <w:rsid w:val="008B5EB9"/>
    <w:rsid w:val="008B7E4F"/>
    <w:rsid w:val="008C0A48"/>
    <w:rsid w:val="008C2FFA"/>
    <w:rsid w:val="008C322C"/>
    <w:rsid w:val="008C3582"/>
    <w:rsid w:val="008C42CD"/>
    <w:rsid w:val="008C5357"/>
    <w:rsid w:val="008D0D5F"/>
    <w:rsid w:val="008D2F79"/>
    <w:rsid w:val="008D31E8"/>
    <w:rsid w:val="008D3C6D"/>
    <w:rsid w:val="008D4B66"/>
    <w:rsid w:val="008D5C38"/>
    <w:rsid w:val="008E032D"/>
    <w:rsid w:val="008E0C67"/>
    <w:rsid w:val="008E1AC6"/>
    <w:rsid w:val="008E1BA9"/>
    <w:rsid w:val="008E273C"/>
    <w:rsid w:val="008E2A2E"/>
    <w:rsid w:val="008E39B9"/>
    <w:rsid w:val="008E6133"/>
    <w:rsid w:val="008E70D9"/>
    <w:rsid w:val="008F0C7F"/>
    <w:rsid w:val="008F0E28"/>
    <w:rsid w:val="008F1005"/>
    <w:rsid w:val="008F1266"/>
    <w:rsid w:val="008F1346"/>
    <w:rsid w:val="008F2352"/>
    <w:rsid w:val="008F2D14"/>
    <w:rsid w:val="008F30DC"/>
    <w:rsid w:val="008F3795"/>
    <w:rsid w:val="008F3A24"/>
    <w:rsid w:val="008F3F03"/>
    <w:rsid w:val="008F40F6"/>
    <w:rsid w:val="008F4587"/>
    <w:rsid w:val="008F4661"/>
    <w:rsid w:val="008F6EEA"/>
    <w:rsid w:val="00900BF0"/>
    <w:rsid w:val="00900C2C"/>
    <w:rsid w:val="00900C37"/>
    <w:rsid w:val="00903537"/>
    <w:rsid w:val="009049B5"/>
    <w:rsid w:val="009051E8"/>
    <w:rsid w:val="009061E1"/>
    <w:rsid w:val="0090639E"/>
    <w:rsid w:val="00910639"/>
    <w:rsid w:val="00910A39"/>
    <w:rsid w:val="00911B8D"/>
    <w:rsid w:val="00912D5D"/>
    <w:rsid w:val="009143B2"/>
    <w:rsid w:val="009154C2"/>
    <w:rsid w:val="00921002"/>
    <w:rsid w:val="00921411"/>
    <w:rsid w:val="00922112"/>
    <w:rsid w:val="009226D6"/>
    <w:rsid w:val="00922E09"/>
    <w:rsid w:val="00925A2C"/>
    <w:rsid w:val="00927D2E"/>
    <w:rsid w:val="009308F3"/>
    <w:rsid w:val="00930ECB"/>
    <w:rsid w:val="00933154"/>
    <w:rsid w:val="00941A5B"/>
    <w:rsid w:val="00942716"/>
    <w:rsid w:val="00942B0E"/>
    <w:rsid w:val="00943EB8"/>
    <w:rsid w:val="009440A8"/>
    <w:rsid w:val="00946326"/>
    <w:rsid w:val="0094646A"/>
    <w:rsid w:val="00947D6A"/>
    <w:rsid w:val="009505E7"/>
    <w:rsid w:val="00950A96"/>
    <w:rsid w:val="00950FE0"/>
    <w:rsid w:val="00951E79"/>
    <w:rsid w:val="00952317"/>
    <w:rsid w:val="0095578C"/>
    <w:rsid w:val="00955D79"/>
    <w:rsid w:val="0095677D"/>
    <w:rsid w:val="00963579"/>
    <w:rsid w:val="0096363E"/>
    <w:rsid w:val="009636D1"/>
    <w:rsid w:val="00963BD1"/>
    <w:rsid w:val="00964BBB"/>
    <w:rsid w:val="00965316"/>
    <w:rsid w:val="00967855"/>
    <w:rsid w:val="00970DF9"/>
    <w:rsid w:val="009716E7"/>
    <w:rsid w:val="009722B4"/>
    <w:rsid w:val="00972C61"/>
    <w:rsid w:val="00972E97"/>
    <w:rsid w:val="00974330"/>
    <w:rsid w:val="009745CF"/>
    <w:rsid w:val="009754F6"/>
    <w:rsid w:val="00976ED2"/>
    <w:rsid w:val="0097724D"/>
    <w:rsid w:val="00980D5A"/>
    <w:rsid w:val="00981922"/>
    <w:rsid w:val="00981BCF"/>
    <w:rsid w:val="0098364A"/>
    <w:rsid w:val="009844DC"/>
    <w:rsid w:val="00986768"/>
    <w:rsid w:val="00986E8F"/>
    <w:rsid w:val="009915AA"/>
    <w:rsid w:val="00996508"/>
    <w:rsid w:val="00996E2E"/>
    <w:rsid w:val="00997412"/>
    <w:rsid w:val="009A2669"/>
    <w:rsid w:val="009A2849"/>
    <w:rsid w:val="009A2905"/>
    <w:rsid w:val="009A3676"/>
    <w:rsid w:val="009A575F"/>
    <w:rsid w:val="009A6002"/>
    <w:rsid w:val="009A65D1"/>
    <w:rsid w:val="009A7582"/>
    <w:rsid w:val="009A797F"/>
    <w:rsid w:val="009B20ED"/>
    <w:rsid w:val="009B2B7E"/>
    <w:rsid w:val="009B4993"/>
    <w:rsid w:val="009B5FBF"/>
    <w:rsid w:val="009B77CA"/>
    <w:rsid w:val="009B7966"/>
    <w:rsid w:val="009B7DF2"/>
    <w:rsid w:val="009C0971"/>
    <w:rsid w:val="009C3D82"/>
    <w:rsid w:val="009C4C67"/>
    <w:rsid w:val="009C5DB8"/>
    <w:rsid w:val="009C6F07"/>
    <w:rsid w:val="009C7048"/>
    <w:rsid w:val="009C79F6"/>
    <w:rsid w:val="009D0519"/>
    <w:rsid w:val="009D0D32"/>
    <w:rsid w:val="009D1675"/>
    <w:rsid w:val="009D1990"/>
    <w:rsid w:val="009D1C76"/>
    <w:rsid w:val="009D1CB1"/>
    <w:rsid w:val="009D1D51"/>
    <w:rsid w:val="009D3153"/>
    <w:rsid w:val="009D4AA2"/>
    <w:rsid w:val="009D581B"/>
    <w:rsid w:val="009D5C69"/>
    <w:rsid w:val="009D71BF"/>
    <w:rsid w:val="009E1364"/>
    <w:rsid w:val="009E2C72"/>
    <w:rsid w:val="009E3E03"/>
    <w:rsid w:val="009E4863"/>
    <w:rsid w:val="009E4D2B"/>
    <w:rsid w:val="009E6761"/>
    <w:rsid w:val="009E7797"/>
    <w:rsid w:val="009F06F3"/>
    <w:rsid w:val="009F2198"/>
    <w:rsid w:val="009F275B"/>
    <w:rsid w:val="009F314E"/>
    <w:rsid w:val="009F45E7"/>
    <w:rsid w:val="009F58F8"/>
    <w:rsid w:val="00A01CD4"/>
    <w:rsid w:val="00A02010"/>
    <w:rsid w:val="00A022DC"/>
    <w:rsid w:val="00A030B6"/>
    <w:rsid w:val="00A03C2C"/>
    <w:rsid w:val="00A06711"/>
    <w:rsid w:val="00A06F62"/>
    <w:rsid w:val="00A1154B"/>
    <w:rsid w:val="00A135D0"/>
    <w:rsid w:val="00A13810"/>
    <w:rsid w:val="00A13D13"/>
    <w:rsid w:val="00A13DE9"/>
    <w:rsid w:val="00A1563D"/>
    <w:rsid w:val="00A15D77"/>
    <w:rsid w:val="00A169E8"/>
    <w:rsid w:val="00A17618"/>
    <w:rsid w:val="00A2019B"/>
    <w:rsid w:val="00A2079A"/>
    <w:rsid w:val="00A20B4A"/>
    <w:rsid w:val="00A20FB8"/>
    <w:rsid w:val="00A23EB8"/>
    <w:rsid w:val="00A23FFD"/>
    <w:rsid w:val="00A24314"/>
    <w:rsid w:val="00A24A4A"/>
    <w:rsid w:val="00A32667"/>
    <w:rsid w:val="00A32A17"/>
    <w:rsid w:val="00A335F3"/>
    <w:rsid w:val="00A3573A"/>
    <w:rsid w:val="00A36CCA"/>
    <w:rsid w:val="00A36F25"/>
    <w:rsid w:val="00A4058E"/>
    <w:rsid w:val="00A41F54"/>
    <w:rsid w:val="00A443F2"/>
    <w:rsid w:val="00A44554"/>
    <w:rsid w:val="00A44847"/>
    <w:rsid w:val="00A44850"/>
    <w:rsid w:val="00A44E3B"/>
    <w:rsid w:val="00A45B97"/>
    <w:rsid w:val="00A45C00"/>
    <w:rsid w:val="00A46916"/>
    <w:rsid w:val="00A50E2A"/>
    <w:rsid w:val="00A5194C"/>
    <w:rsid w:val="00A52205"/>
    <w:rsid w:val="00A52CBD"/>
    <w:rsid w:val="00A55674"/>
    <w:rsid w:val="00A568DF"/>
    <w:rsid w:val="00A56EA5"/>
    <w:rsid w:val="00A61397"/>
    <w:rsid w:val="00A62EA4"/>
    <w:rsid w:val="00A63172"/>
    <w:rsid w:val="00A66958"/>
    <w:rsid w:val="00A706D6"/>
    <w:rsid w:val="00A70BE5"/>
    <w:rsid w:val="00A70C2B"/>
    <w:rsid w:val="00A70FB1"/>
    <w:rsid w:val="00A74D08"/>
    <w:rsid w:val="00A74F71"/>
    <w:rsid w:val="00A75DBA"/>
    <w:rsid w:val="00A75F63"/>
    <w:rsid w:val="00A816D8"/>
    <w:rsid w:val="00A81D52"/>
    <w:rsid w:val="00A839B6"/>
    <w:rsid w:val="00A849EB"/>
    <w:rsid w:val="00A85A9F"/>
    <w:rsid w:val="00A87F2C"/>
    <w:rsid w:val="00A900D5"/>
    <w:rsid w:val="00A9070F"/>
    <w:rsid w:val="00A93447"/>
    <w:rsid w:val="00A9363E"/>
    <w:rsid w:val="00A938B3"/>
    <w:rsid w:val="00A942CE"/>
    <w:rsid w:val="00A957D3"/>
    <w:rsid w:val="00A95BA6"/>
    <w:rsid w:val="00A97284"/>
    <w:rsid w:val="00AA0797"/>
    <w:rsid w:val="00AA2477"/>
    <w:rsid w:val="00AA302C"/>
    <w:rsid w:val="00AA4B33"/>
    <w:rsid w:val="00AA5D35"/>
    <w:rsid w:val="00AB057E"/>
    <w:rsid w:val="00AB15E3"/>
    <w:rsid w:val="00AB1874"/>
    <w:rsid w:val="00AB1BC2"/>
    <w:rsid w:val="00AB2093"/>
    <w:rsid w:val="00AB3DAA"/>
    <w:rsid w:val="00AB4DA0"/>
    <w:rsid w:val="00AB4EED"/>
    <w:rsid w:val="00AB50FB"/>
    <w:rsid w:val="00AB573F"/>
    <w:rsid w:val="00AB628E"/>
    <w:rsid w:val="00AB6981"/>
    <w:rsid w:val="00AB6EA5"/>
    <w:rsid w:val="00AB7208"/>
    <w:rsid w:val="00AC0B9E"/>
    <w:rsid w:val="00AC1F6C"/>
    <w:rsid w:val="00AC49D6"/>
    <w:rsid w:val="00AC5C95"/>
    <w:rsid w:val="00AC6349"/>
    <w:rsid w:val="00AC75AE"/>
    <w:rsid w:val="00AD0E95"/>
    <w:rsid w:val="00AD1A0C"/>
    <w:rsid w:val="00AD200F"/>
    <w:rsid w:val="00AD3857"/>
    <w:rsid w:val="00AD44DB"/>
    <w:rsid w:val="00AD479C"/>
    <w:rsid w:val="00AD5B25"/>
    <w:rsid w:val="00AD70C5"/>
    <w:rsid w:val="00AD71E6"/>
    <w:rsid w:val="00AD7F7E"/>
    <w:rsid w:val="00AE0A85"/>
    <w:rsid w:val="00AE22BD"/>
    <w:rsid w:val="00AE4458"/>
    <w:rsid w:val="00AE4864"/>
    <w:rsid w:val="00AE4A36"/>
    <w:rsid w:val="00AE5A42"/>
    <w:rsid w:val="00AE5D9C"/>
    <w:rsid w:val="00AE6611"/>
    <w:rsid w:val="00AE6B6A"/>
    <w:rsid w:val="00AE735A"/>
    <w:rsid w:val="00AF042D"/>
    <w:rsid w:val="00AF0F37"/>
    <w:rsid w:val="00AF11E7"/>
    <w:rsid w:val="00AF434B"/>
    <w:rsid w:val="00AF449B"/>
    <w:rsid w:val="00AF4703"/>
    <w:rsid w:val="00AF4B8F"/>
    <w:rsid w:val="00B00920"/>
    <w:rsid w:val="00B00A2A"/>
    <w:rsid w:val="00B01049"/>
    <w:rsid w:val="00B016D1"/>
    <w:rsid w:val="00B01AD0"/>
    <w:rsid w:val="00B0539A"/>
    <w:rsid w:val="00B0739C"/>
    <w:rsid w:val="00B107A3"/>
    <w:rsid w:val="00B117BC"/>
    <w:rsid w:val="00B12655"/>
    <w:rsid w:val="00B13FB8"/>
    <w:rsid w:val="00B14F76"/>
    <w:rsid w:val="00B15107"/>
    <w:rsid w:val="00B16E3F"/>
    <w:rsid w:val="00B16F8D"/>
    <w:rsid w:val="00B202CB"/>
    <w:rsid w:val="00B219F9"/>
    <w:rsid w:val="00B23DD0"/>
    <w:rsid w:val="00B2412B"/>
    <w:rsid w:val="00B24D9C"/>
    <w:rsid w:val="00B266FE"/>
    <w:rsid w:val="00B30D01"/>
    <w:rsid w:val="00B34DCA"/>
    <w:rsid w:val="00B3525C"/>
    <w:rsid w:val="00B35B68"/>
    <w:rsid w:val="00B42324"/>
    <w:rsid w:val="00B4289D"/>
    <w:rsid w:val="00B444D0"/>
    <w:rsid w:val="00B45A27"/>
    <w:rsid w:val="00B50B79"/>
    <w:rsid w:val="00B513B0"/>
    <w:rsid w:val="00B52050"/>
    <w:rsid w:val="00B53021"/>
    <w:rsid w:val="00B55786"/>
    <w:rsid w:val="00B56328"/>
    <w:rsid w:val="00B564AD"/>
    <w:rsid w:val="00B578E5"/>
    <w:rsid w:val="00B60BDB"/>
    <w:rsid w:val="00B617E8"/>
    <w:rsid w:val="00B61DA1"/>
    <w:rsid w:val="00B62B86"/>
    <w:rsid w:val="00B64393"/>
    <w:rsid w:val="00B648B3"/>
    <w:rsid w:val="00B64C60"/>
    <w:rsid w:val="00B656DD"/>
    <w:rsid w:val="00B66898"/>
    <w:rsid w:val="00B66C05"/>
    <w:rsid w:val="00B66C9F"/>
    <w:rsid w:val="00B71880"/>
    <w:rsid w:val="00B718EA"/>
    <w:rsid w:val="00B722A1"/>
    <w:rsid w:val="00B72BBE"/>
    <w:rsid w:val="00B72F66"/>
    <w:rsid w:val="00B751C1"/>
    <w:rsid w:val="00B802A4"/>
    <w:rsid w:val="00B80E0C"/>
    <w:rsid w:val="00B813B5"/>
    <w:rsid w:val="00B8279A"/>
    <w:rsid w:val="00B836CA"/>
    <w:rsid w:val="00B8398E"/>
    <w:rsid w:val="00B85291"/>
    <w:rsid w:val="00B911DE"/>
    <w:rsid w:val="00B91734"/>
    <w:rsid w:val="00B92231"/>
    <w:rsid w:val="00B93816"/>
    <w:rsid w:val="00B93A49"/>
    <w:rsid w:val="00B93D6D"/>
    <w:rsid w:val="00B943D5"/>
    <w:rsid w:val="00B94CEF"/>
    <w:rsid w:val="00B958D2"/>
    <w:rsid w:val="00B95E33"/>
    <w:rsid w:val="00B960EC"/>
    <w:rsid w:val="00B97595"/>
    <w:rsid w:val="00B97FFE"/>
    <w:rsid w:val="00BA2A4A"/>
    <w:rsid w:val="00BA4252"/>
    <w:rsid w:val="00BA5172"/>
    <w:rsid w:val="00BA547B"/>
    <w:rsid w:val="00BA5874"/>
    <w:rsid w:val="00BA6D02"/>
    <w:rsid w:val="00BB1435"/>
    <w:rsid w:val="00BB16AE"/>
    <w:rsid w:val="00BB2926"/>
    <w:rsid w:val="00BB540B"/>
    <w:rsid w:val="00BB695D"/>
    <w:rsid w:val="00BB7A48"/>
    <w:rsid w:val="00BC0416"/>
    <w:rsid w:val="00BC1092"/>
    <w:rsid w:val="00BC2D3B"/>
    <w:rsid w:val="00BC3C66"/>
    <w:rsid w:val="00BC4177"/>
    <w:rsid w:val="00BC5984"/>
    <w:rsid w:val="00BC61BF"/>
    <w:rsid w:val="00BC68FE"/>
    <w:rsid w:val="00BC7F15"/>
    <w:rsid w:val="00BD11B4"/>
    <w:rsid w:val="00BD12AC"/>
    <w:rsid w:val="00BD1C82"/>
    <w:rsid w:val="00BD20A9"/>
    <w:rsid w:val="00BD3000"/>
    <w:rsid w:val="00BD5831"/>
    <w:rsid w:val="00BD62FB"/>
    <w:rsid w:val="00BD6F05"/>
    <w:rsid w:val="00BE1926"/>
    <w:rsid w:val="00BE1A4B"/>
    <w:rsid w:val="00BE1ED6"/>
    <w:rsid w:val="00BE4810"/>
    <w:rsid w:val="00BE4C80"/>
    <w:rsid w:val="00BE6041"/>
    <w:rsid w:val="00BE6210"/>
    <w:rsid w:val="00BE7AC2"/>
    <w:rsid w:val="00BF2946"/>
    <w:rsid w:val="00BF5E06"/>
    <w:rsid w:val="00BF7085"/>
    <w:rsid w:val="00BF7B7E"/>
    <w:rsid w:val="00BF7E06"/>
    <w:rsid w:val="00C0443B"/>
    <w:rsid w:val="00C046EE"/>
    <w:rsid w:val="00C04AA2"/>
    <w:rsid w:val="00C0521D"/>
    <w:rsid w:val="00C07E81"/>
    <w:rsid w:val="00C1034E"/>
    <w:rsid w:val="00C113DE"/>
    <w:rsid w:val="00C14526"/>
    <w:rsid w:val="00C1526F"/>
    <w:rsid w:val="00C164CF"/>
    <w:rsid w:val="00C16FC1"/>
    <w:rsid w:val="00C215C2"/>
    <w:rsid w:val="00C22CB5"/>
    <w:rsid w:val="00C24684"/>
    <w:rsid w:val="00C24CE0"/>
    <w:rsid w:val="00C27B81"/>
    <w:rsid w:val="00C27DE4"/>
    <w:rsid w:val="00C32563"/>
    <w:rsid w:val="00C325A4"/>
    <w:rsid w:val="00C37E76"/>
    <w:rsid w:val="00C4086D"/>
    <w:rsid w:val="00C40A81"/>
    <w:rsid w:val="00C41BCC"/>
    <w:rsid w:val="00C42F09"/>
    <w:rsid w:val="00C446A0"/>
    <w:rsid w:val="00C446FE"/>
    <w:rsid w:val="00C45DD3"/>
    <w:rsid w:val="00C500C5"/>
    <w:rsid w:val="00C503CE"/>
    <w:rsid w:val="00C50B15"/>
    <w:rsid w:val="00C51CD4"/>
    <w:rsid w:val="00C53107"/>
    <w:rsid w:val="00C5408A"/>
    <w:rsid w:val="00C55530"/>
    <w:rsid w:val="00C56E60"/>
    <w:rsid w:val="00C61133"/>
    <w:rsid w:val="00C61508"/>
    <w:rsid w:val="00C64606"/>
    <w:rsid w:val="00C64BAD"/>
    <w:rsid w:val="00C6635B"/>
    <w:rsid w:val="00C66F1E"/>
    <w:rsid w:val="00C671E7"/>
    <w:rsid w:val="00C672A1"/>
    <w:rsid w:val="00C7022F"/>
    <w:rsid w:val="00C71758"/>
    <w:rsid w:val="00C71B8E"/>
    <w:rsid w:val="00C71D30"/>
    <w:rsid w:val="00C734F4"/>
    <w:rsid w:val="00C75216"/>
    <w:rsid w:val="00C75224"/>
    <w:rsid w:val="00C7604C"/>
    <w:rsid w:val="00C76AF5"/>
    <w:rsid w:val="00C778DE"/>
    <w:rsid w:val="00C77957"/>
    <w:rsid w:val="00C77B24"/>
    <w:rsid w:val="00C77D74"/>
    <w:rsid w:val="00C77E14"/>
    <w:rsid w:val="00C83FB6"/>
    <w:rsid w:val="00C8493E"/>
    <w:rsid w:val="00C85347"/>
    <w:rsid w:val="00C86F71"/>
    <w:rsid w:val="00C9230A"/>
    <w:rsid w:val="00C92471"/>
    <w:rsid w:val="00C938B5"/>
    <w:rsid w:val="00C94942"/>
    <w:rsid w:val="00C94AE8"/>
    <w:rsid w:val="00C95223"/>
    <w:rsid w:val="00C964D9"/>
    <w:rsid w:val="00CA03DD"/>
    <w:rsid w:val="00CA0A61"/>
    <w:rsid w:val="00CA0DAB"/>
    <w:rsid w:val="00CA1221"/>
    <w:rsid w:val="00CA16E5"/>
    <w:rsid w:val="00CA1BA1"/>
    <w:rsid w:val="00CA20D9"/>
    <w:rsid w:val="00CA44CB"/>
    <w:rsid w:val="00CA51EA"/>
    <w:rsid w:val="00CA5513"/>
    <w:rsid w:val="00CA563A"/>
    <w:rsid w:val="00CA5A5C"/>
    <w:rsid w:val="00CA5E77"/>
    <w:rsid w:val="00CA603D"/>
    <w:rsid w:val="00CB096F"/>
    <w:rsid w:val="00CB0CC2"/>
    <w:rsid w:val="00CB12BE"/>
    <w:rsid w:val="00CB2745"/>
    <w:rsid w:val="00CB381D"/>
    <w:rsid w:val="00CB44A1"/>
    <w:rsid w:val="00CB47F7"/>
    <w:rsid w:val="00CB4FBC"/>
    <w:rsid w:val="00CB685B"/>
    <w:rsid w:val="00CB7EB6"/>
    <w:rsid w:val="00CC12FC"/>
    <w:rsid w:val="00CC1648"/>
    <w:rsid w:val="00CC1B3D"/>
    <w:rsid w:val="00CC23F0"/>
    <w:rsid w:val="00CC2750"/>
    <w:rsid w:val="00CC478D"/>
    <w:rsid w:val="00CC527D"/>
    <w:rsid w:val="00CC7A92"/>
    <w:rsid w:val="00CD15A2"/>
    <w:rsid w:val="00CD21FE"/>
    <w:rsid w:val="00CD2499"/>
    <w:rsid w:val="00CD2518"/>
    <w:rsid w:val="00CD32EC"/>
    <w:rsid w:val="00CD3CD5"/>
    <w:rsid w:val="00CD6968"/>
    <w:rsid w:val="00CD6993"/>
    <w:rsid w:val="00CD7ED6"/>
    <w:rsid w:val="00CE07B2"/>
    <w:rsid w:val="00CE3943"/>
    <w:rsid w:val="00CE4738"/>
    <w:rsid w:val="00CE4D1A"/>
    <w:rsid w:val="00CE5DF1"/>
    <w:rsid w:val="00CE66AD"/>
    <w:rsid w:val="00CE67EB"/>
    <w:rsid w:val="00CF002C"/>
    <w:rsid w:val="00CF06D0"/>
    <w:rsid w:val="00CF08FF"/>
    <w:rsid w:val="00CF16A5"/>
    <w:rsid w:val="00CF2A9A"/>
    <w:rsid w:val="00CF2FF2"/>
    <w:rsid w:val="00CF56B0"/>
    <w:rsid w:val="00CF58DE"/>
    <w:rsid w:val="00CF636C"/>
    <w:rsid w:val="00CF64CA"/>
    <w:rsid w:val="00CF7AE9"/>
    <w:rsid w:val="00D01A3D"/>
    <w:rsid w:val="00D05039"/>
    <w:rsid w:val="00D058A0"/>
    <w:rsid w:val="00D0670E"/>
    <w:rsid w:val="00D116CC"/>
    <w:rsid w:val="00D12892"/>
    <w:rsid w:val="00D13F17"/>
    <w:rsid w:val="00D1463D"/>
    <w:rsid w:val="00D1611C"/>
    <w:rsid w:val="00D1733F"/>
    <w:rsid w:val="00D2188B"/>
    <w:rsid w:val="00D21CBD"/>
    <w:rsid w:val="00D2298C"/>
    <w:rsid w:val="00D22B2A"/>
    <w:rsid w:val="00D22E37"/>
    <w:rsid w:val="00D24285"/>
    <w:rsid w:val="00D252BE"/>
    <w:rsid w:val="00D260DF"/>
    <w:rsid w:val="00D268E6"/>
    <w:rsid w:val="00D2695D"/>
    <w:rsid w:val="00D27D2A"/>
    <w:rsid w:val="00D306E5"/>
    <w:rsid w:val="00D328B4"/>
    <w:rsid w:val="00D341A9"/>
    <w:rsid w:val="00D34732"/>
    <w:rsid w:val="00D34B28"/>
    <w:rsid w:val="00D3504B"/>
    <w:rsid w:val="00D35A25"/>
    <w:rsid w:val="00D362FD"/>
    <w:rsid w:val="00D37562"/>
    <w:rsid w:val="00D410E9"/>
    <w:rsid w:val="00D420D3"/>
    <w:rsid w:val="00D435AF"/>
    <w:rsid w:val="00D43801"/>
    <w:rsid w:val="00D46982"/>
    <w:rsid w:val="00D51E7F"/>
    <w:rsid w:val="00D5269D"/>
    <w:rsid w:val="00D53789"/>
    <w:rsid w:val="00D54E07"/>
    <w:rsid w:val="00D550DD"/>
    <w:rsid w:val="00D554A3"/>
    <w:rsid w:val="00D565E3"/>
    <w:rsid w:val="00D57501"/>
    <w:rsid w:val="00D60941"/>
    <w:rsid w:val="00D611EF"/>
    <w:rsid w:val="00D62348"/>
    <w:rsid w:val="00D6319B"/>
    <w:rsid w:val="00D6380A"/>
    <w:rsid w:val="00D66675"/>
    <w:rsid w:val="00D67C0D"/>
    <w:rsid w:val="00D67CB9"/>
    <w:rsid w:val="00D71557"/>
    <w:rsid w:val="00D71DB0"/>
    <w:rsid w:val="00D72872"/>
    <w:rsid w:val="00D76A36"/>
    <w:rsid w:val="00D76B00"/>
    <w:rsid w:val="00D80082"/>
    <w:rsid w:val="00D830F9"/>
    <w:rsid w:val="00D8445E"/>
    <w:rsid w:val="00D85C46"/>
    <w:rsid w:val="00D87266"/>
    <w:rsid w:val="00D9148A"/>
    <w:rsid w:val="00D918BB"/>
    <w:rsid w:val="00D928D6"/>
    <w:rsid w:val="00D92A65"/>
    <w:rsid w:val="00D92C56"/>
    <w:rsid w:val="00D93066"/>
    <w:rsid w:val="00D931A1"/>
    <w:rsid w:val="00D932ED"/>
    <w:rsid w:val="00D94F74"/>
    <w:rsid w:val="00D96D53"/>
    <w:rsid w:val="00DA0C9C"/>
    <w:rsid w:val="00DA39A6"/>
    <w:rsid w:val="00DA5EF1"/>
    <w:rsid w:val="00DA6192"/>
    <w:rsid w:val="00DA650E"/>
    <w:rsid w:val="00DA6DF2"/>
    <w:rsid w:val="00DB17D7"/>
    <w:rsid w:val="00DB1B06"/>
    <w:rsid w:val="00DB35CF"/>
    <w:rsid w:val="00DB35D7"/>
    <w:rsid w:val="00DB5D38"/>
    <w:rsid w:val="00DB7B23"/>
    <w:rsid w:val="00DC0B63"/>
    <w:rsid w:val="00DC3004"/>
    <w:rsid w:val="00DC485D"/>
    <w:rsid w:val="00DC4C76"/>
    <w:rsid w:val="00DC6F35"/>
    <w:rsid w:val="00DC7324"/>
    <w:rsid w:val="00DC736D"/>
    <w:rsid w:val="00DC73C2"/>
    <w:rsid w:val="00DD1AE7"/>
    <w:rsid w:val="00DD29E8"/>
    <w:rsid w:val="00DD31A9"/>
    <w:rsid w:val="00DD371A"/>
    <w:rsid w:val="00DD547F"/>
    <w:rsid w:val="00DD7C43"/>
    <w:rsid w:val="00DE2C5A"/>
    <w:rsid w:val="00DE2E8F"/>
    <w:rsid w:val="00DE30E7"/>
    <w:rsid w:val="00DE3291"/>
    <w:rsid w:val="00DE34D3"/>
    <w:rsid w:val="00DE481E"/>
    <w:rsid w:val="00DF0714"/>
    <w:rsid w:val="00DF0F99"/>
    <w:rsid w:val="00DF2515"/>
    <w:rsid w:val="00DF2DF5"/>
    <w:rsid w:val="00DF58EA"/>
    <w:rsid w:val="00DF594A"/>
    <w:rsid w:val="00DF634B"/>
    <w:rsid w:val="00E000DA"/>
    <w:rsid w:val="00E01E38"/>
    <w:rsid w:val="00E0286C"/>
    <w:rsid w:val="00E02AEA"/>
    <w:rsid w:val="00E04432"/>
    <w:rsid w:val="00E04448"/>
    <w:rsid w:val="00E06939"/>
    <w:rsid w:val="00E06B44"/>
    <w:rsid w:val="00E10C4E"/>
    <w:rsid w:val="00E1128F"/>
    <w:rsid w:val="00E11A3E"/>
    <w:rsid w:val="00E12E9B"/>
    <w:rsid w:val="00E12FA2"/>
    <w:rsid w:val="00E15B5F"/>
    <w:rsid w:val="00E15F17"/>
    <w:rsid w:val="00E16E4C"/>
    <w:rsid w:val="00E174E3"/>
    <w:rsid w:val="00E17C8E"/>
    <w:rsid w:val="00E21CD6"/>
    <w:rsid w:val="00E23371"/>
    <w:rsid w:val="00E236DC"/>
    <w:rsid w:val="00E2647C"/>
    <w:rsid w:val="00E30497"/>
    <w:rsid w:val="00E32FFE"/>
    <w:rsid w:val="00E34426"/>
    <w:rsid w:val="00E365D2"/>
    <w:rsid w:val="00E378AE"/>
    <w:rsid w:val="00E403D4"/>
    <w:rsid w:val="00E4043D"/>
    <w:rsid w:val="00E411DE"/>
    <w:rsid w:val="00E437B5"/>
    <w:rsid w:val="00E43AED"/>
    <w:rsid w:val="00E440D1"/>
    <w:rsid w:val="00E44139"/>
    <w:rsid w:val="00E46B38"/>
    <w:rsid w:val="00E473E1"/>
    <w:rsid w:val="00E50147"/>
    <w:rsid w:val="00E501DA"/>
    <w:rsid w:val="00E50DF0"/>
    <w:rsid w:val="00E51050"/>
    <w:rsid w:val="00E51ED1"/>
    <w:rsid w:val="00E53463"/>
    <w:rsid w:val="00E53D25"/>
    <w:rsid w:val="00E57EF0"/>
    <w:rsid w:val="00E6019D"/>
    <w:rsid w:val="00E60928"/>
    <w:rsid w:val="00E60DB3"/>
    <w:rsid w:val="00E61FD1"/>
    <w:rsid w:val="00E63776"/>
    <w:rsid w:val="00E647AD"/>
    <w:rsid w:val="00E6722F"/>
    <w:rsid w:val="00E67342"/>
    <w:rsid w:val="00E703E6"/>
    <w:rsid w:val="00E718D4"/>
    <w:rsid w:val="00E7212D"/>
    <w:rsid w:val="00E757BA"/>
    <w:rsid w:val="00E768C0"/>
    <w:rsid w:val="00E76F3A"/>
    <w:rsid w:val="00E77333"/>
    <w:rsid w:val="00E77656"/>
    <w:rsid w:val="00E77D83"/>
    <w:rsid w:val="00E8174B"/>
    <w:rsid w:val="00E819DA"/>
    <w:rsid w:val="00E8203B"/>
    <w:rsid w:val="00E82616"/>
    <w:rsid w:val="00E82E8F"/>
    <w:rsid w:val="00E83B1A"/>
    <w:rsid w:val="00E84174"/>
    <w:rsid w:val="00E874B1"/>
    <w:rsid w:val="00E90578"/>
    <w:rsid w:val="00E93AA1"/>
    <w:rsid w:val="00E941DD"/>
    <w:rsid w:val="00E943F8"/>
    <w:rsid w:val="00E97545"/>
    <w:rsid w:val="00E97C84"/>
    <w:rsid w:val="00EA0650"/>
    <w:rsid w:val="00EA1A86"/>
    <w:rsid w:val="00EA2298"/>
    <w:rsid w:val="00EB0FD1"/>
    <w:rsid w:val="00EB2073"/>
    <w:rsid w:val="00EB2D21"/>
    <w:rsid w:val="00EB2DF3"/>
    <w:rsid w:val="00EB3C79"/>
    <w:rsid w:val="00EB59B1"/>
    <w:rsid w:val="00EB6429"/>
    <w:rsid w:val="00EB6D7D"/>
    <w:rsid w:val="00EB7777"/>
    <w:rsid w:val="00EC0E08"/>
    <w:rsid w:val="00EC0F41"/>
    <w:rsid w:val="00EC588B"/>
    <w:rsid w:val="00EC5C0E"/>
    <w:rsid w:val="00EC78D7"/>
    <w:rsid w:val="00ED0E12"/>
    <w:rsid w:val="00ED100D"/>
    <w:rsid w:val="00ED2249"/>
    <w:rsid w:val="00ED49BB"/>
    <w:rsid w:val="00ED4C2A"/>
    <w:rsid w:val="00ED696F"/>
    <w:rsid w:val="00ED7FFA"/>
    <w:rsid w:val="00EE0B04"/>
    <w:rsid w:val="00EE2ED8"/>
    <w:rsid w:val="00EE3F50"/>
    <w:rsid w:val="00EE4104"/>
    <w:rsid w:val="00EE4D35"/>
    <w:rsid w:val="00EE5893"/>
    <w:rsid w:val="00EE5C45"/>
    <w:rsid w:val="00EE6049"/>
    <w:rsid w:val="00EE6692"/>
    <w:rsid w:val="00EE7F28"/>
    <w:rsid w:val="00EF043A"/>
    <w:rsid w:val="00EF05CF"/>
    <w:rsid w:val="00EF0A46"/>
    <w:rsid w:val="00EF105A"/>
    <w:rsid w:val="00EF1E05"/>
    <w:rsid w:val="00EF4D14"/>
    <w:rsid w:val="00EF5ABB"/>
    <w:rsid w:val="00EF7D60"/>
    <w:rsid w:val="00F007AF"/>
    <w:rsid w:val="00F015E3"/>
    <w:rsid w:val="00F01B7D"/>
    <w:rsid w:val="00F02381"/>
    <w:rsid w:val="00F04249"/>
    <w:rsid w:val="00F042BA"/>
    <w:rsid w:val="00F055A6"/>
    <w:rsid w:val="00F0564E"/>
    <w:rsid w:val="00F0586B"/>
    <w:rsid w:val="00F07C19"/>
    <w:rsid w:val="00F1028F"/>
    <w:rsid w:val="00F11F31"/>
    <w:rsid w:val="00F150EF"/>
    <w:rsid w:val="00F15E86"/>
    <w:rsid w:val="00F16BDB"/>
    <w:rsid w:val="00F20372"/>
    <w:rsid w:val="00F21221"/>
    <w:rsid w:val="00F21BA5"/>
    <w:rsid w:val="00F21C05"/>
    <w:rsid w:val="00F22262"/>
    <w:rsid w:val="00F23067"/>
    <w:rsid w:val="00F2349F"/>
    <w:rsid w:val="00F245C3"/>
    <w:rsid w:val="00F25069"/>
    <w:rsid w:val="00F26BE0"/>
    <w:rsid w:val="00F26D18"/>
    <w:rsid w:val="00F26F14"/>
    <w:rsid w:val="00F27A58"/>
    <w:rsid w:val="00F304FE"/>
    <w:rsid w:val="00F30DF5"/>
    <w:rsid w:val="00F326D6"/>
    <w:rsid w:val="00F32ABA"/>
    <w:rsid w:val="00F32C5A"/>
    <w:rsid w:val="00F3351A"/>
    <w:rsid w:val="00F33F20"/>
    <w:rsid w:val="00F345C7"/>
    <w:rsid w:val="00F404B7"/>
    <w:rsid w:val="00F408E8"/>
    <w:rsid w:val="00F41E40"/>
    <w:rsid w:val="00F4272F"/>
    <w:rsid w:val="00F42991"/>
    <w:rsid w:val="00F4314D"/>
    <w:rsid w:val="00F43DE1"/>
    <w:rsid w:val="00F45BE2"/>
    <w:rsid w:val="00F46347"/>
    <w:rsid w:val="00F501B4"/>
    <w:rsid w:val="00F50286"/>
    <w:rsid w:val="00F50B97"/>
    <w:rsid w:val="00F5253B"/>
    <w:rsid w:val="00F52593"/>
    <w:rsid w:val="00F529FE"/>
    <w:rsid w:val="00F54284"/>
    <w:rsid w:val="00F54839"/>
    <w:rsid w:val="00F54865"/>
    <w:rsid w:val="00F54C69"/>
    <w:rsid w:val="00F55233"/>
    <w:rsid w:val="00F568F0"/>
    <w:rsid w:val="00F56B97"/>
    <w:rsid w:val="00F62750"/>
    <w:rsid w:val="00F633EA"/>
    <w:rsid w:val="00F64001"/>
    <w:rsid w:val="00F65E76"/>
    <w:rsid w:val="00F66164"/>
    <w:rsid w:val="00F67DE0"/>
    <w:rsid w:val="00F70750"/>
    <w:rsid w:val="00F74B61"/>
    <w:rsid w:val="00F74E1B"/>
    <w:rsid w:val="00F7581B"/>
    <w:rsid w:val="00F76D19"/>
    <w:rsid w:val="00F773FD"/>
    <w:rsid w:val="00F77AC3"/>
    <w:rsid w:val="00F77DDF"/>
    <w:rsid w:val="00F81FDE"/>
    <w:rsid w:val="00F84CCB"/>
    <w:rsid w:val="00F850C5"/>
    <w:rsid w:val="00F85D0A"/>
    <w:rsid w:val="00F86867"/>
    <w:rsid w:val="00F875FF"/>
    <w:rsid w:val="00F877C3"/>
    <w:rsid w:val="00F9161C"/>
    <w:rsid w:val="00F9229A"/>
    <w:rsid w:val="00F9284E"/>
    <w:rsid w:val="00F9371D"/>
    <w:rsid w:val="00F93A05"/>
    <w:rsid w:val="00F94597"/>
    <w:rsid w:val="00F94781"/>
    <w:rsid w:val="00F9559F"/>
    <w:rsid w:val="00F95945"/>
    <w:rsid w:val="00F959D4"/>
    <w:rsid w:val="00F95C2A"/>
    <w:rsid w:val="00F966A5"/>
    <w:rsid w:val="00F97D81"/>
    <w:rsid w:val="00FA0686"/>
    <w:rsid w:val="00FA1B21"/>
    <w:rsid w:val="00FA64C8"/>
    <w:rsid w:val="00FA690C"/>
    <w:rsid w:val="00FA6A97"/>
    <w:rsid w:val="00FA79B7"/>
    <w:rsid w:val="00FB01D2"/>
    <w:rsid w:val="00FB1D3A"/>
    <w:rsid w:val="00FB2F81"/>
    <w:rsid w:val="00FB330B"/>
    <w:rsid w:val="00FB4944"/>
    <w:rsid w:val="00FB634B"/>
    <w:rsid w:val="00FB741E"/>
    <w:rsid w:val="00FC11FD"/>
    <w:rsid w:val="00FC1C6D"/>
    <w:rsid w:val="00FC240B"/>
    <w:rsid w:val="00FC2453"/>
    <w:rsid w:val="00FC2EE5"/>
    <w:rsid w:val="00FC2F7D"/>
    <w:rsid w:val="00FC3B62"/>
    <w:rsid w:val="00FC6CC6"/>
    <w:rsid w:val="00FD0432"/>
    <w:rsid w:val="00FD22A5"/>
    <w:rsid w:val="00FD2B64"/>
    <w:rsid w:val="00FD5439"/>
    <w:rsid w:val="00FD6D36"/>
    <w:rsid w:val="00FD6EC8"/>
    <w:rsid w:val="00FE00C1"/>
    <w:rsid w:val="00FE0DAB"/>
    <w:rsid w:val="00FE1137"/>
    <w:rsid w:val="00FE1251"/>
    <w:rsid w:val="00FE13D5"/>
    <w:rsid w:val="00FE3342"/>
    <w:rsid w:val="00FE5A9D"/>
    <w:rsid w:val="00FE7CE5"/>
    <w:rsid w:val="00FF2EDB"/>
    <w:rsid w:val="00FF2F81"/>
    <w:rsid w:val="00FF3A40"/>
    <w:rsid w:val="00FF58F2"/>
    <w:rsid w:val="00FF5BCD"/>
    <w:rsid w:val="00FF662C"/>
    <w:rsid w:val="00FF69B2"/>
    <w:rsid w:val="00FF6B1B"/>
    <w:rsid w:val="00FF7417"/>
    <w:rsid w:val="00FF7CC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8BA40C9-DBF1-4898-BD77-2F82D58757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D39F1"/>
  </w:style>
  <w:style w:type="paragraph" w:styleId="Heading1">
    <w:name w:val="heading 1"/>
    <w:basedOn w:val="Normal"/>
    <w:next w:val="Normal"/>
    <w:link w:val="Heading1Char"/>
    <w:uiPriority w:val="9"/>
    <w:qFormat/>
    <w:rsid w:val="00DC736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836CA"/>
    <w:pPr>
      <w:tabs>
        <w:tab w:val="center" w:pos="4536"/>
        <w:tab w:val="right" w:pos="9072"/>
      </w:tabs>
      <w:spacing w:after="0" w:line="240" w:lineRule="auto"/>
    </w:pPr>
  </w:style>
  <w:style w:type="character" w:customStyle="1" w:styleId="HeaderChar">
    <w:name w:val="Header Char"/>
    <w:basedOn w:val="DefaultParagraphFont"/>
    <w:link w:val="Header"/>
    <w:uiPriority w:val="99"/>
    <w:rsid w:val="00B836CA"/>
  </w:style>
  <w:style w:type="paragraph" w:styleId="Footer">
    <w:name w:val="footer"/>
    <w:basedOn w:val="Normal"/>
    <w:link w:val="FooterChar"/>
    <w:uiPriority w:val="99"/>
    <w:unhideWhenUsed/>
    <w:qFormat/>
    <w:rsid w:val="00B836CA"/>
    <w:pPr>
      <w:tabs>
        <w:tab w:val="center" w:pos="4536"/>
        <w:tab w:val="right" w:pos="9072"/>
      </w:tabs>
      <w:spacing w:after="0" w:line="240" w:lineRule="auto"/>
    </w:pPr>
  </w:style>
  <w:style w:type="character" w:customStyle="1" w:styleId="FooterChar">
    <w:name w:val="Footer Char"/>
    <w:basedOn w:val="DefaultParagraphFont"/>
    <w:link w:val="Footer"/>
    <w:uiPriority w:val="99"/>
    <w:rsid w:val="00B836CA"/>
  </w:style>
  <w:style w:type="paragraph" w:styleId="ListParagraph">
    <w:name w:val="List Paragraph"/>
    <w:basedOn w:val="Normal"/>
    <w:uiPriority w:val="34"/>
    <w:qFormat/>
    <w:rsid w:val="00A74D08"/>
    <w:pPr>
      <w:ind w:left="720"/>
      <w:contextualSpacing/>
    </w:pPr>
  </w:style>
  <w:style w:type="table" w:styleId="TableGrid">
    <w:name w:val="Table Grid"/>
    <w:basedOn w:val="TableNormal"/>
    <w:uiPriority w:val="39"/>
    <w:rsid w:val="00E50D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921002"/>
    <w:rPr>
      <w:sz w:val="16"/>
      <w:szCs w:val="16"/>
    </w:rPr>
  </w:style>
  <w:style w:type="paragraph" w:styleId="CommentText">
    <w:name w:val="annotation text"/>
    <w:basedOn w:val="Normal"/>
    <w:link w:val="CommentTextChar"/>
    <w:uiPriority w:val="99"/>
    <w:semiHidden/>
    <w:unhideWhenUsed/>
    <w:rsid w:val="00921002"/>
    <w:pPr>
      <w:spacing w:line="240" w:lineRule="auto"/>
    </w:pPr>
    <w:rPr>
      <w:sz w:val="20"/>
      <w:szCs w:val="20"/>
    </w:rPr>
  </w:style>
  <w:style w:type="character" w:customStyle="1" w:styleId="CommentTextChar">
    <w:name w:val="Comment Text Char"/>
    <w:basedOn w:val="DefaultParagraphFont"/>
    <w:link w:val="CommentText"/>
    <w:uiPriority w:val="99"/>
    <w:semiHidden/>
    <w:rsid w:val="00921002"/>
    <w:rPr>
      <w:sz w:val="20"/>
      <w:szCs w:val="20"/>
    </w:rPr>
  </w:style>
  <w:style w:type="paragraph" w:styleId="CommentSubject">
    <w:name w:val="annotation subject"/>
    <w:basedOn w:val="CommentText"/>
    <w:next w:val="CommentText"/>
    <w:link w:val="CommentSubjectChar"/>
    <w:uiPriority w:val="99"/>
    <w:semiHidden/>
    <w:unhideWhenUsed/>
    <w:rsid w:val="00921002"/>
    <w:rPr>
      <w:b/>
      <w:bCs/>
    </w:rPr>
  </w:style>
  <w:style w:type="character" w:customStyle="1" w:styleId="CommentSubjectChar">
    <w:name w:val="Comment Subject Char"/>
    <w:basedOn w:val="CommentTextChar"/>
    <w:link w:val="CommentSubject"/>
    <w:uiPriority w:val="99"/>
    <w:semiHidden/>
    <w:rsid w:val="00921002"/>
    <w:rPr>
      <w:b/>
      <w:bCs/>
      <w:sz w:val="20"/>
      <w:szCs w:val="20"/>
    </w:rPr>
  </w:style>
  <w:style w:type="paragraph" w:styleId="BalloonText">
    <w:name w:val="Balloon Text"/>
    <w:basedOn w:val="Normal"/>
    <w:link w:val="BalloonTextChar"/>
    <w:uiPriority w:val="99"/>
    <w:semiHidden/>
    <w:unhideWhenUsed/>
    <w:rsid w:val="0092100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21002"/>
    <w:rPr>
      <w:rFonts w:ascii="Segoe UI" w:hAnsi="Segoe UI" w:cs="Segoe UI"/>
      <w:sz w:val="18"/>
      <w:szCs w:val="18"/>
    </w:rPr>
  </w:style>
  <w:style w:type="paragraph" w:customStyle="1" w:styleId="Default">
    <w:name w:val="Default"/>
    <w:rsid w:val="003D2900"/>
    <w:pPr>
      <w:autoSpaceDE w:val="0"/>
      <w:autoSpaceDN w:val="0"/>
      <w:adjustRightInd w:val="0"/>
      <w:spacing w:after="0" w:line="240" w:lineRule="auto"/>
    </w:pPr>
    <w:rPr>
      <w:rFonts w:ascii="Arial" w:hAnsi="Arial" w:cs="Arial"/>
      <w:color w:val="000000"/>
      <w:sz w:val="24"/>
      <w:szCs w:val="24"/>
    </w:rPr>
  </w:style>
  <w:style w:type="paragraph" w:styleId="NoSpacing">
    <w:name w:val="No Spacing"/>
    <w:uiPriority w:val="1"/>
    <w:qFormat/>
    <w:rsid w:val="003F3AF0"/>
    <w:pPr>
      <w:spacing w:after="0" w:line="240" w:lineRule="auto"/>
    </w:pPr>
    <w:rPr>
      <w:color w:val="44546A" w:themeColor="text2"/>
      <w:sz w:val="20"/>
      <w:szCs w:val="20"/>
      <w:lang w:val="en-US"/>
    </w:rPr>
  </w:style>
  <w:style w:type="character" w:customStyle="1" w:styleId="Heading1Char">
    <w:name w:val="Heading 1 Char"/>
    <w:basedOn w:val="DefaultParagraphFont"/>
    <w:link w:val="Heading1"/>
    <w:uiPriority w:val="9"/>
    <w:rsid w:val="00DC736D"/>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DC736D"/>
    <w:pPr>
      <w:outlineLvl w:val="9"/>
    </w:pPr>
    <w:rPr>
      <w:lang w:val="en-US"/>
    </w:rPr>
  </w:style>
  <w:style w:type="paragraph" w:styleId="TOC1">
    <w:name w:val="toc 1"/>
    <w:basedOn w:val="Normal"/>
    <w:next w:val="Normal"/>
    <w:autoRedefine/>
    <w:uiPriority w:val="39"/>
    <w:unhideWhenUsed/>
    <w:rsid w:val="005B1BEC"/>
    <w:pPr>
      <w:tabs>
        <w:tab w:val="right" w:leader="dot" w:pos="9639"/>
      </w:tabs>
      <w:spacing w:after="100" w:line="276" w:lineRule="auto"/>
      <w:jc w:val="both"/>
    </w:pPr>
  </w:style>
  <w:style w:type="character" w:styleId="Hyperlink">
    <w:name w:val="Hyperlink"/>
    <w:basedOn w:val="DefaultParagraphFont"/>
    <w:uiPriority w:val="99"/>
    <w:unhideWhenUsed/>
    <w:rsid w:val="005B4940"/>
    <w:rPr>
      <w:color w:val="0563C1" w:themeColor="hyperlink"/>
      <w:u w:val="single"/>
    </w:rPr>
  </w:style>
  <w:style w:type="paragraph" w:customStyle="1" w:styleId="Raport">
    <w:name w:val="Raport"/>
    <w:basedOn w:val="Heading1"/>
    <w:link w:val="RaportChar"/>
    <w:qFormat/>
    <w:rsid w:val="00AF0F37"/>
    <w:rPr>
      <w:rFonts w:ascii="Times New Roman" w:hAnsi="Times New Roman"/>
      <w:b/>
      <w:color w:val="000000" w:themeColor="text1"/>
      <w:sz w:val="28"/>
    </w:rPr>
  </w:style>
  <w:style w:type="table" w:customStyle="1" w:styleId="TableGrid1">
    <w:name w:val="Table Grid1"/>
    <w:basedOn w:val="TableNormal"/>
    <w:next w:val="TableGrid"/>
    <w:uiPriority w:val="39"/>
    <w:rsid w:val="005D0D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portChar">
    <w:name w:val="Raport Char"/>
    <w:basedOn w:val="Heading1Char"/>
    <w:link w:val="Raport"/>
    <w:rsid w:val="00AF0F37"/>
    <w:rPr>
      <w:rFonts w:ascii="Times New Roman" w:eastAsiaTheme="majorEastAsia" w:hAnsi="Times New Roman" w:cstheme="majorBidi"/>
      <w:b/>
      <w:color w:val="000000" w:themeColor="text1"/>
      <w:sz w:val="28"/>
      <w:szCs w:val="32"/>
    </w:rPr>
  </w:style>
  <w:style w:type="paragraph" w:styleId="TOC2">
    <w:name w:val="toc 2"/>
    <w:basedOn w:val="Normal"/>
    <w:next w:val="Normal"/>
    <w:autoRedefine/>
    <w:uiPriority w:val="39"/>
    <w:unhideWhenUsed/>
    <w:rsid w:val="00AF0F37"/>
    <w:pPr>
      <w:spacing w:after="100"/>
      <w:ind w:left="220"/>
    </w:pPr>
    <w:rPr>
      <w:rFonts w:eastAsiaTheme="minorEastAsia" w:cs="Times New Roman"/>
      <w:lang w:val="en-US"/>
    </w:rPr>
  </w:style>
  <w:style w:type="paragraph" w:styleId="TOC3">
    <w:name w:val="toc 3"/>
    <w:basedOn w:val="Normal"/>
    <w:next w:val="Normal"/>
    <w:autoRedefine/>
    <w:uiPriority w:val="39"/>
    <w:unhideWhenUsed/>
    <w:rsid w:val="00AF0F37"/>
    <w:pPr>
      <w:spacing w:after="100"/>
      <w:ind w:left="440"/>
    </w:pPr>
    <w:rPr>
      <w:rFonts w:eastAsiaTheme="minorEastAsia" w:cs="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9035852">
      <w:bodyDiv w:val="1"/>
      <w:marLeft w:val="0"/>
      <w:marRight w:val="0"/>
      <w:marTop w:val="0"/>
      <w:marBottom w:val="0"/>
      <w:divBdr>
        <w:top w:val="none" w:sz="0" w:space="0" w:color="auto"/>
        <w:left w:val="none" w:sz="0" w:space="0" w:color="auto"/>
        <w:bottom w:val="none" w:sz="0" w:space="0" w:color="auto"/>
        <w:right w:val="none" w:sz="0" w:space="0" w:color="auto"/>
      </w:divBdr>
      <w:divsChild>
        <w:div w:id="322393081">
          <w:marLeft w:val="0"/>
          <w:marRight w:val="0"/>
          <w:marTop w:val="0"/>
          <w:marBottom w:val="0"/>
          <w:divBdr>
            <w:top w:val="none" w:sz="0" w:space="0" w:color="auto"/>
            <w:left w:val="none" w:sz="0" w:space="0" w:color="auto"/>
            <w:bottom w:val="none" w:sz="0" w:space="0" w:color="auto"/>
            <w:right w:val="none" w:sz="0" w:space="0" w:color="auto"/>
          </w:divBdr>
        </w:div>
        <w:div w:id="698895942">
          <w:marLeft w:val="0"/>
          <w:marRight w:val="0"/>
          <w:marTop w:val="0"/>
          <w:marBottom w:val="0"/>
          <w:divBdr>
            <w:top w:val="none" w:sz="0" w:space="0" w:color="auto"/>
            <w:left w:val="none" w:sz="0" w:space="0" w:color="auto"/>
            <w:bottom w:val="none" w:sz="0" w:space="0" w:color="auto"/>
            <w:right w:val="none" w:sz="0" w:space="0" w:color="auto"/>
          </w:divBdr>
        </w:div>
        <w:div w:id="1851137535">
          <w:marLeft w:val="0"/>
          <w:marRight w:val="0"/>
          <w:marTop w:val="0"/>
          <w:marBottom w:val="0"/>
          <w:divBdr>
            <w:top w:val="none" w:sz="0" w:space="0" w:color="auto"/>
            <w:left w:val="none" w:sz="0" w:space="0" w:color="auto"/>
            <w:bottom w:val="none" w:sz="0" w:space="0" w:color="auto"/>
            <w:right w:val="none" w:sz="0" w:space="0" w:color="auto"/>
          </w:divBdr>
        </w:div>
        <w:div w:id="1182622462">
          <w:marLeft w:val="0"/>
          <w:marRight w:val="0"/>
          <w:marTop w:val="0"/>
          <w:marBottom w:val="0"/>
          <w:divBdr>
            <w:top w:val="none" w:sz="0" w:space="0" w:color="auto"/>
            <w:left w:val="none" w:sz="0" w:space="0" w:color="auto"/>
            <w:bottom w:val="none" w:sz="0" w:space="0" w:color="auto"/>
            <w:right w:val="none" w:sz="0" w:space="0" w:color="auto"/>
          </w:divBdr>
        </w:div>
        <w:div w:id="1073620295">
          <w:marLeft w:val="0"/>
          <w:marRight w:val="0"/>
          <w:marTop w:val="0"/>
          <w:marBottom w:val="0"/>
          <w:divBdr>
            <w:top w:val="none" w:sz="0" w:space="0" w:color="auto"/>
            <w:left w:val="none" w:sz="0" w:space="0" w:color="auto"/>
            <w:bottom w:val="none" w:sz="0" w:space="0" w:color="auto"/>
            <w:right w:val="none" w:sz="0" w:space="0" w:color="auto"/>
          </w:divBdr>
        </w:div>
        <w:div w:id="682825497">
          <w:marLeft w:val="0"/>
          <w:marRight w:val="0"/>
          <w:marTop w:val="0"/>
          <w:marBottom w:val="0"/>
          <w:divBdr>
            <w:top w:val="none" w:sz="0" w:space="0" w:color="auto"/>
            <w:left w:val="none" w:sz="0" w:space="0" w:color="auto"/>
            <w:bottom w:val="none" w:sz="0" w:space="0" w:color="auto"/>
            <w:right w:val="none" w:sz="0" w:space="0" w:color="auto"/>
          </w:divBdr>
        </w:div>
        <w:div w:id="873880620">
          <w:marLeft w:val="0"/>
          <w:marRight w:val="0"/>
          <w:marTop w:val="0"/>
          <w:marBottom w:val="0"/>
          <w:divBdr>
            <w:top w:val="none" w:sz="0" w:space="0" w:color="auto"/>
            <w:left w:val="none" w:sz="0" w:space="0" w:color="auto"/>
            <w:bottom w:val="none" w:sz="0" w:space="0" w:color="auto"/>
            <w:right w:val="none" w:sz="0" w:space="0" w:color="auto"/>
          </w:divBdr>
        </w:div>
        <w:div w:id="622931200">
          <w:marLeft w:val="0"/>
          <w:marRight w:val="0"/>
          <w:marTop w:val="0"/>
          <w:marBottom w:val="0"/>
          <w:divBdr>
            <w:top w:val="none" w:sz="0" w:space="0" w:color="auto"/>
            <w:left w:val="none" w:sz="0" w:space="0" w:color="auto"/>
            <w:bottom w:val="none" w:sz="0" w:space="0" w:color="auto"/>
            <w:right w:val="none" w:sz="0" w:space="0" w:color="auto"/>
          </w:divBdr>
        </w:div>
        <w:div w:id="1591347715">
          <w:marLeft w:val="0"/>
          <w:marRight w:val="0"/>
          <w:marTop w:val="0"/>
          <w:marBottom w:val="0"/>
          <w:divBdr>
            <w:top w:val="none" w:sz="0" w:space="0" w:color="auto"/>
            <w:left w:val="none" w:sz="0" w:space="0" w:color="auto"/>
            <w:bottom w:val="none" w:sz="0" w:space="0" w:color="auto"/>
            <w:right w:val="none" w:sz="0" w:space="0" w:color="auto"/>
          </w:divBdr>
        </w:div>
        <w:div w:id="486089142">
          <w:marLeft w:val="0"/>
          <w:marRight w:val="0"/>
          <w:marTop w:val="0"/>
          <w:marBottom w:val="0"/>
          <w:divBdr>
            <w:top w:val="none" w:sz="0" w:space="0" w:color="auto"/>
            <w:left w:val="none" w:sz="0" w:space="0" w:color="auto"/>
            <w:bottom w:val="none" w:sz="0" w:space="0" w:color="auto"/>
            <w:right w:val="none" w:sz="0" w:space="0" w:color="auto"/>
          </w:divBdr>
        </w:div>
        <w:div w:id="1330645180">
          <w:marLeft w:val="0"/>
          <w:marRight w:val="0"/>
          <w:marTop w:val="0"/>
          <w:marBottom w:val="0"/>
          <w:divBdr>
            <w:top w:val="none" w:sz="0" w:space="0" w:color="auto"/>
            <w:left w:val="none" w:sz="0" w:space="0" w:color="auto"/>
            <w:bottom w:val="none" w:sz="0" w:space="0" w:color="auto"/>
            <w:right w:val="none" w:sz="0" w:space="0" w:color="auto"/>
          </w:divBdr>
        </w:div>
        <w:div w:id="505176260">
          <w:marLeft w:val="0"/>
          <w:marRight w:val="0"/>
          <w:marTop w:val="0"/>
          <w:marBottom w:val="0"/>
          <w:divBdr>
            <w:top w:val="none" w:sz="0" w:space="0" w:color="auto"/>
            <w:left w:val="none" w:sz="0" w:space="0" w:color="auto"/>
            <w:bottom w:val="none" w:sz="0" w:space="0" w:color="auto"/>
            <w:right w:val="none" w:sz="0" w:space="0" w:color="auto"/>
          </w:divBdr>
        </w:div>
        <w:div w:id="1437679189">
          <w:marLeft w:val="0"/>
          <w:marRight w:val="0"/>
          <w:marTop w:val="0"/>
          <w:marBottom w:val="0"/>
          <w:divBdr>
            <w:top w:val="none" w:sz="0" w:space="0" w:color="auto"/>
            <w:left w:val="none" w:sz="0" w:space="0" w:color="auto"/>
            <w:bottom w:val="none" w:sz="0" w:space="0" w:color="auto"/>
            <w:right w:val="none" w:sz="0" w:space="0" w:color="auto"/>
          </w:divBdr>
        </w:div>
        <w:div w:id="1657419836">
          <w:marLeft w:val="0"/>
          <w:marRight w:val="0"/>
          <w:marTop w:val="0"/>
          <w:marBottom w:val="0"/>
          <w:divBdr>
            <w:top w:val="none" w:sz="0" w:space="0" w:color="auto"/>
            <w:left w:val="none" w:sz="0" w:space="0" w:color="auto"/>
            <w:bottom w:val="none" w:sz="0" w:space="0" w:color="auto"/>
            <w:right w:val="none" w:sz="0" w:space="0" w:color="auto"/>
          </w:divBdr>
        </w:div>
        <w:div w:id="1696491877">
          <w:marLeft w:val="0"/>
          <w:marRight w:val="0"/>
          <w:marTop w:val="0"/>
          <w:marBottom w:val="0"/>
          <w:divBdr>
            <w:top w:val="none" w:sz="0" w:space="0" w:color="auto"/>
            <w:left w:val="none" w:sz="0" w:space="0" w:color="auto"/>
            <w:bottom w:val="none" w:sz="0" w:space="0" w:color="auto"/>
            <w:right w:val="none" w:sz="0" w:space="0" w:color="auto"/>
          </w:divBdr>
        </w:div>
        <w:div w:id="1757629983">
          <w:marLeft w:val="0"/>
          <w:marRight w:val="0"/>
          <w:marTop w:val="0"/>
          <w:marBottom w:val="0"/>
          <w:divBdr>
            <w:top w:val="none" w:sz="0" w:space="0" w:color="auto"/>
            <w:left w:val="none" w:sz="0" w:space="0" w:color="auto"/>
            <w:bottom w:val="none" w:sz="0" w:space="0" w:color="auto"/>
            <w:right w:val="none" w:sz="0" w:space="0" w:color="auto"/>
          </w:divBdr>
        </w:div>
        <w:div w:id="434910261">
          <w:marLeft w:val="0"/>
          <w:marRight w:val="0"/>
          <w:marTop w:val="0"/>
          <w:marBottom w:val="0"/>
          <w:divBdr>
            <w:top w:val="none" w:sz="0" w:space="0" w:color="auto"/>
            <w:left w:val="none" w:sz="0" w:space="0" w:color="auto"/>
            <w:bottom w:val="none" w:sz="0" w:space="0" w:color="auto"/>
            <w:right w:val="none" w:sz="0" w:space="0" w:color="auto"/>
          </w:divBdr>
        </w:div>
        <w:div w:id="2086561197">
          <w:marLeft w:val="0"/>
          <w:marRight w:val="0"/>
          <w:marTop w:val="0"/>
          <w:marBottom w:val="0"/>
          <w:divBdr>
            <w:top w:val="none" w:sz="0" w:space="0" w:color="auto"/>
            <w:left w:val="none" w:sz="0" w:space="0" w:color="auto"/>
            <w:bottom w:val="none" w:sz="0" w:space="0" w:color="auto"/>
            <w:right w:val="none" w:sz="0" w:space="0" w:color="auto"/>
          </w:divBdr>
        </w:div>
        <w:div w:id="901983366">
          <w:marLeft w:val="0"/>
          <w:marRight w:val="0"/>
          <w:marTop w:val="0"/>
          <w:marBottom w:val="0"/>
          <w:divBdr>
            <w:top w:val="none" w:sz="0" w:space="0" w:color="auto"/>
            <w:left w:val="none" w:sz="0" w:space="0" w:color="auto"/>
            <w:bottom w:val="none" w:sz="0" w:space="0" w:color="auto"/>
            <w:right w:val="none" w:sz="0" w:space="0" w:color="auto"/>
          </w:divBdr>
        </w:div>
      </w:divsChild>
    </w:div>
    <w:div w:id="990137324">
      <w:bodyDiv w:val="1"/>
      <w:marLeft w:val="0"/>
      <w:marRight w:val="0"/>
      <w:marTop w:val="0"/>
      <w:marBottom w:val="0"/>
      <w:divBdr>
        <w:top w:val="none" w:sz="0" w:space="0" w:color="auto"/>
        <w:left w:val="none" w:sz="0" w:space="0" w:color="auto"/>
        <w:bottom w:val="none" w:sz="0" w:space="0" w:color="auto"/>
        <w:right w:val="none" w:sz="0" w:space="0" w:color="auto"/>
      </w:divBdr>
      <w:divsChild>
        <w:div w:id="1495755684">
          <w:marLeft w:val="0"/>
          <w:marRight w:val="0"/>
          <w:marTop w:val="0"/>
          <w:marBottom w:val="0"/>
          <w:divBdr>
            <w:top w:val="none" w:sz="0" w:space="0" w:color="auto"/>
            <w:left w:val="none" w:sz="0" w:space="0" w:color="auto"/>
            <w:bottom w:val="none" w:sz="0" w:space="0" w:color="auto"/>
            <w:right w:val="none" w:sz="0" w:space="0" w:color="auto"/>
          </w:divBdr>
        </w:div>
        <w:div w:id="257375358">
          <w:marLeft w:val="0"/>
          <w:marRight w:val="0"/>
          <w:marTop w:val="0"/>
          <w:marBottom w:val="0"/>
          <w:divBdr>
            <w:top w:val="none" w:sz="0" w:space="0" w:color="auto"/>
            <w:left w:val="none" w:sz="0" w:space="0" w:color="auto"/>
            <w:bottom w:val="none" w:sz="0" w:space="0" w:color="auto"/>
            <w:right w:val="none" w:sz="0" w:space="0" w:color="auto"/>
          </w:divBdr>
        </w:div>
        <w:div w:id="1443499447">
          <w:marLeft w:val="0"/>
          <w:marRight w:val="0"/>
          <w:marTop w:val="0"/>
          <w:marBottom w:val="0"/>
          <w:divBdr>
            <w:top w:val="none" w:sz="0" w:space="0" w:color="auto"/>
            <w:left w:val="none" w:sz="0" w:space="0" w:color="auto"/>
            <w:bottom w:val="none" w:sz="0" w:space="0" w:color="auto"/>
            <w:right w:val="none" w:sz="0" w:space="0" w:color="auto"/>
          </w:divBdr>
        </w:div>
        <w:div w:id="638461506">
          <w:marLeft w:val="0"/>
          <w:marRight w:val="0"/>
          <w:marTop w:val="0"/>
          <w:marBottom w:val="0"/>
          <w:divBdr>
            <w:top w:val="none" w:sz="0" w:space="0" w:color="auto"/>
            <w:left w:val="none" w:sz="0" w:space="0" w:color="auto"/>
            <w:bottom w:val="none" w:sz="0" w:space="0" w:color="auto"/>
            <w:right w:val="none" w:sz="0" w:space="0" w:color="auto"/>
          </w:divBdr>
        </w:div>
        <w:div w:id="1072850268">
          <w:marLeft w:val="0"/>
          <w:marRight w:val="0"/>
          <w:marTop w:val="0"/>
          <w:marBottom w:val="0"/>
          <w:divBdr>
            <w:top w:val="none" w:sz="0" w:space="0" w:color="auto"/>
            <w:left w:val="none" w:sz="0" w:space="0" w:color="auto"/>
            <w:bottom w:val="none" w:sz="0" w:space="0" w:color="auto"/>
            <w:right w:val="none" w:sz="0" w:space="0" w:color="auto"/>
          </w:divBdr>
        </w:div>
        <w:div w:id="362638791">
          <w:marLeft w:val="0"/>
          <w:marRight w:val="0"/>
          <w:marTop w:val="0"/>
          <w:marBottom w:val="0"/>
          <w:divBdr>
            <w:top w:val="none" w:sz="0" w:space="0" w:color="auto"/>
            <w:left w:val="none" w:sz="0" w:space="0" w:color="auto"/>
            <w:bottom w:val="none" w:sz="0" w:space="0" w:color="auto"/>
            <w:right w:val="none" w:sz="0" w:space="0" w:color="auto"/>
          </w:divBdr>
        </w:div>
        <w:div w:id="62222743">
          <w:marLeft w:val="0"/>
          <w:marRight w:val="0"/>
          <w:marTop w:val="0"/>
          <w:marBottom w:val="0"/>
          <w:divBdr>
            <w:top w:val="none" w:sz="0" w:space="0" w:color="auto"/>
            <w:left w:val="none" w:sz="0" w:space="0" w:color="auto"/>
            <w:bottom w:val="none" w:sz="0" w:space="0" w:color="auto"/>
            <w:right w:val="none" w:sz="0" w:space="0" w:color="auto"/>
          </w:divBdr>
        </w:div>
        <w:div w:id="1451708557">
          <w:marLeft w:val="0"/>
          <w:marRight w:val="0"/>
          <w:marTop w:val="0"/>
          <w:marBottom w:val="0"/>
          <w:divBdr>
            <w:top w:val="none" w:sz="0" w:space="0" w:color="auto"/>
            <w:left w:val="none" w:sz="0" w:space="0" w:color="auto"/>
            <w:bottom w:val="none" w:sz="0" w:space="0" w:color="auto"/>
            <w:right w:val="none" w:sz="0" w:space="0" w:color="auto"/>
          </w:divBdr>
        </w:div>
        <w:div w:id="1262104272">
          <w:marLeft w:val="0"/>
          <w:marRight w:val="0"/>
          <w:marTop w:val="0"/>
          <w:marBottom w:val="0"/>
          <w:divBdr>
            <w:top w:val="none" w:sz="0" w:space="0" w:color="auto"/>
            <w:left w:val="none" w:sz="0" w:space="0" w:color="auto"/>
            <w:bottom w:val="none" w:sz="0" w:space="0" w:color="auto"/>
            <w:right w:val="none" w:sz="0" w:space="0" w:color="auto"/>
          </w:divBdr>
        </w:div>
        <w:div w:id="1896811638">
          <w:marLeft w:val="0"/>
          <w:marRight w:val="0"/>
          <w:marTop w:val="0"/>
          <w:marBottom w:val="0"/>
          <w:divBdr>
            <w:top w:val="none" w:sz="0" w:space="0" w:color="auto"/>
            <w:left w:val="none" w:sz="0" w:space="0" w:color="auto"/>
            <w:bottom w:val="none" w:sz="0" w:space="0" w:color="auto"/>
            <w:right w:val="none" w:sz="0" w:space="0" w:color="auto"/>
          </w:divBdr>
        </w:div>
        <w:div w:id="198009511">
          <w:marLeft w:val="0"/>
          <w:marRight w:val="0"/>
          <w:marTop w:val="0"/>
          <w:marBottom w:val="0"/>
          <w:divBdr>
            <w:top w:val="none" w:sz="0" w:space="0" w:color="auto"/>
            <w:left w:val="none" w:sz="0" w:space="0" w:color="auto"/>
            <w:bottom w:val="none" w:sz="0" w:space="0" w:color="auto"/>
            <w:right w:val="none" w:sz="0" w:space="0" w:color="auto"/>
          </w:divBdr>
        </w:div>
        <w:div w:id="1254052653">
          <w:marLeft w:val="0"/>
          <w:marRight w:val="0"/>
          <w:marTop w:val="0"/>
          <w:marBottom w:val="0"/>
          <w:divBdr>
            <w:top w:val="none" w:sz="0" w:space="0" w:color="auto"/>
            <w:left w:val="none" w:sz="0" w:space="0" w:color="auto"/>
            <w:bottom w:val="none" w:sz="0" w:space="0" w:color="auto"/>
            <w:right w:val="none" w:sz="0" w:space="0" w:color="auto"/>
          </w:divBdr>
        </w:div>
        <w:div w:id="325978102">
          <w:marLeft w:val="0"/>
          <w:marRight w:val="0"/>
          <w:marTop w:val="0"/>
          <w:marBottom w:val="0"/>
          <w:divBdr>
            <w:top w:val="none" w:sz="0" w:space="0" w:color="auto"/>
            <w:left w:val="none" w:sz="0" w:space="0" w:color="auto"/>
            <w:bottom w:val="none" w:sz="0" w:space="0" w:color="auto"/>
            <w:right w:val="none" w:sz="0" w:space="0" w:color="auto"/>
          </w:divBdr>
        </w:div>
        <w:div w:id="1635914419">
          <w:marLeft w:val="0"/>
          <w:marRight w:val="0"/>
          <w:marTop w:val="0"/>
          <w:marBottom w:val="0"/>
          <w:divBdr>
            <w:top w:val="none" w:sz="0" w:space="0" w:color="auto"/>
            <w:left w:val="none" w:sz="0" w:space="0" w:color="auto"/>
            <w:bottom w:val="none" w:sz="0" w:space="0" w:color="auto"/>
            <w:right w:val="none" w:sz="0" w:space="0" w:color="auto"/>
          </w:divBdr>
        </w:div>
        <w:div w:id="1933968306">
          <w:marLeft w:val="0"/>
          <w:marRight w:val="0"/>
          <w:marTop w:val="0"/>
          <w:marBottom w:val="0"/>
          <w:divBdr>
            <w:top w:val="none" w:sz="0" w:space="0" w:color="auto"/>
            <w:left w:val="none" w:sz="0" w:space="0" w:color="auto"/>
            <w:bottom w:val="none" w:sz="0" w:space="0" w:color="auto"/>
            <w:right w:val="none" w:sz="0" w:space="0" w:color="auto"/>
          </w:divBdr>
        </w:div>
        <w:div w:id="1240094293">
          <w:marLeft w:val="0"/>
          <w:marRight w:val="0"/>
          <w:marTop w:val="0"/>
          <w:marBottom w:val="0"/>
          <w:divBdr>
            <w:top w:val="none" w:sz="0" w:space="0" w:color="auto"/>
            <w:left w:val="none" w:sz="0" w:space="0" w:color="auto"/>
            <w:bottom w:val="none" w:sz="0" w:space="0" w:color="auto"/>
            <w:right w:val="none" w:sz="0" w:space="0" w:color="auto"/>
          </w:divBdr>
        </w:div>
        <w:div w:id="278419917">
          <w:marLeft w:val="0"/>
          <w:marRight w:val="0"/>
          <w:marTop w:val="0"/>
          <w:marBottom w:val="0"/>
          <w:divBdr>
            <w:top w:val="none" w:sz="0" w:space="0" w:color="auto"/>
            <w:left w:val="none" w:sz="0" w:space="0" w:color="auto"/>
            <w:bottom w:val="none" w:sz="0" w:space="0" w:color="auto"/>
            <w:right w:val="none" w:sz="0" w:space="0" w:color="auto"/>
          </w:divBdr>
        </w:div>
        <w:div w:id="869024720">
          <w:marLeft w:val="0"/>
          <w:marRight w:val="0"/>
          <w:marTop w:val="0"/>
          <w:marBottom w:val="0"/>
          <w:divBdr>
            <w:top w:val="none" w:sz="0" w:space="0" w:color="auto"/>
            <w:left w:val="none" w:sz="0" w:space="0" w:color="auto"/>
            <w:bottom w:val="none" w:sz="0" w:space="0" w:color="auto"/>
            <w:right w:val="none" w:sz="0" w:space="0" w:color="auto"/>
          </w:divBdr>
        </w:div>
        <w:div w:id="616638648">
          <w:marLeft w:val="0"/>
          <w:marRight w:val="0"/>
          <w:marTop w:val="0"/>
          <w:marBottom w:val="0"/>
          <w:divBdr>
            <w:top w:val="none" w:sz="0" w:space="0" w:color="auto"/>
            <w:left w:val="none" w:sz="0" w:space="0" w:color="auto"/>
            <w:bottom w:val="none" w:sz="0" w:space="0" w:color="auto"/>
            <w:right w:val="none" w:sz="0" w:space="0" w:color="auto"/>
          </w:divBdr>
        </w:div>
      </w:divsChild>
    </w:div>
    <w:div w:id="1374110124">
      <w:bodyDiv w:val="1"/>
      <w:marLeft w:val="0"/>
      <w:marRight w:val="0"/>
      <w:marTop w:val="0"/>
      <w:marBottom w:val="0"/>
      <w:divBdr>
        <w:top w:val="none" w:sz="0" w:space="0" w:color="auto"/>
        <w:left w:val="none" w:sz="0" w:space="0" w:color="auto"/>
        <w:bottom w:val="none" w:sz="0" w:space="0" w:color="auto"/>
        <w:right w:val="none" w:sz="0" w:space="0" w:color="auto"/>
      </w:divBdr>
    </w:div>
    <w:div w:id="1515651446">
      <w:bodyDiv w:val="1"/>
      <w:marLeft w:val="0"/>
      <w:marRight w:val="0"/>
      <w:marTop w:val="0"/>
      <w:marBottom w:val="0"/>
      <w:divBdr>
        <w:top w:val="none" w:sz="0" w:space="0" w:color="auto"/>
        <w:left w:val="none" w:sz="0" w:space="0" w:color="auto"/>
        <w:bottom w:val="none" w:sz="0" w:space="0" w:color="auto"/>
        <w:right w:val="none" w:sz="0" w:space="0" w:color="auto"/>
      </w:divBdr>
    </w:div>
    <w:div w:id="1697542697">
      <w:bodyDiv w:val="1"/>
      <w:marLeft w:val="0"/>
      <w:marRight w:val="0"/>
      <w:marTop w:val="0"/>
      <w:marBottom w:val="0"/>
      <w:divBdr>
        <w:top w:val="none" w:sz="0" w:space="0" w:color="auto"/>
        <w:left w:val="none" w:sz="0" w:space="0" w:color="auto"/>
        <w:bottom w:val="none" w:sz="0" w:space="0" w:color="auto"/>
        <w:right w:val="none" w:sz="0" w:space="0" w:color="auto"/>
      </w:divBdr>
    </w:div>
    <w:div w:id="2018265170">
      <w:bodyDiv w:val="1"/>
      <w:marLeft w:val="0"/>
      <w:marRight w:val="0"/>
      <w:marTop w:val="0"/>
      <w:marBottom w:val="0"/>
      <w:divBdr>
        <w:top w:val="none" w:sz="0" w:space="0" w:color="auto"/>
        <w:left w:val="none" w:sz="0" w:space="0" w:color="auto"/>
        <w:bottom w:val="none" w:sz="0" w:space="0" w:color="auto"/>
        <w:right w:val="none" w:sz="0" w:space="0" w:color="auto"/>
      </w:divBdr>
    </w:div>
    <w:div w:id="2052728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9.xml"/><Relationship Id="rId21" Type="http://schemas.openxmlformats.org/officeDocument/2006/relationships/chart" Target="charts/chart14.xml"/><Relationship Id="rId34" Type="http://schemas.openxmlformats.org/officeDocument/2006/relationships/chart" Target="charts/chart27.xml"/><Relationship Id="rId42" Type="http://schemas.openxmlformats.org/officeDocument/2006/relationships/chart" Target="charts/chart35.xml"/><Relationship Id="rId47" Type="http://schemas.openxmlformats.org/officeDocument/2006/relationships/chart" Target="charts/chart40.xml"/><Relationship Id="rId50" Type="http://schemas.openxmlformats.org/officeDocument/2006/relationships/chart" Target="charts/chart43.xml"/><Relationship Id="rId55" Type="http://schemas.openxmlformats.org/officeDocument/2006/relationships/chart" Target="charts/chart48.xml"/><Relationship Id="rId63" Type="http://schemas.openxmlformats.org/officeDocument/2006/relationships/chart" Target="charts/chart56.xml"/><Relationship Id="rId68" Type="http://schemas.openxmlformats.org/officeDocument/2006/relationships/chart" Target="charts/chart61.xml"/><Relationship Id="rId76" Type="http://schemas.openxmlformats.org/officeDocument/2006/relationships/chart" Target="charts/chart69.xml"/><Relationship Id="rId84" Type="http://schemas.openxmlformats.org/officeDocument/2006/relationships/chart" Target="charts/chart77.xml"/><Relationship Id="rId89" Type="http://schemas.openxmlformats.org/officeDocument/2006/relationships/chart" Target="charts/chart82.xml"/><Relationship Id="rId97" Type="http://schemas.openxmlformats.org/officeDocument/2006/relationships/chart" Target="charts/chart90.xml"/><Relationship Id="rId7" Type="http://schemas.openxmlformats.org/officeDocument/2006/relationships/endnotes" Target="endnotes.xml"/><Relationship Id="rId71" Type="http://schemas.openxmlformats.org/officeDocument/2006/relationships/chart" Target="charts/chart64.xml"/><Relationship Id="rId92" Type="http://schemas.openxmlformats.org/officeDocument/2006/relationships/chart" Target="charts/chart85.xml"/><Relationship Id="rId2" Type="http://schemas.openxmlformats.org/officeDocument/2006/relationships/numbering" Target="numbering.xml"/><Relationship Id="rId16" Type="http://schemas.openxmlformats.org/officeDocument/2006/relationships/chart" Target="charts/chart9.xml"/><Relationship Id="rId29" Type="http://schemas.openxmlformats.org/officeDocument/2006/relationships/chart" Target="charts/chart22.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chart" Target="charts/chart30.xml"/><Relationship Id="rId40" Type="http://schemas.openxmlformats.org/officeDocument/2006/relationships/chart" Target="charts/chart33.xml"/><Relationship Id="rId45" Type="http://schemas.openxmlformats.org/officeDocument/2006/relationships/chart" Target="charts/chart38.xml"/><Relationship Id="rId53" Type="http://schemas.openxmlformats.org/officeDocument/2006/relationships/chart" Target="charts/chart46.xml"/><Relationship Id="rId58" Type="http://schemas.openxmlformats.org/officeDocument/2006/relationships/chart" Target="charts/chart51.xml"/><Relationship Id="rId66" Type="http://schemas.openxmlformats.org/officeDocument/2006/relationships/chart" Target="charts/chart59.xml"/><Relationship Id="rId74" Type="http://schemas.openxmlformats.org/officeDocument/2006/relationships/chart" Target="charts/chart67.xml"/><Relationship Id="rId79" Type="http://schemas.openxmlformats.org/officeDocument/2006/relationships/chart" Target="charts/chart72.xml"/><Relationship Id="rId87" Type="http://schemas.openxmlformats.org/officeDocument/2006/relationships/chart" Target="charts/chart80.xml"/><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chart" Target="charts/chart54.xml"/><Relationship Id="rId82" Type="http://schemas.openxmlformats.org/officeDocument/2006/relationships/chart" Target="charts/chart75.xml"/><Relationship Id="rId90" Type="http://schemas.openxmlformats.org/officeDocument/2006/relationships/chart" Target="charts/chart83.xml"/><Relationship Id="rId95" Type="http://schemas.openxmlformats.org/officeDocument/2006/relationships/chart" Target="charts/chart88.xml"/><Relationship Id="rId19" Type="http://schemas.openxmlformats.org/officeDocument/2006/relationships/chart" Target="charts/chart1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8.xml"/><Relationship Id="rId43" Type="http://schemas.openxmlformats.org/officeDocument/2006/relationships/chart" Target="charts/chart36.xml"/><Relationship Id="rId48" Type="http://schemas.openxmlformats.org/officeDocument/2006/relationships/chart" Target="charts/chart41.xml"/><Relationship Id="rId56" Type="http://schemas.openxmlformats.org/officeDocument/2006/relationships/chart" Target="charts/chart49.xml"/><Relationship Id="rId64" Type="http://schemas.openxmlformats.org/officeDocument/2006/relationships/chart" Target="charts/chart57.xml"/><Relationship Id="rId69" Type="http://schemas.openxmlformats.org/officeDocument/2006/relationships/chart" Target="charts/chart62.xml"/><Relationship Id="rId77" Type="http://schemas.openxmlformats.org/officeDocument/2006/relationships/chart" Target="charts/chart70.xml"/><Relationship Id="rId100" Type="http://schemas.openxmlformats.org/officeDocument/2006/relationships/header" Target="header2.xml"/><Relationship Id="rId8" Type="http://schemas.openxmlformats.org/officeDocument/2006/relationships/chart" Target="charts/chart1.xml"/><Relationship Id="rId51" Type="http://schemas.openxmlformats.org/officeDocument/2006/relationships/chart" Target="charts/chart44.xml"/><Relationship Id="rId72" Type="http://schemas.openxmlformats.org/officeDocument/2006/relationships/chart" Target="charts/chart65.xml"/><Relationship Id="rId80" Type="http://schemas.openxmlformats.org/officeDocument/2006/relationships/chart" Target="charts/chart73.xml"/><Relationship Id="rId85" Type="http://schemas.openxmlformats.org/officeDocument/2006/relationships/chart" Target="charts/chart78.xml"/><Relationship Id="rId93" Type="http://schemas.openxmlformats.org/officeDocument/2006/relationships/chart" Target="charts/chart86.xml"/><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chart" Target="charts/chart31.xml"/><Relationship Id="rId46" Type="http://schemas.openxmlformats.org/officeDocument/2006/relationships/chart" Target="charts/chart39.xml"/><Relationship Id="rId59" Type="http://schemas.openxmlformats.org/officeDocument/2006/relationships/chart" Target="charts/chart52.xml"/><Relationship Id="rId67" Type="http://schemas.openxmlformats.org/officeDocument/2006/relationships/chart" Target="charts/chart60.xml"/><Relationship Id="rId20" Type="http://schemas.openxmlformats.org/officeDocument/2006/relationships/chart" Target="charts/chart13.xml"/><Relationship Id="rId41" Type="http://schemas.openxmlformats.org/officeDocument/2006/relationships/chart" Target="charts/chart34.xml"/><Relationship Id="rId54" Type="http://schemas.openxmlformats.org/officeDocument/2006/relationships/chart" Target="charts/chart47.xml"/><Relationship Id="rId62" Type="http://schemas.openxmlformats.org/officeDocument/2006/relationships/chart" Target="charts/chart55.xml"/><Relationship Id="rId70" Type="http://schemas.openxmlformats.org/officeDocument/2006/relationships/chart" Target="charts/chart63.xml"/><Relationship Id="rId75" Type="http://schemas.openxmlformats.org/officeDocument/2006/relationships/chart" Target="charts/chart68.xml"/><Relationship Id="rId83" Type="http://schemas.openxmlformats.org/officeDocument/2006/relationships/chart" Target="charts/chart76.xml"/><Relationship Id="rId88" Type="http://schemas.openxmlformats.org/officeDocument/2006/relationships/chart" Target="charts/chart81.xml"/><Relationship Id="rId91" Type="http://schemas.openxmlformats.org/officeDocument/2006/relationships/chart" Target="charts/chart84.xml"/><Relationship Id="rId96" Type="http://schemas.openxmlformats.org/officeDocument/2006/relationships/chart" Target="charts/chart8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9.xml"/><Relationship Id="rId49" Type="http://schemas.openxmlformats.org/officeDocument/2006/relationships/chart" Target="charts/chart42.xml"/><Relationship Id="rId57" Type="http://schemas.openxmlformats.org/officeDocument/2006/relationships/chart" Target="charts/chart50.xml"/><Relationship Id="rId10" Type="http://schemas.openxmlformats.org/officeDocument/2006/relationships/chart" Target="charts/chart3.xml"/><Relationship Id="rId31" Type="http://schemas.openxmlformats.org/officeDocument/2006/relationships/chart" Target="charts/chart24.xml"/><Relationship Id="rId44" Type="http://schemas.openxmlformats.org/officeDocument/2006/relationships/chart" Target="charts/chart37.xml"/><Relationship Id="rId52" Type="http://schemas.openxmlformats.org/officeDocument/2006/relationships/chart" Target="charts/chart45.xml"/><Relationship Id="rId60" Type="http://schemas.openxmlformats.org/officeDocument/2006/relationships/chart" Target="charts/chart53.xml"/><Relationship Id="rId65" Type="http://schemas.openxmlformats.org/officeDocument/2006/relationships/chart" Target="charts/chart58.xml"/><Relationship Id="rId73" Type="http://schemas.openxmlformats.org/officeDocument/2006/relationships/chart" Target="charts/chart66.xml"/><Relationship Id="rId78" Type="http://schemas.openxmlformats.org/officeDocument/2006/relationships/chart" Target="charts/chart71.xml"/><Relationship Id="rId81" Type="http://schemas.openxmlformats.org/officeDocument/2006/relationships/chart" Target="charts/chart74.xml"/><Relationship Id="rId86" Type="http://schemas.openxmlformats.org/officeDocument/2006/relationships/chart" Target="charts/chart79.xml"/><Relationship Id="rId94" Type="http://schemas.openxmlformats.org/officeDocument/2006/relationships/chart" Target="charts/chart87.xml"/><Relationship Id="rId99" Type="http://schemas.openxmlformats.org/officeDocument/2006/relationships/footer" Target="footer1.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chart" Target="charts/chart6.xml"/><Relationship Id="rId18" Type="http://schemas.openxmlformats.org/officeDocument/2006/relationships/chart" Target="charts/chart11.xml"/><Relationship Id="rId39" Type="http://schemas.openxmlformats.org/officeDocument/2006/relationships/chart" Target="charts/chart3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8.xlsx"/><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39.xlsx"/><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40.xlsx"/><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package" Target="../embeddings/Microsoft_Excel_Worksheet41.xlsx"/><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42.xlsx"/><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package" Target="../embeddings/Microsoft_Excel_Worksheet43.xlsx"/><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package" Target="../embeddings/Microsoft_Excel_Worksheet44.xlsx"/><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package" Target="../embeddings/Microsoft_Excel_Worksheet45.xlsx"/><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package" Target="../embeddings/Microsoft_Excel_Worksheet46.xlsx"/><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package" Target="../embeddings/Microsoft_Excel_Worksheet47.xlsx"/><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package" Target="../embeddings/Microsoft_Excel_Worksheet48.xlsx"/><Relationship Id="rId2" Type="http://schemas.microsoft.com/office/2011/relationships/chartColorStyle" Target="colors48.xml"/><Relationship Id="rId1" Type="http://schemas.microsoft.com/office/2011/relationships/chartStyle" Target="style48.xml"/></Relationships>
</file>

<file path=word/charts/_rels/chart49.xml.rels><?xml version="1.0" encoding="UTF-8" standalone="yes"?>
<Relationships xmlns="http://schemas.openxmlformats.org/package/2006/relationships"><Relationship Id="rId3" Type="http://schemas.openxmlformats.org/officeDocument/2006/relationships/package" Target="../embeddings/Microsoft_Excel_Worksheet49.xlsx"/><Relationship Id="rId2" Type="http://schemas.microsoft.com/office/2011/relationships/chartColorStyle" Target="colors49.xml"/><Relationship Id="rId1" Type="http://schemas.microsoft.com/office/2011/relationships/chartStyle" Target="style49.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50.xml"/><Relationship Id="rId1" Type="http://schemas.microsoft.com/office/2011/relationships/chartStyle" Target="style50.xml"/></Relationships>
</file>

<file path=word/charts/_rels/chart51.xml.rels><?xml version="1.0" encoding="UTF-8" standalone="yes"?>
<Relationships xmlns="http://schemas.openxmlformats.org/package/2006/relationships"><Relationship Id="rId3" Type="http://schemas.openxmlformats.org/officeDocument/2006/relationships/package" Target="../embeddings/Microsoft_Excel_Worksheet51.xlsx"/><Relationship Id="rId2" Type="http://schemas.microsoft.com/office/2011/relationships/chartColorStyle" Target="colors51.xml"/><Relationship Id="rId1" Type="http://schemas.microsoft.com/office/2011/relationships/chartStyle" Target="style51.xml"/></Relationships>
</file>

<file path=word/charts/_rels/chart52.xml.rels><?xml version="1.0" encoding="UTF-8" standalone="yes"?>
<Relationships xmlns="http://schemas.openxmlformats.org/package/2006/relationships"><Relationship Id="rId3" Type="http://schemas.openxmlformats.org/officeDocument/2006/relationships/package" Target="../embeddings/Microsoft_Excel_Worksheet52.xlsx"/><Relationship Id="rId2" Type="http://schemas.microsoft.com/office/2011/relationships/chartColorStyle" Target="colors52.xml"/><Relationship Id="rId1" Type="http://schemas.microsoft.com/office/2011/relationships/chartStyle" Target="style52.xml"/></Relationships>
</file>

<file path=word/charts/_rels/chart53.xml.rels><?xml version="1.0" encoding="UTF-8" standalone="yes"?>
<Relationships xmlns="http://schemas.openxmlformats.org/package/2006/relationships"><Relationship Id="rId3" Type="http://schemas.openxmlformats.org/officeDocument/2006/relationships/package" Target="../embeddings/Microsoft_Excel_Worksheet53.xlsx"/><Relationship Id="rId2" Type="http://schemas.microsoft.com/office/2011/relationships/chartColorStyle" Target="colors53.xml"/><Relationship Id="rId1" Type="http://schemas.microsoft.com/office/2011/relationships/chartStyle" Target="style53.xml"/></Relationships>
</file>

<file path=word/charts/_rels/chart54.xml.rels><?xml version="1.0" encoding="UTF-8" standalone="yes"?>
<Relationships xmlns="http://schemas.openxmlformats.org/package/2006/relationships"><Relationship Id="rId3" Type="http://schemas.openxmlformats.org/officeDocument/2006/relationships/package" Target="../embeddings/Microsoft_Excel_Worksheet54.xlsx"/><Relationship Id="rId2" Type="http://schemas.microsoft.com/office/2011/relationships/chartColorStyle" Target="colors54.xml"/><Relationship Id="rId1" Type="http://schemas.microsoft.com/office/2011/relationships/chartStyle" Target="style54.xml"/></Relationships>
</file>

<file path=word/charts/_rels/chart55.xml.rels><?xml version="1.0" encoding="UTF-8" standalone="yes"?>
<Relationships xmlns="http://schemas.openxmlformats.org/package/2006/relationships"><Relationship Id="rId3" Type="http://schemas.openxmlformats.org/officeDocument/2006/relationships/package" Target="../embeddings/Microsoft_Excel_Worksheet55.xlsx"/><Relationship Id="rId2" Type="http://schemas.microsoft.com/office/2011/relationships/chartColorStyle" Target="colors55.xml"/><Relationship Id="rId1" Type="http://schemas.microsoft.com/office/2011/relationships/chartStyle" Target="style55.xml"/></Relationships>
</file>

<file path=word/charts/_rels/chart56.xml.rels><?xml version="1.0" encoding="UTF-8" standalone="yes"?>
<Relationships xmlns="http://schemas.openxmlformats.org/package/2006/relationships"><Relationship Id="rId3" Type="http://schemas.openxmlformats.org/officeDocument/2006/relationships/package" Target="../embeddings/Microsoft_Excel_Worksheet56.xlsx"/><Relationship Id="rId2" Type="http://schemas.microsoft.com/office/2011/relationships/chartColorStyle" Target="colors56.xml"/><Relationship Id="rId1" Type="http://schemas.microsoft.com/office/2011/relationships/chartStyle" Target="style56.xml"/></Relationships>
</file>

<file path=word/charts/_rels/chart57.xml.rels><?xml version="1.0" encoding="UTF-8" standalone="yes"?>
<Relationships xmlns="http://schemas.openxmlformats.org/package/2006/relationships"><Relationship Id="rId3" Type="http://schemas.openxmlformats.org/officeDocument/2006/relationships/package" Target="../embeddings/Microsoft_Excel_Worksheet57.xlsx"/><Relationship Id="rId2" Type="http://schemas.microsoft.com/office/2011/relationships/chartColorStyle" Target="colors57.xml"/><Relationship Id="rId1" Type="http://schemas.microsoft.com/office/2011/relationships/chartStyle" Target="style57.xml"/></Relationships>
</file>

<file path=word/charts/_rels/chart58.xml.rels><?xml version="1.0" encoding="UTF-8" standalone="yes"?>
<Relationships xmlns="http://schemas.openxmlformats.org/package/2006/relationships"><Relationship Id="rId3" Type="http://schemas.openxmlformats.org/officeDocument/2006/relationships/package" Target="../embeddings/Microsoft_Excel_Worksheet58.xlsx"/><Relationship Id="rId2" Type="http://schemas.microsoft.com/office/2011/relationships/chartColorStyle" Target="colors58.xml"/><Relationship Id="rId1" Type="http://schemas.microsoft.com/office/2011/relationships/chartStyle" Target="style58.xml"/></Relationships>
</file>

<file path=word/charts/_rels/chart59.xml.rels><?xml version="1.0" encoding="UTF-8" standalone="yes"?>
<Relationships xmlns="http://schemas.openxmlformats.org/package/2006/relationships"><Relationship Id="rId3" Type="http://schemas.openxmlformats.org/officeDocument/2006/relationships/package" Target="../embeddings/Microsoft_Excel_Worksheet59.xlsx"/><Relationship Id="rId2" Type="http://schemas.microsoft.com/office/2011/relationships/chartColorStyle" Target="colors59.xml"/><Relationship Id="rId1" Type="http://schemas.microsoft.com/office/2011/relationships/chartStyle" Target="style59.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package" Target="../embeddings/Microsoft_Excel_Worksheet60.xlsx"/><Relationship Id="rId2" Type="http://schemas.microsoft.com/office/2011/relationships/chartColorStyle" Target="colors60.xml"/><Relationship Id="rId1" Type="http://schemas.microsoft.com/office/2011/relationships/chartStyle" Target="style60.xml"/></Relationships>
</file>

<file path=word/charts/_rels/chart61.xml.rels><?xml version="1.0" encoding="UTF-8" standalone="yes"?>
<Relationships xmlns="http://schemas.openxmlformats.org/package/2006/relationships"><Relationship Id="rId3" Type="http://schemas.openxmlformats.org/officeDocument/2006/relationships/package" Target="../embeddings/Microsoft_Excel_Worksheet61.xlsx"/><Relationship Id="rId2" Type="http://schemas.microsoft.com/office/2011/relationships/chartColorStyle" Target="colors61.xml"/><Relationship Id="rId1" Type="http://schemas.microsoft.com/office/2011/relationships/chartStyle" Target="style61.xml"/></Relationships>
</file>

<file path=word/charts/_rels/chart62.xml.rels><?xml version="1.0" encoding="UTF-8" standalone="yes"?>
<Relationships xmlns="http://schemas.openxmlformats.org/package/2006/relationships"><Relationship Id="rId3" Type="http://schemas.openxmlformats.org/officeDocument/2006/relationships/package" Target="../embeddings/Microsoft_Excel_Worksheet62.xlsx"/><Relationship Id="rId2" Type="http://schemas.microsoft.com/office/2011/relationships/chartColorStyle" Target="colors62.xml"/><Relationship Id="rId1" Type="http://schemas.microsoft.com/office/2011/relationships/chartStyle" Target="style62.xml"/></Relationships>
</file>

<file path=word/charts/_rels/chart63.xml.rels><?xml version="1.0" encoding="UTF-8" standalone="yes"?>
<Relationships xmlns="http://schemas.openxmlformats.org/package/2006/relationships"><Relationship Id="rId3" Type="http://schemas.openxmlformats.org/officeDocument/2006/relationships/package" Target="../embeddings/Microsoft_Excel_Worksheet63.xlsx"/><Relationship Id="rId2" Type="http://schemas.microsoft.com/office/2011/relationships/chartColorStyle" Target="colors63.xml"/><Relationship Id="rId1" Type="http://schemas.microsoft.com/office/2011/relationships/chartStyle" Target="style63.xml"/></Relationships>
</file>

<file path=word/charts/_rels/chart64.xml.rels><?xml version="1.0" encoding="UTF-8" standalone="yes"?>
<Relationships xmlns="http://schemas.openxmlformats.org/package/2006/relationships"><Relationship Id="rId3" Type="http://schemas.openxmlformats.org/officeDocument/2006/relationships/package" Target="../embeddings/Microsoft_Excel_Worksheet64.xlsx"/><Relationship Id="rId2" Type="http://schemas.microsoft.com/office/2011/relationships/chartColorStyle" Target="colors64.xml"/><Relationship Id="rId1" Type="http://schemas.microsoft.com/office/2011/relationships/chartStyle" Target="style64.xml"/></Relationships>
</file>

<file path=word/charts/_rels/chart65.xml.rels><?xml version="1.0" encoding="UTF-8" standalone="yes"?>
<Relationships xmlns="http://schemas.openxmlformats.org/package/2006/relationships"><Relationship Id="rId3" Type="http://schemas.openxmlformats.org/officeDocument/2006/relationships/package" Target="../embeddings/Microsoft_Excel_Worksheet65.xlsx"/><Relationship Id="rId2" Type="http://schemas.microsoft.com/office/2011/relationships/chartColorStyle" Target="colors65.xml"/><Relationship Id="rId1" Type="http://schemas.microsoft.com/office/2011/relationships/chartStyle" Target="style65.xml"/></Relationships>
</file>

<file path=word/charts/_rels/chart66.xml.rels><?xml version="1.0" encoding="UTF-8" standalone="yes"?>
<Relationships xmlns="http://schemas.openxmlformats.org/package/2006/relationships"><Relationship Id="rId3" Type="http://schemas.openxmlformats.org/officeDocument/2006/relationships/package" Target="../embeddings/Microsoft_Excel_Worksheet66.xlsx"/><Relationship Id="rId2" Type="http://schemas.microsoft.com/office/2011/relationships/chartColorStyle" Target="colors66.xml"/><Relationship Id="rId1" Type="http://schemas.microsoft.com/office/2011/relationships/chartStyle" Target="style66.xml"/></Relationships>
</file>

<file path=word/charts/_rels/chart67.xml.rels><?xml version="1.0" encoding="UTF-8" standalone="yes"?>
<Relationships xmlns="http://schemas.openxmlformats.org/package/2006/relationships"><Relationship Id="rId3" Type="http://schemas.openxmlformats.org/officeDocument/2006/relationships/package" Target="../embeddings/Microsoft_Excel_Worksheet67.xlsx"/><Relationship Id="rId2" Type="http://schemas.microsoft.com/office/2011/relationships/chartColorStyle" Target="colors67.xml"/><Relationship Id="rId1" Type="http://schemas.microsoft.com/office/2011/relationships/chartStyle" Target="style67.xml"/></Relationships>
</file>

<file path=word/charts/_rels/chart68.xml.rels><?xml version="1.0" encoding="UTF-8" standalone="yes"?>
<Relationships xmlns="http://schemas.openxmlformats.org/package/2006/relationships"><Relationship Id="rId3" Type="http://schemas.openxmlformats.org/officeDocument/2006/relationships/package" Target="../embeddings/Microsoft_Excel_Worksheet68.xlsx"/><Relationship Id="rId2" Type="http://schemas.microsoft.com/office/2011/relationships/chartColorStyle" Target="colors68.xml"/><Relationship Id="rId1" Type="http://schemas.microsoft.com/office/2011/relationships/chartStyle" Target="style68.xml"/></Relationships>
</file>

<file path=word/charts/_rels/chart69.xml.rels><?xml version="1.0" encoding="UTF-8" standalone="yes"?>
<Relationships xmlns="http://schemas.openxmlformats.org/package/2006/relationships"><Relationship Id="rId3" Type="http://schemas.openxmlformats.org/officeDocument/2006/relationships/package" Target="../embeddings/Microsoft_Excel_Worksheet69.xlsx"/><Relationship Id="rId2" Type="http://schemas.microsoft.com/office/2011/relationships/chartColorStyle" Target="colors69.xml"/><Relationship Id="rId1" Type="http://schemas.microsoft.com/office/2011/relationships/chartStyle" Target="style69.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package" Target="../embeddings/Microsoft_Excel_Worksheet70.xlsx"/><Relationship Id="rId2" Type="http://schemas.microsoft.com/office/2011/relationships/chartColorStyle" Target="colors70.xml"/><Relationship Id="rId1" Type="http://schemas.microsoft.com/office/2011/relationships/chartStyle" Target="style70.xml"/></Relationships>
</file>

<file path=word/charts/_rels/chart71.xml.rels><?xml version="1.0" encoding="UTF-8" standalone="yes"?>
<Relationships xmlns="http://schemas.openxmlformats.org/package/2006/relationships"><Relationship Id="rId3" Type="http://schemas.openxmlformats.org/officeDocument/2006/relationships/package" Target="../embeddings/Microsoft_Excel_Worksheet71.xlsx"/><Relationship Id="rId2" Type="http://schemas.microsoft.com/office/2011/relationships/chartColorStyle" Target="colors71.xml"/><Relationship Id="rId1" Type="http://schemas.microsoft.com/office/2011/relationships/chartStyle" Target="style71.xml"/></Relationships>
</file>

<file path=word/charts/_rels/chart72.xml.rels><?xml version="1.0" encoding="UTF-8" standalone="yes"?>
<Relationships xmlns="http://schemas.openxmlformats.org/package/2006/relationships"><Relationship Id="rId3" Type="http://schemas.openxmlformats.org/officeDocument/2006/relationships/package" Target="../embeddings/Microsoft_Excel_Worksheet72.xlsx"/><Relationship Id="rId2" Type="http://schemas.microsoft.com/office/2011/relationships/chartColorStyle" Target="colors72.xml"/><Relationship Id="rId1" Type="http://schemas.microsoft.com/office/2011/relationships/chartStyle" Target="style72.xml"/></Relationships>
</file>

<file path=word/charts/_rels/chart73.xml.rels><?xml version="1.0" encoding="UTF-8" standalone="yes"?>
<Relationships xmlns="http://schemas.openxmlformats.org/package/2006/relationships"><Relationship Id="rId3" Type="http://schemas.openxmlformats.org/officeDocument/2006/relationships/package" Target="../embeddings/Microsoft_Excel_Worksheet73.xlsx"/><Relationship Id="rId2" Type="http://schemas.microsoft.com/office/2011/relationships/chartColorStyle" Target="colors73.xml"/><Relationship Id="rId1" Type="http://schemas.microsoft.com/office/2011/relationships/chartStyle" Target="style73.xml"/></Relationships>
</file>

<file path=word/charts/_rels/chart74.xml.rels><?xml version="1.0" encoding="UTF-8" standalone="yes"?>
<Relationships xmlns="http://schemas.openxmlformats.org/package/2006/relationships"><Relationship Id="rId3" Type="http://schemas.openxmlformats.org/officeDocument/2006/relationships/package" Target="../embeddings/Microsoft_Excel_Worksheet74.xlsx"/><Relationship Id="rId2" Type="http://schemas.microsoft.com/office/2011/relationships/chartColorStyle" Target="colors74.xml"/><Relationship Id="rId1" Type="http://schemas.microsoft.com/office/2011/relationships/chartStyle" Target="style74.xml"/></Relationships>
</file>

<file path=word/charts/_rels/chart75.xml.rels><?xml version="1.0" encoding="UTF-8" standalone="yes"?>
<Relationships xmlns="http://schemas.openxmlformats.org/package/2006/relationships"><Relationship Id="rId3" Type="http://schemas.openxmlformats.org/officeDocument/2006/relationships/package" Target="../embeddings/Microsoft_Excel_Worksheet75.xlsx"/><Relationship Id="rId2" Type="http://schemas.microsoft.com/office/2011/relationships/chartColorStyle" Target="colors75.xml"/><Relationship Id="rId1" Type="http://schemas.microsoft.com/office/2011/relationships/chartStyle" Target="style75.xml"/></Relationships>
</file>

<file path=word/charts/_rels/chart76.xml.rels><?xml version="1.0" encoding="UTF-8" standalone="yes"?>
<Relationships xmlns="http://schemas.openxmlformats.org/package/2006/relationships"><Relationship Id="rId3" Type="http://schemas.openxmlformats.org/officeDocument/2006/relationships/package" Target="../embeddings/Microsoft_Excel_Worksheet76.xlsx"/><Relationship Id="rId2" Type="http://schemas.microsoft.com/office/2011/relationships/chartColorStyle" Target="colors76.xml"/><Relationship Id="rId1" Type="http://schemas.microsoft.com/office/2011/relationships/chartStyle" Target="style76.xml"/></Relationships>
</file>

<file path=word/charts/_rels/chart77.xml.rels><?xml version="1.0" encoding="UTF-8" standalone="yes"?>
<Relationships xmlns="http://schemas.openxmlformats.org/package/2006/relationships"><Relationship Id="rId3" Type="http://schemas.openxmlformats.org/officeDocument/2006/relationships/package" Target="../embeddings/Microsoft_Excel_Worksheet77.xlsx"/><Relationship Id="rId2" Type="http://schemas.microsoft.com/office/2011/relationships/chartColorStyle" Target="colors77.xml"/><Relationship Id="rId1" Type="http://schemas.microsoft.com/office/2011/relationships/chartStyle" Target="style77.xml"/></Relationships>
</file>

<file path=word/charts/_rels/chart78.xml.rels><?xml version="1.0" encoding="UTF-8" standalone="yes"?>
<Relationships xmlns="http://schemas.openxmlformats.org/package/2006/relationships"><Relationship Id="rId3" Type="http://schemas.openxmlformats.org/officeDocument/2006/relationships/package" Target="../embeddings/Microsoft_Excel_Worksheet78.xlsx"/><Relationship Id="rId2" Type="http://schemas.microsoft.com/office/2011/relationships/chartColorStyle" Target="colors78.xml"/><Relationship Id="rId1" Type="http://schemas.microsoft.com/office/2011/relationships/chartStyle" Target="style78.xml"/></Relationships>
</file>

<file path=word/charts/_rels/chart79.xml.rels><?xml version="1.0" encoding="UTF-8" standalone="yes"?>
<Relationships xmlns="http://schemas.openxmlformats.org/package/2006/relationships"><Relationship Id="rId3" Type="http://schemas.openxmlformats.org/officeDocument/2006/relationships/package" Target="../embeddings/Microsoft_Excel_Worksheet79.xlsx"/><Relationship Id="rId2" Type="http://schemas.microsoft.com/office/2011/relationships/chartColorStyle" Target="colors79.xml"/><Relationship Id="rId1" Type="http://schemas.microsoft.com/office/2011/relationships/chartStyle" Target="style79.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8.xml"/><Relationship Id="rId1" Type="http://schemas.microsoft.com/office/2011/relationships/chartStyle" Target="style8.xml"/></Relationships>
</file>

<file path=word/charts/_rels/chart80.xml.rels><?xml version="1.0" encoding="UTF-8" standalone="yes"?>
<Relationships xmlns="http://schemas.openxmlformats.org/package/2006/relationships"><Relationship Id="rId3" Type="http://schemas.openxmlformats.org/officeDocument/2006/relationships/package" Target="../embeddings/Microsoft_Excel_Worksheet80.xlsx"/><Relationship Id="rId2" Type="http://schemas.microsoft.com/office/2011/relationships/chartColorStyle" Target="colors80.xml"/><Relationship Id="rId1" Type="http://schemas.microsoft.com/office/2011/relationships/chartStyle" Target="style80.xml"/></Relationships>
</file>

<file path=word/charts/_rels/chart81.xml.rels><?xml version="1.0" encoding="UTF-8" standalone="yes"?>
<Relationships xmlns="http://schemas.openxmlformats.org/package/2006/relationships"><Relationship Id="rId3" Type="http://schemas.openxmlformats.org/officeDocument/2006/relationships/package" Target="../embeddings/Microsoft_Excel_Worksheet81.xlsx"/><Relationship Id="rId2" Type="http://schemas.microsoft.com/office/2011/relationships/chartColorStyle" Target="colors81.xml"/><Relationship Id="rId1" Type="http://schemas.microsoft.com/office/2011/relationships/chartStyle" Target="style81.xml"/></Relationships>
</file>

<file path=word/charts/_rels/chart82.xml.rels><?xml version="1.0" encoding="UTF-8" standalone="yes"?>
<Relationships xmlns="http://schemas.openxmlformats.org/package/2006/relationships"><Relationship Id="rId3" Type="http://schemas.openxmlformats.org/officeDocument/2006/relationships/package" Target="../embeddings/Microsoft_Excel_Worksheet82.xlsx"/><Relationship Id="rId2" Type="http://schemas.microsoft.com/office/2011/relationships/chartColorStyle" Target="colors82.xml"/><Relationship Id="rId1" Type="http://schemas.microsoft.com/office/2011/relationships/chartStyle" Target="style82.xml"/></Relationships>
</file>

<file path=word/charts/_rels/chart83.xml.rels><?xml version="1.0" encoding="UTF-8" standalone="yes"?>
<Relationships xmlns="http://schemas.openxmlformats.org/package/2006/relationships"><Relationship Id="rId3" Type="http://schemas.openxmlformats.org/officeDocument/2006/relationships/package" Target="../embeddings/Microsoft_Excel_Worksheet83.xlsx"/><Relationship Id="rId2" Type="http://schemas.microsoft.com/office/2011/relationships/chartColorStyle" Target="colors83.xml"/><Relationship Id="rId1" Type="http://schemas.microsoft.com/office/2011/relationships/chartStyle" Target="style83.xml"/></Relationships>
</file>

<file path=word/charts/_rels/chart84.xml.rels><?xml version="1.0" encoding="UTF-8" standalone="yes"?>
<Relationships xmlns="http://schemas.openxmlformats.org/package/2006/relationships"><Relationship Id="rId3" Type="http://schemas.openxmlformats.org/officeDocument/2006/relationships/package" Target="../embeddings/Microsoft_Excel_Worksheet84.xlsx"/><Relationship Id="rId2" Type="http://schemas.microsoft.com/office/2011/relationships/chartColorStyle" Target="colors84.xml"/><Relationship Id="rId1" Type="http://schemas.microsoft.com/office/2011/relationships/chartStyle" Target="style84.xml"/></Relationships>
</file>

<file path=word/charts/_rels/chart85.xml.rels><?xml version="1.0" encoding="UTF-8" standalone="yes"?>
<Relationships xmlns="http://schemas.openxmlformats.org/package/2006/relationships"><Relationship Id="rId3" Type="http://schemas.openxmlformats.org/officeDocument/2006/relationships/package" Target="../embeddings/Microsoft_Excel_Worksheet85.xlsx"/><Relationship Id="rId2" Type="http://schemas.microsoft.com/office/2011/relationships/chartColorStyle" Target="colors85.xml"/><Relationship Id="rId1" Type="http://schemas.microsoft.com/office/2011/relationships/chartStyle" Target="style85.xml"/></Relationships>
</file>

<file path=word/charts/_rels/chart86.xml.rels><?xml version="1.0" encoding="UTF-8" standalone="yes"?>
<Relationships xmlns="http://schemas.openxmlformats.org/package/2006/relationships"><Relationship Id="rId3" Type="http://schemas.openxmlformats.org/officeDocument/2006/relationships/package" Target="../embeddings/Microsoft_Excel_Worksheet86.xlsx"/><Relationship Id="rId2" Type="http://schemas.microsoft.com/office/2011/relationships/chartColorStyle" Target="colors86.xml"/><Relationship Id="rId1" Type="http://schemas.microsoft.com/office/2011/relationships/chartStyle" Target="style86.xml"/></Relationships>
</file>

<file path=word/charts/_rels/chart87.xml.rels><?xml version="1.0" encoding="UTF-8" standalone="yes"?>
<Relationships xmlns="http://schemas.openxmlformats.org/package/2006/relationships"><Relationship Id="rId3" Type="http://schemas.openxmlformats.org/officeDocument/2006/relationships/package" Target="../embeddings/Microsoft_Excel_Worksheet87.xlsx"/><Relationship Id="rId2" Type="http://schemas.microsoft.com/office/2011/relationships/chartColorStyle" Target="colors87.xml"/><Relationship Id="rId1" Type="http://schemas.microsoft.com/office/2011/relationships/chartStyle" Target="style87.xml"/></Relationships>
</file>

<file path=word/charts/_rels/chart88.xml.rels><?xml version="1.0" encoding="UTF-8" standalone="yes"?>
<Relationships xmlns="http://schemas.openxmlformats.org/package/2006/relationships"><Relationship Id="rId3" Type="http://schemas.openxmlformats.org/officeDocument/2006/relationships/package" Target="../embeddings/Microsoft_Excel_Worksheet88.xlsx"/><Relationship Id="rId2" Type="http://schemas.microsoft.com/office/2011/relationships/chartColorStyle" Target="colors88.xml"/><Relationship Id="rId1" Type="http://schemas.microsoft.com/office/2011/relationships/chartStyle" Target="style88.xml"/></Relationships>
</file>

<file path=word/charts/_rels/chart89.xml.rels><?xml version="1.0" encoding="UTF-8" standalone="yes"?>
<Relationships xmlns="http://schemas.openxmlformats.org/package/2006/relationships"><Relationship Id="rId3" Type="http://schemas.openxmlformats.org/officeDocument/2006/relationships/package" Target="../embeddings/Microsoft_Excel_Worksheet89.xlsx"/><Relationship Id="rId2" Type="http://schemas.microsoft.com/office/2011/relationships/chartColorStyle" Target="colors89.xml"/><Relationship Id="rId1" Type="http://schemas.microsoft.com/office/2011/relationships/chartStyle" Target="style89.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9.xml"/><Relationship Id="rId1" Type="http://schemas.microsoft.com/office/2011/relationships/chartStyle" Target="style9.xml"/></Relationships>
</file>

<file path=word/charts/_rels/chart90.xml.rels><?xml version="1.0" encoding="UTF-8" standalone="yes"?>
<Relationships xmlns="http://schemas.openxmlformats.org/package/2006/relationships"><Relationship Id="rId3" Type="http://schemas.openxmlformats.org/officeDocument/2006/relationships/package" Target="../embeddings/Microsoft_Excel_Worksheet90.xlsx"/><Relationship Id="rId2" Type="http://schemas.microsoft.com/office/2011/relationships/chartColorStyle" Target="colors90.xml"/><Relationship Id="rId1" Type="http://schemas.microsoft.com/office/2011/relationships/chartStyle" Target="style90.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o-RO" sz="1200" b="0" i="0" baseline="0">
                <a:solidFill>
                  <a:schemeClr val="tx1"/>
                </a:solidFill>
                <a:effectLst/>
                <a:latin typeface="Times New Roman" panose="02020603050405020304" pitchFamily="18" charset="0"/>
                <a:cs typeface="Times New Roman" panose="02020603050405020304" pitchFamily="18" charset="0"/>
              </a:rPr>
              <a:t>Gradul de implementare al standardelor de control intern managerial în perioada 2015 -2016</a:t>
            </a:r>
            <a:endParaRPr lang="ro-RO" sz="1200" b="0" i="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0">
                <a:spAutoFit/>
              </a:bodyPr>
              <a:lstStyle/>
              <a:p>
                <a:pPr algn="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Etica și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0.00%</c:formatCode>
                <c:ptCount val="16"/>
                <c:pt idx="0">
                  <c:v>0.95289999999999997</c:v>
                </c:pt>
                <c:pt idx="1">
                  <c:v>0.89549999999999996</c:v>
                </c:pt>
                <c:pt idx="2">
                  <c:v>0.92679999999999996</c:v>
                </c:pt>
                <c:pt idx="3">
                  <c:v>0.94450000000000001</c:v>
                </c:pt>
                <c:pt idx="4">
                  <c:v>0.9244</c:v>
                </c:pt>
                <c:pt idx="5">
                  <c:v>0.94259999999999999</c:v>
                </c:pt>
                <c:pt idx="6">
                  <c:v>0.88149999999999995</c:v>
                </c:pt>
                <c:pt idx="7">
                  <c:v>0.78129999999999999</c:v>
                </c:pt>
                <c:pt idx="8">
                  <c:v>0.81110000000000004</c:v>
                </c:pt>
                <c:pt idx="9">
                  <c:v>0.87039999999999995</c:v>
                </c:pt>
                <c:pt idx="10">
                  <c:v>0.88149999999999995</c:v>
                </c:pt>
                <c:pt idx="11">
                  <c:v>0.94869999999999999</c:v>
                </c:pt>
                <c:pt idx="12">
                  <c:v>0.89970000000000006</c:v>
                </c:pt>
                <c:pt idx="13">
                  <c:v>0.94869999999999999</c:v>
                </c:pt>
                <c:pt idx="14">
                  <c:v>0.91320000000000001</c:v>
                </c:pt>
                <c:pt idx="15">
                  <c:v>0.6784</c:v>
                </c:pt>
              </c:numCache>
            </c:numRef>
          </c:val>
        </c:ser>
        <c:ser>
          <c:idx val="1"/>
          <c:order val="1"/>
          <c:tx>
            <c:strRef>
              <c:f>Sheet1!$C$1</c:f>
              <c:strCache>
                <c:ptCount val="1"/>
                <c:pt idx="0">
                  <c:v>2016</c:v>
                </c:pt>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0">
                <a:spAutoFit/>
              </a:bodyPr>
              <a:lstStyle/>
              <a:p>
                <a:pPr algn="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Etica și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0.00%</c:formatCode>
                <c:ptCount val="16"/>
                <c:pt idx="0">
                  <c:v>0.96209999999999996</c:v>
                </c:pt>
                <c:pt idx="1">
                  <c:v>0.90410000000000001</c:v>
                </c:pt>
                <c:pt idx="2">
                  <c:v>0.93410000000000004</c:v>
                </c:pt>
                <c:pt idx="3">
                  <c:v>0.95579999999999998</c:v>
                </c:pt>
                <c:pt idx="4">
                  <c:v>0.92379999999999995</c:v>
                </c:pt>
                <c:pt idx="5">
                  <c:v>0.95179999999999998</c:v>
                </c:pt>
                <c:pt idx="6">
                  <c:v>0.88939999999999997</c:v>
                </c:pt>
                <c:pt idx="7">
                  <c:v>0.80779999999999996</c:v>
                </c:pt>
                <c:pt idx="8">
                  <c:v>0.82150000000000001</c:v>
                </c:pt>
                <c:pt idx="9">
                  <c:v>0.89429999999999998</c:v>
                </c:pt>
                <c:pt idx="10">
                  <c:v>0.88590000000000002</c:v>
                </c:pt>
                <c:pt idx="11">
                  <c:v>0.95820000000000005</c:v>
                </c:pt>
                <c:pt idx="12">
                  <c:v>0.90910000000000002</c:v>
                </c:pt>
                <c:pt idx="13">
                  <c:v>0.95920000000000005</c:v>
                </c:pt>
                <c:pt idx="14">
                  <c:v>0.92969999999999997</c:v>
                </c:pt>
                <c:pt idx="15">
                  <c:v>0.69010000000000005</c:v>
                </c:pt>
              </c:numCache>
            </c:numRef>
          </c:val>
        </c:ser>
        <c:dLbls>
          <c:showLegendKey val="0"/>
          <c:showVal val="0"/>
          <c:showCatName val="0"/>
          <c:showSerName val="0"/>
          <c:showPercent val="0"/>
          <c:showBubbleSize val="0"/>
        </c:dLbls>
        <c:gapWidth val="150"/>
        <c:axId val="404637464"/>
        <c:axId val="404640208"/>
      </c:barChart>
      <c:catAx>
        <c:axId val="40463746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04640208"/>
        <c:crosses val="autoZero"/>
        <c:auto val="1"/>
        <c:lblAlgn val="ctr"/>
        <c:lblOffset val="100"/>
        <c:noMultiLvlLbl val="0"/>
      </c:catAx>
      <c:valAx>
        <c:axId val="404640208"/>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high"/>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046374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200" b="0" i="0" u="none" strike="noStrike" baseline="0">
                <a:effectLst/>
              </a:rPr>
              <a:t>Gradul de implementare a standardelor de control intern managerial, la nivelul ordonatorilor principali de credite – aparat propriu, </a:t>
            </a:r>
            <a:r>
              <a:rPr lang="ro-RO" sz="1200" b="0" i="0" baseline="0">
                <a:effectLst/>
                <a:latin typeface="Times New Roman" panose="02020603050405020304" pitchFamily="18" charset="0"/>
                <a:cs typeface="Times New Roman" panose="02020603050405020304" pitchFamily="18" charset="0"/>
              </a:rPr>
              <a:t>în perioada 2015 - 2016</a:t>
            </a:r>
          </a:p>
          <a:p>
            <a:pPr>
              <a:defRPr sz="1200">
                <a:latin typeface="Times New Roman" panose="02020603050405020304" pitchFamily="18" charset="0"/>
                <a:cs typeface="Times New Roman" panose="02020603050405020304" pitchFamily="18" charset="0"/>
              </a:defRPr>
            </a:pPr>
            <a:endParaRPr lang="ro-RO" sz="1200" b="0" i="0" baseline="0">
              <a:effectLst/>
              <a:latin typeface="Times New Roman" panose="02020603050405020304" pitchFamily="18" charset="0"/>
              <a:cs typeface="Times New Roman" panose="02020603050405020304" pitchFamily="18" charset="0"/>
            </a:endParaRPr>
          </a:p>
          <a:p>
            <a:pPr>
              <a:defRPr sz="1200">
                <a:latin typeface="Times New Roman" panose="02020603050405020304" pitchFamily="18" charset="0"/>
                <a:cs typeface="Times New Roman" panose="02020603050405020304" pitchFamily="18" charset="0"/>
              </a:defRPr>
            </a:pPr>
            <a:r>
              <a:rPr lang="ro-RO" sz="1200" b="0" i="1" u="none" strike="noStrike" baseline="0">
                <a:effectLst/>
              </a:rPr>
              <a:t>Parțial implementate (PI) (%)</a:t>
            </a:r>
            <a:endParaRPr lang="ro-RO" sz="1200" b="0" i="1">
              <a:effectLst/>
              <a:latin typeface="Times New Roman" panose="02020603050405020304" pitchFamily="18" charset="0"/>
              <a:cs typeface="Times New Roman" panose="02020603050405020304" pitchFamily="18" charset="0"/>
            </a:endParaRPr>
          </a:p>
        </c:rich>
      </c:tx>
      <c:layout>
        <c:manualLayout>
          <c:xMode val="edge"/>
          <c:yMode val="edge"/>
          <c:x val="0.11211752786220872"/>
          <c:y val="9.0293453724604959E-3"/>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General</c:formatCode>
                <c:ptCount val="16"/>
                <c:pt idx="0">
                  <c:v>9.6199999999999992</c:v>
                </c:pt>
                <c:pt idx="1">
                  <c:v>34.619999999999997</c:v>
                </c:pt>
                <c:pt idx="2">
                  <c:v>9.6199999999999992</c:v>
                </c:pt>
                <c:pt idx="3">
                  <c:v>5.77</c:v>
                </c:pt>
                <c:pt idx="4">
                  <c:v>11.54</c:v>
                </c:pt>
                <c:pt idx="5">
                  <c:v>15.38</c:v>
                </c:pt>
                <c:pt idx="6">
                  <c:v>19.23</c:v>
                </c:pt>
                <c:pt idx="7">
                  <c:v>21.15</c:v>
                </c:pt>
                <c:pt idx="8">
                  <c:v>34.619999999999997</c:v>
                </c:pt>
                <c:pt idx="9">
                  <c:v>19.23</c:v>
                </c:pt>
                <c:pt idx="10">
                  <c:v>26.92</c:v>
                </c:pt>
                <c:pt idx="11">
                  <c:v>3.85</c:v>
                </c:pt>
                <c:pt idx="12">
                  <c:v>26.92</c:v>
                </c:pt>
                <c:pt idx="13">
                  <c:v>9.6199999999999992</c:v>
                </c:pt>
                <c:pt idx="14">
                  <c:v>9.6199999999999992</c:v>
                </c:pt>
                <c:pt idx="15">
                  <c:v>7.69</c:v>
                </c:pt>
              </c:numCache>
            </c:numRef>
          </c:val>
        </c:ser>
        <c:ser>
          <c:idx val="1"/>
          <c:order val="1"/>
          <c:tx>
            <c:strRef>
              <c:f>Sheet1!$C$1</c:f>
              <c:strCache>
                <c:ptCount val="1"/>
                <c:pt idx="0">
                  <c:v>2016</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0.00</c:formatCode>
                <c:ptCount val="16"/>
                <c:pt idx="0">
                  <c:v>6</c:v>
                </c:pt>
                <c:pt idx="1">
                  <c:v>38</c:v>
                </c:pt>
                <c:pt idx="2">
                  <c:v>14</c:v>
                </c:pt>
                <c:pt idx="3">
                  <c:v>10</c:v>
                </c:pt>
                <c:pt idx="4">
                  <c:v>18</c:v>
                </c:pt>
                <c:pt idx="5">
                  <c:v>18</c:v>
                </c:pt>
                <c:pt idx="6">
                  <c:v>20</c:v>
                </c:pt>
                <c:pt idx="7">
                  <c:v>28</c:v>
                </c:pt>
                <c:pt idx="8">
                  <c:v>42</c:v>
                </c:pt>
                <c:pt idx="9">
                  <c:v>24</c:v>
                </c:pt>
                <c:pt idx="10">
                  <c:v>36</c:v>
                </c:pt>
                <c:pt idx="11">
                  <c:v>8</c:v>
                </c:pt>
                <c:pt idx="12">
                  <c:v>32</c:v>
                </c:pt>
                <c:pt idx="13">
                  <c:v>6</c:v>
                </c:pt>
                <c:pt idx="14">
                  <c:v>8</c:v>
                </c:pt>
                <c:pt idx="15">
                  <c:v>6</c:v>
                </c:pt>
              </c:numCache>
            </c:numRef>
          </c:val>
        </c:ser>
        <c:dLbls>
          <c:showLegendKey val="0"/>
          <c:showVal val="0"/>
          <c:showCatName val="0"/>
          <c:showSerName val="0"/>
          <c:showPercent val="0"/>
          <c:showBubbleSize val="0"/>
        </c:dLbls>
        <c:gapWidth val="182"/>
        <c:axId val="259415240"/>
        <c:axId val="259415632"/>
      </c:barChart>
      <c:catAx>
        <c:axId val="2594152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259415632"/>
        <c:crosses val="autoZero"/>
        <c:auto val="1"/>
        <c:lblAlgn val="ctr"/>
        <c:lblOffset val="100"/>
        <c:noMultiLvlLbl val="0"/>
      </c:catAx>
      <c:valAx>
        <c:axId val="2594156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15240"/>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1379172991056167"/>
          <c:h val="2.51061788443594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0" i="0" u="none" strike="noStrike" baseline="0">
                <a:effectLst/>
              </a:rPr>
              <a:t>Gradul de implementare a standardelor de control intern managerial, la nivelul ordonatorilor principali de credite – aparat propriu, </a:t>
            </a:r>
            <a:r>
              <a:rPr lang="ro-RO" sz="1100" b="0" i="0" baseline="0">
                <a:effectLst/>
                <a:latin typeface="Times New Roman" panose="02020603050405020304" pitchFamily="18" charset="0"/>
                <a:cs typeface="Times New Roman" panose="02020603050405020304" pitchFamily="18" charset="0"/>
              </a:rPr>
              <a:t>în perioada 2015 - 2016</a:t>
            </a:r>
          </a:p>
          <a:p>
            <a:pPr>
              <a:defRPr sz="1100">
                <a:latin typeface="Times New Roman" panose="02020603050405020304" pitchFamily="18" charset="0"/>
                <a:cs typeface="Times New Roman" panose="02020603050405020304" pitchFamily="18" charset="0"/>
              </a:defRPr>
            </a:pPr>
            <a:endParaRPr lang="ro-RO" sz="1100" b="0" i="0" baseline="0">
              <a:effectLst/>
              <a:latin typeface="Times New Roman" panose="02020603050405020304" pitchFamily="18" charset="0"/>
              <a:cs typeface="Times New Roman" panose="02020603050405020304" pitchFamily="18" charset="0"/>
            </a:endParaRPr>
          </a:p>
          <a:p>
            <a:pPr>
              <a:defRPr sz="1100">
                <a:latin typeface="Times New Roman" panose="02020603050405020304" pitchFamily="18" charset="0"/>
                <a:cs typeface="Times New Roman" panose="02020603050405020304" pitchFamily="18" charset="0"/>
              </a:defRPr>
            </a:pPr>
            <a:r>
              <a:rPr lang="ro-RO" sz="1100" b="0" i="1" u="none" strike="noStrike" baseline="0">
                <a:effectLst/>
              </a:rPr>
              <a:t>Neimplementate (NI) (%)</a:t>
            </a:r>
            <a:endParaRPr lang="ro-RO" sz="1100" b="0" i="1">
              <a:effectLst/>
              <a:latin typeface="Times New Roman" panose="02020603050405020304" pitchFamily="18" charset="0"/>
              <a:cs typeface="Times New Roman" panose="02020603050405020304" pitchFamily="18" charset="0"/>
            </a:endParaRPr>
          </a:p>
        </c:rich>
      </c:tx>
      <c:layout>
        <c:manualLayout>
          <c:xMode val="edge"/>
          <c:yMode val="edge"/>
          <c:x val="0.11211752786220872"/>
          <c:y val="9.0293453724604959E-3"/>
        </c:manualLayout>
      </c:layout>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0.00</c:formatCode>
                <c:ptCount val="16"/>
                <c:pt idx="0">
                  <c:v>0</c:v>
                </c:pt>
                <c:pt idx="1">
                  <c:v>7.69</c:v>
                </c:pt>
                <c:pt idx="2">
                  <c:v>1.92</c:v>
                </c:pt>
                <c:pt idx="3">
                  <c:v>1.92</c:v>
                </c:pt>
                <c:pt idx="4">
                  <c:v>1.92</c:v>
                </c:pt>
                <c:pt idx="5">
                  <c:v>0</c:v>
                </c:pt>
                <c:pt idx="6">
                  <c:v>5.77</c:v>
                </c:pt>
                <c:pt idx="7">
                  <c:v>9.6199999999999992</c:v>
                </c:pt>
                <c:pt idx="8">
                  <c:v>1.92</c:v>
                </c:pt>
                <c:pt idx="9">
                  <c:v>3.85</c:v>
                </c:pt>
                <c:pt idx="10">
                  <c:v>5.77</c:v>
                </c:pt>
                <c:pt idx="11">
                  <c:v>1.92</c:v>
                </c:pt>
                <c:pt idx="12">
                  <c:v>0</c:v>
                </c:pt>
                <c:pt idx="13">
                  <c:v>0</c:v>
                </c:pt>
                <c:pt idx="14">
                  <c:v>0</c:v>
                </c:pt>
                <c:pt idx="15">
                  <c:v>1.92</c:v>
                </c:pt>
              </c:numCache>
            </c:numRef>
          </c:val>
        </c:ser>
        <c:ser>
          <c:idx val="1"/>
          <c:order val="1"/>
          <c:tx>
            <c:strRef>
              <c:f>Sheet1!$C$1</c:f>
              <c:strCache>
                <c:ptCount val="1"/>
                <c:pt idx="0">
                  <c:v>2016</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0.00</c:formatCode>
                <c:ptCount val="16"/>
                <c:pt idx="0">
                  <c:v>0</c:v>
                </c:pt>
                <c:pt idx="1">
                  <c:v>10</c:v>
                </c:pt>
                <c:pt idx="2">
                  <c:v>4</c:v>
                </c:pt>
                <c:pt idx="3">
                  <c:v>0</c:v>
                </c:pt>
                <c:pt idx="4">
                  <c:v>2</c:v>
                </c:pt>
                <c:pt idx="5">
                  <c:v>0</c:v>
                </c:pt>
                <c:pt idx="6">
                  <c:v>2</c:v>
                </c:pt>
                <c:pt idx="7">
                  <c:v>2</c:v>
                </c:pt>
                <c:pt idx="8">
                  <c:v>6</c:v>
                </c:pt>
                <c:pt idx="9">
                  <c:v>0</c:v>
                </c:pt>
                <c:pt idx="10">
                  <c:v>4</c:v>
                </c:pt>
                <c:pt idx="11">
                  <c:v>0</c:v>
                </c:pt>
                <c:pt idx="12">
                  <c:v>2</c:v>
                </c:pt>
                <c:pt idx="13">
                  <c:v>0</c:v>
                </c:pt>
                <c:pt idx="14">
                  <c:v>0</c:v>
                </c:pt>
                <c:pt idx="15">
                  <c:v>2</c:v>
                </c:pt>
              </c:numCache>
            </c:numRef>
          </c:val>
        </c:ser>
        <c:dLbls>
          <c:showLegendKey val="0"/>
          <c:showVal val="0"/>
          <c:showCatName val="0"/>
          <c:showSerName val="0"/>
          <c:showPercent val="0"/>
          <c:showBubbleSize val="0"/>
        </c:dLbls>
        <c:gapWidth val="182"/>
        <c:axId val="259416416"/>
        <c:axId val="259416808"/>
      </c:barChart>
      <c:catAx>
        <c:axId val="2594164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259416808"/>
        <c:crossesAt val="0"/>
        <c:auto val="1"/>
        <c:lblAlgn val="ctr"/>
        <c:lblOffset val="100"/>
        <c:noMultiLvlLbl val="0"/>
      </c:catAx>
      <c:valAx>
        <c:axId val="2594168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16416"/>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1379172991056167"/>
          <c:h val="2.51061788443594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Grad de implementare ordonatori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S1 - Etică integritate</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A10F0C07-6CDE-4088-B06F-01351F310FB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F446790D-6635-44ED-80F1-96C88BE0C232}"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2015</c:v>
                </c:pt>
                <c:pt idx="1">
                  <c:v>2016</c:v>
                </c:pt>
              </c:numCache>
            </c:numRef>
          </c:cat>
          <c:val>
            <c:numRef>
              <c:f>Sheet1!$B$2:$B$3</c:f>
              <c:numCache>
                <c:formatCode>0.00</c:formatCode>
                <c:ptCount val="2"/>
                <c:pt idx="0">
                  <c:v>90.38</c:v>
                </c:pt>
                <c:pt idx="1">
                  <c:v>94</c:v>
                </c:pt>
              </c:numCache>
            </c:numRef>
          </c:val>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DDB011C6-7CDA-412D-B450-8E16FCC78DE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ACF1CA06-94EE-441B-BE97-E8CFD5FD8DF7}"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9.6199999999999992</c:v>
                </c:pt>
                <c:pt idx="1">
                  <c:v>6</c:v>
                </c:pt>
              </c:numCache>
            </c:numRef>
          </c:val>
        </c:ser>
        <c:ser>
          <c:idx val="2"/>
          <c:order val="2"/>
          <c:tx>
            <c:strRef>
              <c:f>Sheet1!$D$1</c:f>
              <c:strCache>
                <c:ptCount val="1"/>
                <c:pt idx="0">
                  <c:v>NI</c:v>
                </c:pt>
              </c:strCache>
            </c:strRef>
          </c:tx>
          <c:spPr>
            <a:solidFill>
              <a:schemeClr val="accent3"/>
            </a:solidFill>
            <a:ln>
              <a:noFill/>
            </a:ln>
            <a:effectLst/>
          </c:spPr>
          <c:invertIfNegative val="0"/>
          <c:cat>
            <c:numRef>
              <c:f>Sheet1!$A$2:$A$3</c:f>
              <c:numCache>
                <c:formatCode>General</c:formatCode>
                <c:ptCount val="2"/>
                <c:pt idx="0">
                  <c:v>2015</c:v>
                </c:pt>
                <c:pt idx="1">
                  <c:v>2016</c:v>
                </c:pt>
              </c:numCache>
            </c:numRef>
          </c:cat>
          <c:val>
            <c:numRef>
              <c:f>Sheet1!$D$2:$D$3</c:f>
              <c:numCache>
                <c:formatCode>0.00</c:formatCode>
                <c:ptCount val="2"/>
                <c:pt idx="0">
                  <c:v>0</c:v>
                </c:pt>
                <c:pt idx="1">
                  <c:v>0</c:v>
                </c:pt>
              </c:numCache>
            </c:numRef>
          </c:val>
        </c:ser>
        <c:dLbls>
          <c:showLegendKey val="0"/>
          <c:showVal val="0"/>
          <c:showCatName val="0"/>
          <c:showSerName val="0"/>
          <c:showPercent val="0"/>
          <c:showBubbleSize val="0"/>
        </c:dLbls>
        <c:gapWidth val="219"/>
        <c:overlap val="-27"/>
        <c:axId val="259417984"/>
        <c:axId val="259418376"/>
      </c:barChart>
      <c:catAx>
        <c:axId val="259417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18376"/>
        <c:crosses val="autoZero"/>
        <c:auto val="1"/>
        <c:lblAlgn val="ctr"/>
        <c:lblOffset val="100"/>
        <c:noMultiLvlLbl val="0"/>
      </c:catAx>
      <c:valAx>
        <c:axId val="25941837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179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Numar ordonatori principali de credite</a:t>
            </a:r>
          </a:p>
          <a:p>
            <a:pPr>
              <a:defRPr sz="1050">
                <a:latin typeface="Times New Roman" panose="02020603050405020304" pitchFamily="18" charset="0"/>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S1 - Etică integritate</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General</c:formatCode>
                <c:ptCount val="2"/>
                <c:pt idx="0">
                  <c:v>47</c:v>
                </c:pt>
                <c:pt idx="1">
                  <c:v>47</c:v>
                </c:pt>
              </c:numCache>
            </c:numRef>
          </c:val>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5</c:v>
                </c:pt>
                <c:pt idx="1">
                  <c:v>3</c:v>
                </c:pt>
              </c:numCache>
            </c:numRef>
          </c:val>
        </c:ser>
        <c:ser>
          <c:idx val="2"/>
          <c:order val="2"/>
          <c:tx>
            <c:strRef>
              <c:f>Sheet1!$D$1</c:f>
              <c:strCache>
                <c:ptCount val="1"/>
                <c:pt idx="0">
                  <c:v>NI</c:v>
                </c:pt>
              </c:strCache>
            </c:strRef>
          </c:tx>
          <c:spPr>
            <a:solidFill>
              <a:schemeClr val="accent3"/>
            </a:solidFill>
            <a:ln>
              <a:noFill/>
            </a:ln>
            <a:effectLst/>
          </c:spPr>
          <c:invertIfNegative val="0"/>
          <c:cat>
            <c:numRef>
              <c:f>Sheet1!$A$2:$A$3</c:f>
              <c:numCache>
                <c:formatCode>General</c:formatCode>
                <c:ptCount val="2"/>
                <c:pt idx="0">
                  <c:v>2015</c:v>
                </c:pt>
                <c:pt idx="1">
                  <c:v>2016</c:v>
                </c:pt>
              </c:numCache>
            </c:numRef>
          </c:cat>
          <c:val>
            <c:numRef>
              <c:f>Sheet1!$D$2:$D$3</c:f>
              <c:numCache>
                <c:formatCode>General</c:formatCode>
                <c:ptCount val="2"/>
                <c:pt idx="0">
                  <c:v>0</c:v>
                </c:pt>
                <c:pt idx="1">
                  <c:v>0</c:v>
                </c:pt>
              </c:numCache>
            </c:numRef>
          </c:val>
        </c:ser>
        <c:dLbls>
          <c:showLegendKey val="0"/>
          <c:showVal val="0"/>
          <c:showCatName val="0"/>
          <c:showSerName val="0"/>
          <c:showPercent val="0"/>
          <c:showBubbleSize val="0"/>
        </c:dLbls>
        <c:gapWidth val="219"/>
        <c:overlap val="-27"/>
        <c:axId val="259419552"/>
        <c:axId val="259419944"/>
      </c:barChart>
      <c:catAx>
        <c:axId val="259419552"/>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19944"/>
        <c:crosses val="autoZero"/>
        <c:auto val="1"/>
        <c:lblAlgn val="ctr"/>
        <c:lblOffset val="100"/>
        <c:noMultiLvlLbl val="0"/>
      </c:catAx>
      <c:valAx>
        <c:axId val="259419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19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ordonatori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baseline="0">
                <a:effectLst/>
                <a:latin typeface="Times New Roman" panose="02020603050405020304" pitchFamily="18" charset="0"/>
                <a:cs typeface="Times New Roman" panose="02020603050405020304" pitchFamily="18" charset="0"/>
              </a:rPr>
              <a:t>S2 - </a:t>
            </a:r>
            <a:r>
              <a:rPr lang="en-US" sz="1050" b="1" i="0" baseline="0">
                <a:effectLst/>
                <a:latin typeface="Times New Roman" panose="02020603050405020304" pitchFamily="18" charset="0"/>
                <a:cs typeface="Times New Roman" panose="02020603050405020304" pitchFamily="18" charset="0"/>
              </a:rPr>
              <a:t>Atribuţii, funcţii, sarcini </a:t>
            </a:r>
            <a:endParaRPr lang="ro-RO" sz="105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57.69</c:v>
                </c:pt>
                <c:pt idx="1">
                  <c:v>52</c:v>
                </c:pt>
              </c:numCache>
            </c:numRef>
          </c:val>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A894D520-F6D8-4572-9006-DC808A1E3B2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547B9032-3CA9-4810-94EF-59D49CE9A312}"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34.619999999999997</c:v>
                </c:pt>
                <c:pt idx="1">
                  <c:v>38</c:v>
                </c:pt>
              </c:numCache>
            </c:numRef>
          </c:val>
        </c:ser>
        <c:ser>
          <c:idx val="2"/>
          <c:order val="2"/>
          <c:tx>
            <c:strRef>
              <c:f>Sheet1!$D$1</c:f>
              <c:strCache>
                <c:ptCount val="1"/>
                <c:pt idx="0">
                  <c:v>NI</c:v>
                </c:pt>
              </c:strCache>
            </c:strRef>
          </c:tx>
          <c:spPr>
            <a:solidFill>
              <a:schemeClr val="accent3"/>
            </a:solidFill>
            <a:ln>
              <a:noFill/>
            </a:ln>
            <a:effectLst/>
          </c:spPr>
          <c:invertIfNegative val="0"/>
          <c:dLbls>
            <c:dLbl>
              <c:idx val="0"/>
              <c:tx>
                <c:rich>
                  <a:bodyPr/>
                  <a:lstStyle/>
                  <a:p>
                    <a:fld id="{2E035813-6766-4459-BD78-1628F9BA760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F5A9AA9B-E918-4371-8627-B35D6F5EA56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7.69</c:v>
                </c:pt>
                <c:pt idx="1">
                  <c:v>10</c:v>
                </c:pt>
              </c:numCache>
            </c:numRef>
          </c:val>
        </c:ser>
        <c:dLbls>
          <c:showLegendKey val="0"/>
          <c:showVal val="0"/>
          <c:showCatName val="0"/>
          <c:showSerName val="0"/>
          <c:showPercent val="0"/>
          <c:showBubbleSize val="0"/>
        </c:dLbls>
        <c:gapWidth val="219"/>
        <c:overlap val="-27"/>
        <c:axId val="259420728"/>
        <c:axId val="259421120"/>
      </c:barChart>
      <c:catAx>
        <c:axId val="259420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21120"/>
        <c:crosses val="autoZero"/>
        <c:auto val="1"/>
        <c:lblAlgn val="ctr"/>
        <c:lblOffset val="100"/>
        <c:noMultiLvlLbl val="0"/>
      </c:catAx>
      <c:valAx>
        <c:axId val="259421120"/>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20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Numar ordonatori principali de credite</a:t>
            </a:r>
          </a:p>
          <a:p>
            <a:pPr>
              <a:defRPr sz="1050">
                <a:latin typeface="Times New Roman" panose="02020603050405020304" pitchFamily="18" charset="0"/>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S2 - </a:t>
            </a:r>
            <a:r>
              <a:rPr lang="en-US" sz="1050" b="1" i="0" u="none" strike="noStrike" baseline="0">
                <a:effectLst/>
                <a:latin typeface="Times New Roman" panose="02020603050405020304" pitchFamily="18" charset="0"/>
                <a:cs typeface="Times New Roman" panose="02020603050405020304" pitchFamily="18" charset="0"/>
              </a:rPr>
              <a:t>Atribuţii, funcţii, sarcini </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General</c:formatCode>
                <c:ptCount val="2"/>
                <c:pt idx="0">
                  <c:v>30</c:v>
                </c:pt>
                <c:pt idx="1">
                  <c:v>26</c:v>
                </c:pt>
              </c:numCache>
            </c:numRef>
          </c:val>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18</c:v>
                </c:pt>
                <c:pt idx="1">
                  <c:v>19</c:v>
                </c:pt>
              </c:numCache>
            </c:numRef>
          </c:val>
        </c:ser>
        <c:ser>
          <c:idx val="2"/>
          <c:order val="2"/>
          <c:tx>
            <c:strRef>
              <c:f>Sheet1!$D$1</c:f>
              <c:strCache>
                <c:ptCount val="1"/>
                <c:pt idx="0">
                  <c:v>NI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General</c:formatCode>
                <c:ptCount val="2"/>
                <c:pt idx="0">
                  <c:v>4</c:v>
                </c:pt>
                <c:pt idx="1">
                  <c:v>5</c:v>
                </c:pt>
              </c:numCache>
            </c:numRef>
          </c:val>
        </c:ser>
        <c:dLbls>
          <c:showLegendKey val="0"/>
          <c:showVal val="0"/>
          <c:showCatName val="0"/>
          <c:showSerName val="0"/>
          <c:showPercent val="0"/>
          <c:showBubbleSize val="0"/>
        </c:dLbls>
        <c:gapWidth val="219"/>
        <c:overlap val="-27"/>
        <c:axId val="259421904"/>
        <c:axId val="259422296"/>
      </c:barChart>
      <c:catAx>
        <c:axId val="25942190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22296"/>
        <c:crosses val="autoZero"/>
        <c:auto val="1"/>
        <c:lblAlgn val="ctr"/>
        <c:lblOffset val="100"/>
        <c:noMultiLvlLbl val="0"/>
      </c:catAx>
      <c:valAx>
        <c:axId val="2594222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21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ordonatori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u="none" strike="noStrike" baseline="0">
                <a:effectLst/>
              </a:rPr>
              <a:t>S</a:t>
            </a:r>
            <a:r>
              <a:rPr lang="en-US" sz="1050" b="1" i="1" u="none" strike="noStrike" baseline="0">
                <a:effectLst/>
              </a:rPr>
              <a:t>3 - Competen</a:t>
            </a:r>
            <a:r>
              <a:rPr lang="ro-RO" sz="1050" b="1" i="1" u="none" strike="noStrike" baseline="0">
                <a:effectLst/>
              </a:rPr>
              <a:t>ță, Performanță</a:t>
            </a:r>
            <a:endParaRPr lang="ro-RO" sz="105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88.46</c:v>
                </c:pt>
                <c:pt idx="1">
                  <c:v>82</c:v>
                </c:pt>
              </c:numCache>
            </c:numRef>
          </c:val>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60C31C14-9D07-45A4-98CB-605F067657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3AF7A55-C73F-4C1A-BB0D-F835CDD2B6F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9.6199999999999992</c:v>
                </c:pt>
                <c:pt idx="1">
                  <c:v>14</c:v>
                </c:pt>
              </c:numCache>
            </c:numRef>
          </c:val>
        </c:ser>
        <c:ser>
          <c:idx val="2"/>
          <c:order val="2"/>
          <c:tx>
            <c:strRef>
              <c:f>Sheet1!$D$1</c:f>
              <c:strCache>
                <c:ptCount val="1"/>
                <c:pt idx="0">
                  <c:v>NI</c:v>
                </c:pt>
              </c:strCache>
            </c:strRef>
          </c:tx>
          <c:spPr>
            <a:solidFill>
              <a:schemeClr val="accent3"/>
            </a:solidFill>
            <a:ln>
              <a:noFill/>
            </a:ln>
            <a:effectLst/>
          </c:spPr>
          <c:invertIfNegative val="0"/>
          <c:dLbls>
            <c:dLbl>
              <c:idx val="0"/>
              <c:tx>
                <c:rich>
                  <a:bodyPr/>
                  <a:lstStyle/>
                  <a:p>
                    <a:fld id="{B25094E1-97FF-4B28-AF6C-31A010609D5E}"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2785F7FE-9CEA-4740-AA4D-92843664C8B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1.92</c:v>
                </c:pt>
                <c:pt idx="1">
                  <c:v>4</c:v>
                </c:pt>
              </c:numCache>
            </c:numRef>
          </c:val>
        </c:ser>
        <c:dLbls>
          <c:showLegendKey val="0"/>
          <c:showVal val="0"/>
          <c:showCatName val="0"/>
          <c:showSerName val="0"/>
          <c:showPercent val="0"/>
          <c:showBubbleSize val="0"/>
        </c:dLbls>
        <c:gapWidth val="219"/>
        <c:overlap val="-27"/>
        <c:axId val="259423080"/>
        <c:axId val="259423472"/>
      </c:barChart>
      <c:catAx>
        <c:axId val="259423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23472"/>
        <c:crosses val="autoZero"/>
        <c:auto val="1"/>
        <c:lblAlgn val="ctr"/>
        <c:lblOffset val="100"/>
        <c:noMultiLvlLbl val="0"/>
      </c:catAx>
      <c:valAx>
        <c:axId val="25942347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230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Numar ordonatori principali de credite</a:t>
            </a:r>
          </a:p>
          <a:p>
            <a:pPr>
              <a:defRPr sz="1050">
                <a:latin typeface="Times New Roman" panose="02020603050405020304" pitchFamily="18" charset="0"/>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3 - Competen</a:t>
            </a:r>
            <a:r>
              <a:rPr lang="ro-RO" sz="1050" b="1" i="1" baseline="0">
                <a:latin typeface="Times New Roman" panose="02020603050405020304" pitchFamily="18" charset="0"/>
                <a:cs typeface="Times New Roman" panose="02020603050405020304" pitchFamily="18" charset="0"/>
              </a:rPr>
              <a:t>ță, Performanță</a:t>
            </a:r>
            <a:r>
              <a:rPr lang="en-US" sz="1050" b="1" i="0" u="none" strike="noStrike" baseline="0">
                <a:effectLst/>
                <a:latin typeface="Times New Roman" panose="02020603050405020304" pitchFamily="18" charset="0"/>
                <a:cs typeface="Times New Roman" panose="02020603050405020304" pitchFamily="18" charset="0"/>
              </a:rPr>
              <a:t> </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General</c:formatCode>
                <c:ptCount val="2"/>
                <c:pt idx="0">
                  <c:v>46</c:v>
                </c:pt>
                <c:pt idx="1">
                  <c:v>41</c:v>
                </c:pt>
              </c:numCache>
            </c:numRef>
          </c:val>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5</c:v>
                </c:pt>
                <c:pt idx="1">
                  <c:v>7</c:v>
                </c:pt>
              </c:numCache>
            </c:numRef>
          </c:val>
        </c:ser>
        <c:ser>
          <c:idx val="2"/>
          <c:order val="2"/>
          <c:tx>
            <c:strRef>
              <c:f>Sheet1!$D$1</c:f>
              <c:strCache>
                <c:ptCount val="1"/>
                <c:pt idx="0">
                  <c:v>NI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General</c:formatCode>
                <c:ptCount val="2"/>
                <c:pt idx="0">
                  <c:v>1</c:v>
                </c:pt>
                <c:pt idx="1">
                  <c:v>2</c:v>
                </c:pt>
              </c:numCache>
            </c:numRef>
          </c:val>
        </c:ser>
        <c:dLbls>
          <c:showLegendKey val="0"/>
          <c:showVal val="0"/>
          <c:showCatName val="0"/>
          <c:showSerName val="0"/>
          <c:showPercent val="0"/>
          <c:showBubbleSize val="0"/>
        </c:dLbls>
        <c:gapWidth val="219"/>
        <c:overlap val="-27"/>
        <c:axId val="259424256"/>
        <c:axId val="259424648"/>
      </c:barChart>
      <c:catAx>
        <c:axId val="259424256"/>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24648"/>
        <c:crosses val="autoZero"/>
        <c:auto val="1"/>
        <c:lblAlgn val="ctr"/>
        <c:lblOffset val="100"/>
        <c:noMultiLvlLbl val="0"/>
      </c:catAx>
      <c:valAx>
        <c:axId val="2594246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242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ordonatori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baseline="0">
                <a:effectLst/>
              </a:rPr>
              <a:t>S</a:t>
            </a:r>
            <a:r>
              <a:rPr lang="en-US" sz="1050" b="1" i="1" baseline="0">
                <a:effectLst/>
              </a:rPr>
              <a:t>4 - Structura organizatoric</a:t>
            </a:r>
            <a:r>
              <a:rPr lang="ro-RO" sz="1050" b="1" i="1" baseline="0">
                <a:effectLst/>
              </a:rPr>
              <a:t>ă</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92.31</c:v>
                </c:pt>
                <c:pt idx="1">
                  <c:v>90</c:v>
                </c:pt>
              </c:numCache>
            </c:numRef>
          </c:val>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60C31C14-9D07-45A4-98CB-605F067657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3AF7A55-C73F-4C1A-BB0D-F835CDD2B6F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5.77</c:v>
                </c:pt>
                <c:pt idx="1">
                  <c:v>10</c:v>
                </c:pt>
              </c:numCache>
            </c:numRef>
          </c:val>
        </c:ser>
        <c:ser>
          <c:idx val="2"/>
          <c:order val="2"/>
          <c:tx>
            <c:strRef>
              <c:f>Sheet1!$D$1</c:f>
              <c:strCache>
                <c:ptCount val="1"/>
                <c:pt idx="0">
                  <c:v>NI</c:v>
                </c:pt>
              </c:strCache>
            </c:strRef>
          </c:tx>
          <c:spPr>
            <a:solidFill>
              <a:schemeClr val="accent3"/>
            </a:solidFill>
            <a:ln>
              <a:noFill/>
            </a:ln>
            <a:effectLst/>
          </c:spPr>
          <c:invertIfNegative val="0"/>
          <c:dLbls>
            <c:dLbl>
              <c:idx val="0"/>
              <c:tx>
                <c:rich>
                  <a:bodyPr/>
                  <a:lstStyle/>
                  <a:p>
                    <a:fld id="{B25094E1-97FF-4B28-AF6C-31A010609D5E}"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2785F7FE-9CEA-4740-AA4D-92843664C8B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1.92</c:v>
                </c:pt>
                <c:pt idx="1">
                  <c:v>0</c:v>
                </c:pt>
              </c:numCache>
            </c:numRef>
          </c:val>
        </c:ser>
        <c:dLbls>
          <c:showLegendKey val="0"/>
          <c:showVal val="0"/>
          <c:showCatName val="0"/>
          <c:showSerName val="0"/>
          <c:showPercent val="0"/>
          <c:showBubbleSize val="0"/>
        </c:dLbls>
        <c:gapWidth val="219"/>
        <c:overlap val="-27"/>
        <c:axId val="259425432"/>
        <c:axId val="259425824"/>
      </c:barChart>
      <c:catAx>
        <c:axId val="259425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25824"/>
        <c:crosses val="autoZero"/>
        <c:auto val="1"/>
        <c:lblAlgn val="ctr"/>
        <c:lblOffset val="100"/>
        <c:noMultiLvlLbl val="0"/>
      </c:catAx>
      <c:valAx>
        <c:axId val="259425824"/>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254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Numar ordonatori principali de credite</a:t>
            </a:r>
          </a:p>
          <a:p>
            <a:pPr>
              <a:defRPr sz="1050">
                <a:latin typeface="Times New Roman" panose="02020603050405020304" pitchFamily="18" charset="0"/>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4 - Structura organizatoric</a:t>
            </a:r>
            <a:r>
              <a:rPr lang="ro-RO" sz="1050" b="1" i="1" baseline="0">
                <a:latin typeface="Times New Roman" panose="02020603050405020304" pitchFamily="18" charset="0"/>
                <a:cs typeface="Times New Roman" panose="02020603050405020304" pitchFamily="18" charset="0"/>
              </a:rPr>
              <a:t>ă</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General</c:formatCode>
                <c:ptCount val="2"/>
                <c:pt idx="0">
                  <c:v>48</c:v>
                </c:pt>
                <c:pt idx="1">
                  <c:v>45</c:v>
                </c:pt>
              </c:numCache>
            </c:numRef>
          </c:val>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3</c:v>
                </c:pt>
                <c:pt idx="1">
                  <c:v>5</c:v>
                </c:pt>
              </c:numCache>
            </c:numRef>
          </c:val>
        </c:ser>
        <c:ser>
          <c:idx val="2"/>
          <c:order val="2"/>
          <c:tx>
            <c:strRef>
              <c:f>Sheet1!$D$1</c:f>
              <c:strCache>
                <c:ptCount val="1"/>
                <c:pt idx="0">
                  <c:v>NI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General</c:formatCode>
                <c:ptCount val="2"/>
                <c:pt idx="0">
                  <c:v>1</c:v>
                </c:pt>
                <c:pt idx="1">
                  <c:v>0</c:v>
                </c:pt>
              </c:numCache>
            </c:numRef>
          </c:val>
        </c:ser>
        <c:dLbls>
          <c:showLegendKey val="0"/>
          <c:showVal val="0"/>
          <c:showCatName val="0"/>
          <c:showSerName val="0"/>
          <c:showPercent val="0"/>
          <c:showBubbleSize val="0"/>
        </c:dLbls>
        <c:gapWidth val="219"/>
        <c:overlap val="-27"/>
        <c:axId val="259426608"/>
        <c:axId val="259427000"/>
      </c:barChart>
      <c:catAx>
        <c:axId val="25942660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27000"/>
        <c:crosses val="autoZero"/>
        <c:auto val="1"/>
        <c:lblAlgn val="ctr"/>
        <c:lblOffset val="100"/>
        <c:noMultiLvlLbl val="0"/>
      </c:catAx>
      <c:valAx>
        <c:axId val="259427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266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0" i="0" baseline="0">
                <a:effectLst/>
                <a:latin typeface="Times New Roman" panose="02020603050405020304" pitchFamily="18" charset="0"/>
                <a:cs typeface="Times New Roman" panose="02020603050405020304" pitchFamily="18" charset="0"/>
              </a:rPr>
              <a:t>Stadiul implementării standardelor de control intern managerial la nivelul fiecărui ordonator principal de credite – aparat propriu în perioada 2015 - 2016</a:t>
            </a:r>
          </a:p>
          <a:p>
            <a:pPr>
              <a:defRPr sz="1100">
                <a:latin typeface="Times New Roman" panose="02020603050405020304" pitchFamily="18" charset="0"/>
                <a:cs typeface="Times New Roman" panose="02020603050405020304" pitchFamily="18" charset="0"/>
              </a:defRPr>
            </a:pPr>
            <a:endParaRPr lang="ro-RO" sz="1100" b="0" i="0">
              <a:effectLst/>
              <a:latin typeface="Times New Roman" panose="02020603050405020304" pitchFamily="18" charset="0"/>
              <a:cs typeface="Times New Roman" panose="02020603050405020304" pitchFamily="18" charset="0"/>
            </a:endParaRPr>
          </a:p>
          <a:p>
            <a:pPr>
              <a:defRPr sz="1100">
                <a:latin typeface="Times New Roman" panose="02020603050405020304" pitchFamily="18" charset="0"/>
                <a:cs typeface="Times New Roman" panose="02020603050405020304" pitchFamily="18" charset="0"/>
              </a:defRPr>
            </a:pPr>
            <a:r>
              <a:rPr lang="ro-RO" sz="1100" b="0" i="1" baseline="0">
                <a:effectLst/>
                <a:latin typeface="Times New Roman" panose="02020603050405020304" pitchFamily="18" charset="0"/>
                <a:cs typeface="Times New Roman" panose="02020603050405020304" pitchFamily="18" charset="0"/>
              </a:rPr>
              <a:t>Numărul standardelor de control intern managerial implementate (I)</a:t>
            </a:r>
            <a:endParaRPr lang="ro-RO" sz="1100" b="0" i="1">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chemeClr val="accent1"/>
            </a:solidFill>
            <a:ln>
              <a:noFill/>
            </a:ln>
            <a:effectLst/>
          </c:spPr>
          <c:invertIfNegative val="0"/>
          <c:cat>
            <c:strRef>
              <c:f>Sheet1!$A$2:$A$55</c:f>
              <c:strCache>
                <c:ptCount val="54"/>
                <c:pt idx="0">
                  <c:v>Curtea Constituţională</c:v>
                </c:pt>
                <c:pt idx="1">
                  <c:v>Consiliul Concurenţei</c:v>
                </c:pt>
                <c:pt idx="2">
                  <c:v>Ministerul Afacerilor Interne</c:v>
                </c:pt>
                <c:pt idx="3">
                  <c:v>Ministerul Apărării Naţionale</c:v>
                </c:pt>
                <c:pt idx="4">
                  <c:v>Ministerul Finanţelor Publice</c:v>
                </c:pt>
                <c:pt idx="5">
                  <c:v>Serviciul de Protecţie şi Pază *</c:v>
                </c:pt>
                <c:pt idx="6">
                  <c:v>Serviciul de Telecomunicaţii Speciale *</c:v>
                </c:pt>
                <c:pt idx="7">
                  <c:v>Oficiul Naţional de Prevenire şi Combaterea Spălării Banilor</c:v>
                </c:pt>
                <c:pt idx="8">
                  <c:v>Oficiul Registrului Naţional al Informaţiilor Secrete de Stat</c:v>
                </c:pt>
                <c:pt idx="9">
                  <c:v>Agenţia Naţională de Presă Agerpres</c:v>
                </c:pt>
                <c:pt idx="10">
                  <c:v>Consiliul Superior al Magistraturii</c:v>
                </c:pt>
                <c:pt idx="11">
                  <c:v>Autoritatea Naţională de Supraveghere a Prelucrării Datelor cu Caracter Personal</c:v>
                </c:pt>
                <c:pt idx="12">
                  <c:v>Consiliul Naţional de Soluţionare a Contesţatiilor</c:v>
                </c:pt>
                <c:pt idx="13">
                  <c:v>Avocatul Poporului</c:v>
                </c:pt>
                <c:pt idx="14">
                  <c:v>Secretariatul General al Guvernului</c:v>
                </c:pt>
                <c:pt idx="15">
                  <c:v>Ministerul Dezvoltării Regionale şi Administraţiei Publice</c:v>
                </c:pt>
                <c:pt idx="16">
                  <c:v>Ministerul Fondurilor Europene</c:v>
                </c:pt>
                <c:pt idx="17">
                  <c:v>Ministerul Justiţiei</c:v>
                </c:pt>
                <c:pt idx="18">
                  <c:v>Ministerul Muncii, Familiei, Protecţiei Sociale şi Persoanelor Vârstnice</c:v>
                </c:pt>
                <c:pt idx="19">
                  <c:v>Ministerul Public</c:v>
                </c:pt>
                <c:pt idx="20">
                  <c:v>Agenţia Naţională de Integritate</c:v>
                </c:pt>
                <c:pt idx="21">
                  <c:v>Serviciul Român de Informaţii</c:v>
                </c:pt>
                <c:pt idx="22">
                  <c:v>Serviciul de Informaţii Externe</c:v>
                </c:pt>
                <c:pt idx="23">
                  <c:v>Institutul Cultural Român</c:v>
                </c:pt>
                <c:pt idx="24">
                  <c:v>Academia Română</c:v>
                </c:pt>
                <c:pt idx="25">
                  <c:v>Consiliul Naţional pentru Combaterea Discriminării</c:v>
                </c:pt>
                <c:pt idx="26">
                  <c:v>Autoritatea Electorală Permanentă</c:v>
                </c:pt>
                <c:pt idx="27">
                  <c:v>Senatul României</c:v>
                </c:pt>
                <c:pt idx="28">
                  <c:v>Înalta Curte de Casaţie şi Justiţie</c:v>
                </c:pt>
                <c:pt idx="29">
                  <c:v>Ministerul Transporturilor</c:v>
                </c:pt>
                <c:pt idx="30">
                  <c:v>Secretariatul de Stat pentru recunoașterea meritelor luptătorilor împotriva regimului comunist instaurat în România în perioada 1945-1989</c:v>
                </c:pt>
                <c:pt idx="31">
                  <c:v>Administraţia Prezidenţială</c:v>
                </c:pt>
                <c:pt idx="32">
                  <c:v>Camera Deputaţilor</c:v>
                </c:pt>
                <c:pt idx="33">
                  <c:v>Curtea de Conturi a României</c:v>
                </c:pt>
                <c:pt idx="34">
                  <c:v>Consiliul Naţional al Audiovizualului</c:v>
                </c:pt>
                <c:pt idx="35">
                  <c:v>Ministerul Agriculturii şi Dezvoltării Rurale</c:v>
                </c:pt>
                <c:pt idx="36">
                  <c:v>Ministerul Energiei </c:v>
                </c:pt>
                <c:pt idx="37">
                  <c:v>Autoritatea Naţională Sanitară Veterinară şi pentru Siguranţa Alimentelor</c:v>
                </c:pt>
                <c:pt idx="38">
                  <c:v>Consiliul Legislativ</c:v>
                </c:pt>
                <c:pt idx="39">
                  <c:v>Ministerul Culturii</c:v>
                </c:pt>
                <c:pt idx="40">
                  <c:v>Societatea Română de Radiodifuziune</c:v>
                </c:pt>
                <c:pt idx="41">
                  <c:v>Consiliul Economic şi Social</c:v>
                </c:pt>
                <c:pt idx="42">
                  <c:v>Autoritatea pentru Administrarea Activelor Statului</c:v>
                </c:pt>
                <c:pt idx="43">
                  <c:v>Ministerul Afacerilor Externe</c:v>
                </c:pt>
                <c:pt idx="44">
                  <c:v>Ministerul Educaţiei Naționale și Cercetării Științifice</c:v>
                </c:pt>
                <c:pt idx="45">
                  <c:v>Ministerul Comunicațiilor pentru Societatea Informaţională </c:v>
                </c:pt>
                <c:pt idx="46">
                  <c:v>Ministerul Sănătăţii</c:v>
                </c:pt>
                <c:pt idx="47">
                  <c:v>Societatea Română de Televiziune</c:v>
                </c:pt>
                <c:pt idx="48">
                  <c:v>Autoritatea Naţională pentru Restituirea Proprietăţilor</c:v>
                </c:pt>
                <c:pt idx="49">
                  <c:v>Consiliul Naţional pentru Studierea Arhivelor Securităţii</c:v>
                </c:pt>
                <c:pt idx="50">
                  <c:v>Ministerul Mediului, Apelor și Pădurilor</c:v>
                </c:pt>
                <c:pt idx="51">
                  <c:v>Ministerul Tineretului si Sportului</c:v>
                </c:pt>
                <c:pt idx="52">
                  <c:v>Ministerul Economiei, Comerțului și Relațiilor cu Mediul de Afaceri </c:v>
                </c:pt>
                <c:pt idx="53">
                  <c:v>Ministerul pentru Consultare Publică și Dialog Civic </c:v>
                </c:pt>
              </c:strCache>
            </c:strRef>
          </c:cat>
          <c:val>
            <c:numRef>
              <c:f>Sheet1!$B$2:$B$55</c:f>
              <c:numCache>
                <c:formatCode>General</c:formatCode>
                <c:ptCount val="54"/>
                <c:pt idx="0">
                  <c:v>16</c:v>
                </c:pt>
                <c:pt idx="1">
                  <c:v>16</c:v>
                </c:pt>
                <c:pt idx="2">
                  <c:v>16</c:v>
                </c:pt>
                <c:pt idx="3">
                  <c:v>16</c:v>
                </c:pt>
                <c:pt idx="4">
                  <c:v>16</c:v>
                </c:pt>
                <c:pt idx="5">
                  <c:v>16</c:v>
                </c:pt>
                <c:pt idx="6">
                  <c:v>16</c:v>
                </c:pt>
                <c:pt idx="7">
                  <c:v>16</c:v>
                </c:pt>
                <c:pt idx="8">
                  <c:v>16</c:v>
                </c:pt>
                <c:pt idx="9">
                  <c:v>16</c:v>
                </c:pt>
                <c:pt idx="10">
                  <c:v>16</c:v>
                </c:pt>
                <c:pt idx="11">
                  <c:v>16</c:v>
                </c:pt>
                <c:pt idx="12">
                  <c:v>16</c:v>
                </c:pt>
                <c:pt idx="13">
                  <c:v>15</c:v>
                </c:pt>
                <c:pt idx="14">
                  <c:v>15</c:v>
                </c:pt>
                <c:pt idx="15">
                  <c:v>15</c:v>
                </c:pt>
                <c:pt idx="16">
                  <c:v>15</c:v>
                </c:pt>
                <c:pt idx="17">
                  <c:v>15</c:v>
                </c:pt>
                <c:pt idx="18">
                  <c:v>15</c:v>
                </c:pt>
                <c:pt idx="19">
                  <c:v>15</c:v>
                </c:pt>
                <c:pt idx="20">
                  <c:v>15</c:v>
                </c:pt>
                <c:pt idx="21">
                  <c:v>15</c:v>
                </c:pt>
                <c:pt idx="22">
                  <c:v>15</c:v>
                </c:pt>
                <c:pt idx="23">
                  <c:v>15</c:v>
                </c:pt>
                <c:pt idx="24">
                  <c:v>14</c:v>
                </c:pt>
                <c:pt idx="25">
                  <c:v>14</c:v>
                </c:pt>
                <c:pt idx="26">
                  <c:v>14</c:v>
                </c:pt>
                <c:pt idx="27">
                  <c:v>13</c:v>
                </c:pt>
                <c:pt idx="28">
                  <c:v>13</c:v>
                </c:pt>
                <c:pt idx="29">
                  <c:v>13</c:v>
                </c:pt>
                <c:pt idx="30">
                  <c:v>13</c:v>
                </c:pt>
                <c:pt idx="31">
                  <c:v>12</c:v>
                </c:pt>
                <c:pt idx="32">
                  <c:v>12</c:v>
                </c:pt>
                <c:pt idx="33">
                  <c:v>12</c:v>
                </c:pt>
                <c:pt idx="34">
                  <c:v>12</c:v>
                </c:pt>
                <c:pt idx="35">
                  <c:v>12</c:v>
                </c:pt>
                <c:pt idx="36">
                  <c:v>12</c:v>
                </c:pt>
                <c:pt idx="37">
                  <c:v>12</c:v>
                </c:pt>
                <c:pt idx="38">
                  <c:v>11</c:v>
                </c:pt>
                <c:pt idx="39">
                  <c:v>10</c:v>
                </c:pt>
                <c:pt idx="40">
                  <c:v>10</c:v>
                </c:pt>
                <c:pt idx="41">
                  <c:v>10</c:v>
                </c:pt>
                <c:pt idx="42">
                  <c:v>10</c:v>
                </c:pt>
                <c:pt idx="43">
                  <c:v>9</c:v>
                </c:pt>
                <c:pt idx="44">
                  <c:v>9</c:v>
                </c:pt>
                <c:pt idx="45">
                  <c:v>9</c:v>
                </c:pt>
                <c:pt idx="46">
                  <c:v>9</c:v>
                </c:pt>
                <c:pt idx="47">
                  <c:v>9</c:v>
                </c:pt>
                <c:pt idx="48">
                  <c:v>9</c:v>
                </c:pt>
                <c:pt idx="49">
                  <c:v>8</c:v>
                </c:pt>
                <c:pt idx="50">
                  <c:v>7</c:v>
                </c:pt>
                <c:pt idx="51">
                  <c:v>0</c:v>
                </c:pt>
                <c:pt idx="52">
                  <c:v>0</c:v>
                </c:pt>
                <c:pt idx="53">
                  <c:v>0</c:v>
                </c:pt>
              </c:numCache>
            </c:numRef>
          </c:val>
        </c:ser>
        <c:ser>
          <c:idx val="1"/>
          <c:order val="1"/>
          <c:tx>
            <c:strRef>
              <c:f>Sheet1!$C$1</c:f>
              <c:strCache>
                <c:ptCount val="1"/>
                <c:pt idx="0">
                  <c:v>2016</c:v>
                </c:pt>
              </c:strCache>
            </c:strRef>
          </c:tx>
          <c:spPr>
            <a:solidFill>
              <a:schemeClr val="accent2"/>
            </a:solidFill>
            <a:ln>
              <a:noFill/>
            </a:ln>
            <a:effectLst/>
          </c:spPr>
          <c:invertIfNegative val="0"/>
          <c:cat>
            <c:strRef>
              <c:f>Sheet1!$A$2:$A$55</c:f>
              <c:strCache>
                <c:ptCount val="54"/>
                <c:pt idx="0">
                  <c:v>Curtea Constituţională</c:v>
                </c:pt>
                <c:pt idx="1">
                  <c:v>Consiliul Concurenţei</c:v>
                </c:pt>
                <c:pt idx="2">
                  <c:v>Ministerul Afacerilor Interne</c:v>
                </c:pt>
                <c:pt idx="3">
                  <c:v>Ministerul Apărării Naţionale</c:v>
                </c:pt>
                <c:pt idx="4">
                  <c:v>Ministerul Finanţelor Publice</c:v>
                </c:pt>
                <c:pt idx="5">
                  <c:v>Serviciul de Protecţie şi Pază *</c:v>
                </c:pt>
                <c:pt idx="6">
                  <c:v>Serviciul de Telecomunicaţii Speciale *</c:v>
                </c:pt>
                <c:pt idx="7">
                  <c:v>Oficiul Naţional de Prevenire şi Combaterea Spălării Banilor</c:v>
                </c:pt>
                <c:pt idx="8">
                  <c:v>Oficiul Registrului Naţional al Informaţiilor Secrete de Stat</c:v>
                </c:pt>
                <c:pt idx="9">
                  <c:v>Agenţia Naţională de Presă Agerpres</c:v>
                </c:pt>
                <c:pt idx="10">
                  <c:v>Consiliul Superior al Magistraturii</c:v>
                </c:pt>
                <c:pt idx="11">
                  <c:v>Autoritatea Naţională de Supraveghere a Prelucrării Datelor cu Caracter Personal</c:v>
                </c:pt>
                <c:pt idx="12">
                  <c:v>Consiliul Naţional de Soluţionare a Contesţatiilor</c:v>
                </c:pt>
                <c:pt idx="13">
                  <c:v>Avocatul Poporului</c:v>
                </c:pt>
                <c:pt idx="14">
                  <c:v>Secretariatul General al Guvernului</c:v>
                </c:pt>
                <c:pt idx="15">
                  <c:v>Ministerul Dezvoltării Regionale şi Administraţiei Publice</c:v>
                </c:pt>
                <c:pt idx="16">
                  <c:v>Ministerul Fondurilor Europene</c:v>
                </c:pt>
                <c:pt idx="17">
                  <c:v>Ministerul Justiţiei</c:v>
                </c:pt>
                <c:pt idx="18">
                  <c:v>Ministerul Muncii, Familiei, Protecţiei Sociale şi Persoanelor Vârstnice</c:v>
                </c:pt>
                <c:pt idx="19">
                  <c:v>Ministerul Public</c:v>
                </c:pt>
                <c:pt idx="20">
                  <c:v>Agenţia Naţională de Integritate</c:v>
                </c:pt>
                <c:pt idx="21">
                  <c:v>Serviciul Român de Informaţii</c:v>
                </c:pt>
                <c:pt idx="22">
                  <c:v>Serviciul de Informaţii Externe</c:v>
                </c:pt>
                <c:pt idx="23">
                  <c:v>Institutul Cultural Român</c:v>
                </c:pt>
                <c:pt idx="24">
                  <c:v>Academia Română</c:v>
                </c:pt>
                <c:pt idx="25">
                  <c:v>Consiliul Naţional pentru Combaterea Discriminării</c:v>
                </c:pt>
                <c:pt idx="26">
                  <c:v>Autoritatea Electorală Permanentă</c:v>
                </c:pt>
                <c:pt idx="27">
                  <c:v>Senatul României</c:v>
                </c:pt>
                <c:pt idx="28">
                  <c:v>Înalta Curte de Casaţie şi Justiţie</c:v>
                </c:pt>
                <c:pt idx="29">
                  <c:v>Ministerul Transporturilor</c:v>
                </c:pt>
                <c:pt idx="30">
                  <c:v>Secretariatul de Stat pentru recunoașterea meritelor luptătorilor împotriva regimului comunist instaurat în România în perioada 1945-1989</c:v>
                </c:pt>
                <c:pt idx="31">
                  <c:v>Administraţia Prezidenţială</c:v>
                </c:pt>
                <c:pt idx="32">
                  <c:v>Camera Deputaţilor</c:v>
                </c:pt>
                <c:pt idx="33">
                  <c:v>Curtea de Conturi a României</c:v>
                </c:pt>
                <c:pt idx="34">
                  <c:v>Consiliul Naţional al Audiovizualului</c:v>
                </c:pt>
                <c:pt idx="35">
                  <c:v>Ministerul Agriculturii şi Dezvoltării Rurale</c:v>
                </c:pt>
                <c:pt idx="36">
                  <c:v>Ministerul Energiei </c:v>
                </c:pt>
                <c:pt idx="37">
                  <c:v>Autoritatea Naţională Sanitară Veterinară şi pentru Siguranţa Alimentelor</c:v>
                </c:pt>
                <c:pt idx="38">
                  <c:v>Consiliul Legislativ</c:v>
                </c:pt>
                <c:pt idx="39">
                  <c:v>Ministerul Culturii</c:v>
                </c:pt>
                <c:pt idx="40">
                  <c:v>Societatea Română de Radiodifuziune</c:v>
                </c:pt>
                <c:pt idx="41">
                  <c:v>Consiliul Economic şi Social</c:v>
                </c:pt>
                <c:pt idx="42">
                  <c:v>Autoritatea pentru Administrarea Activelor Statului</c:v>
                </c:pt>
                <c:pt idx="43">
                  <c:v>Ministerul Afacerilor Externe</c:v>
                </c:pt>
                <c:pt idx="44">
                  <c:v>Ministerul Educaţiei Naționale și Cercetării Științifice</c:v>
                </c:pt>
                <c:pt idx="45">
                  <c:v>Ministerul Comunicațiilor pentru Societatea Informaţională </c:v>
                </c:pt>
                <c:pt idx="46">
                  <c:v>Ministerul Sănătăţii</c:v>
                </c:pt>
                <c:pt idx="47">
                  <c:v>Societatea Română de Televiziune</c:v>
                </c:pt>
                <c:pt idx="48">
                  <c:v>Autoritatea Naţională pentru Restituirea Proprietăţilor</c:v>
                </c:pt>
                <c:pt idx="49">
                  <c:v>Consiliul Naţional pentru Studierea Arhivelor Securităţii</c:v>
                </c:pt>
                <c:pt idx="50">
                  <c:v>Ministerul Mediului, Apelor și Pădurilor</c:v>
                </c:pt>
                <c:pt idx="51">
                  <c:v>Ministerul Tineretului si Sportului</c:v>
                </c:pt>
                <c:pt idx="52">
                  <c:v>Ministerul Economiei, Comerțului și Relațiilor cu Mediul de Afaceri </c:v>
                </c:pt>
                <c:pt idx="53">
                  <c:v>Ministerul pentru Consultare Publică și Dialog Civic </c:v>
                </c:pt>
              </c:strCache>
            </c:strRef>
          </c:cat>
          <c:val>
            <c:numRef>
              <c:f>Sheet1!$C$2:$C$55</c:f>
              <c:numCache>
                <c:formatCode>General</c:formatCode>
                <c:ptCount val="54"/>
                <c:pt idx="0">
                  <c:v>16</c:v>
                </c:pt>
                <c:pt idx="1">
                  <c:v>16</c:v>
                </c:pt>
                <c:pt idx="2">
                  <c:v>16</c:v>
                </c:pt>
                <c:pt idx="3">
                  <c:v>16</c:v>
                </c:pt>
                <c:pt idx="4">
                  <c:v>16</c:v>
                </c:pt>
                <c:pt idx="5">
                  <c:v>0</c:v>
                </c:pt>
                <c:pt idx="6">
                  <c:v>0</c:v>
                </c:pt>
                <c:pt idx="7">
                  <c:v>16</c:v>
                </c:pt>
                <c:pt idx="8">
                  <c:v>16</c:v>
                </c:pt>
                <c:pt idx="9">
                  <c:v>15</c:v>
                </c:pt>
                <c:pt idx="10">
                  <c:v>16</c:v>
                </c:pt>
                <c:pt idx="11">
                  <c:v>16</c:v>
                </c:pt>
                <c:pt idx="12">
                  <c:v>16</c:v>
                </c:pt>
                <c:pt idx="13">
                  <c:v>15</c:v>
                </c:pt>
                <c:pt idx="14">
                  <c:v>10</c:v>
                </c:pt>
                <c:pt idx="15">
                  <c:v>15</c:v>
                </c:pt>
                <c:pt idx="16">
                  <c:v>14</c:v>
                </c:pt>
                <c:pt idx="17">
                  <c:v>15</c:v>
                </c:pt>
                <c:pt idx="18">
                  <c:v>16</c:v>
                </c:pt>
                <c:pt idx="19">
                  <c:v>8</c:v>
                </c:pt>
                <c:pt idx="20">
                  <c:v>16</c:v>
                </c:pt>
                <c:pt idx="21">
                  <c:v>15</c:v>
                </c:pt>
                <c:pt idx="22">
                  <c:v>16</c:v>
                </c:pt>
                <c:pt idx="23">
                  <c:v>15</c:v>
                </c:pt>
                <c:pt idx="24">
                  <c:v>15</c:v>
                </c:pt>
                <c:pt idx="25">
                  <c:v>11</c:v>
                </c:pt>
                <c:pt idx="26">
                  <c:v>9</c:v>
                </c:pt>
                <c:pt idx="27">
                  <c:v>10</c:v>
                </c:pt>
                <c:pt idx="28">
                  <c:v>14</c:v>
                </c:pt>
                <c:pt idx="29">
                  <c:v>12</c:v>
                </c:pt>
                <c:pt idx="30">
                  <c:v>11</c:v>
                </c:pt>
                <c:pt idx="31">
                  <c:v>12</c:v>
                </c:pt>
                <c:pt idx="32">
                  <c:v>11</c:v>
                </c:pt>
                <c:pt idx="33">
                  <c:v>12</c:v>
                </c:pt>
                <c:pt idx="34">
                  <c:v>11</c:v>
                </c:pt>
                <c:pt idx="35">
                  <c:v>11</c:v>
                </c:pt>
                <c:pt idx="36">
                  <c:v>10</c:v>
                </c:pt>
                <c:pt idx="37">
                  <c:v>13</c:v>
                </c:pt>
                <c:pt idx="38">
                  <c:v>11</c:v>
                </c:pt>
                <c:pt idx="39">
                  <c:v>9</c:v>
                </c:pt>
                <c:pt idx="40">
                  <c:v>10</c:v>
                </c:pt>
                <c:pt idx="41">
                  <c:v>9</c:v>
                </c:pt>
                <c:pt idx="42">
                  <c:v>11</c:v>
                </c:pt>
                <c:pt idx="43">
                  <c:v>9</c:v>
                </c:pt>
                <c:pt idx="44">
                  <c:v>10</c:v>
                </c:pt>
                <c:pt idx="45">
                  <c:v>9</c:v>
                </c:pt>
                <c:pt idx="46">
                  <c:v>12</c:v>
                </c:pt>
                <c:pt idx="47">
                  <c:v>9</c:v>
                </c:pt>
                <c:pt idx="48">
                  <c:v>10</c:v>
                </c:pt>
                <c:pt idx="49">
                  <c:v>8</c:v>
                </c:pt>
                <c:pt idx="50">
                  <c:v>8</c:v>
                </c:pt>
                <c:pt idx="51">
                  <c:v>9</c:v>
                </c:pt>
                <c:pt idx="52">
                  <c:v>0</c:v>
                </c:pt>
                <c:pt idx="53">
                  <c:v>0</c:v>
                </c:pt>
              </c:numCache>
            </c:numRef>
          </c:val>
        </c:ser>
        <c:dLbls>
          <c:showLegendKey val="0"/>
          <c:showVal val="0"/>
          <c:showCatName val="0"/>
          <c:showSerName val="0"/>
          <c:showPercent val="0"/>
          <c:showBubbleSize val="0"/>
        </c:dLbls>
        <c:gapWidth val="182"/>
        <c:axId val="404637856"/>
        <c:axId val="404640600"/>
      </c:barChart>
      <c:catAx>
        <c:axId val="4046378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04640600"/>
        <c:crosses val="autoZero"/>
        <c:auto val="1"/>
        <c:lblAlgn val="ctr"/>
        <c:lblOffset val="100"/>
        <c:noMultiLvlLbl val="0"/>
      </c:catAx>
      <c:valAx>
        <c:axId val="404640600"/>
        <c:scaling>
          <c:orientation val="minMax"/>
          <c:max val="16"/>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4637856"/>
        <c:crosses val="autoZero"/>
        <c:crossBetween val="between"/>
        <c:majorUnit val="1"/>
      </c:valAx>
      <c:spPr>
        <a:noFill/>
        <a:ln>
          <a:solidFill>
            <a:schemeClr val="accent1"/>
          </a:solidFill>
        </a:ln>
        <a:effectLst/>
      </c:spPr>
    </c:plotArea>
    <c:legend>
      <c:legendPos val="b"/>
      <c:layout>
        <c:manualLayout>
          <c:xMode val="edge"/>
          <c:yMode val="edge"/>
          <c:x val="0.61538091526484406"/>
          <c:y val="0.97450346735658711"/>
          <c:w val="0.13508829707273182"/>
          <c:h val="2.52074361195551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ordonatori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baseline="0">
                <a:effectLst/>
              </a:rPr>
              <a:t>S</a:t>
            </a:r>
            <a:r>
              <a:rPr lang="en-US" sz="1050" b="1" i="1" baseline="0">
                <a:effectLst/>
              </a:rPr>
              <a:t>5 - Obiective</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86.54</c:v>
                </c:pt>
                <c:pt idx="1">
                  <c:v>80</c:v>
                </c:pt>
              </c:numCache>
            </c:numRef>
          </c:val>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60C31C14-9D07-45A4-98CB-605F067657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3AF7A55-C73F-4C1A-BB0D-F835CDD2B6F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11.54</c:v>
                </c:pt>
                <c:pt idx="1">
                  <c:v>18</c:v>
                </c:pt>
              </c:numCache>
            </c:numRef>
          </c:val>
        </c:ser>
        <c:ser>
          <c:idx val="2"/>
          <c:order val="2"/>
          <c:tx>
            <c:strRef>
              <c:f>Sheet1!$D$1</c:f>
              <c:strCache>
                <c:ptCount val="1"/>
                <c:pt idx="0">
                  <c:v>NI</c:v>
                </c:pt>
              </c:strCache>
            </c:strRef>
          </c:tx>
          <c:spPr>
            <a:solidFill>
              <a:schemeClr val="accent3"/>
            </a:solidFill>
            <a:ln>
              <a:noFill/>
            </a:ln>
            <a:effectLst/>
          </c:spPr>
          <c:invertIfNegative val="0"/>
          <c:dLbls>
            <c:dLbl>
              <c:idx val="0"/>
              <c:tx>
                <c:rich>
                  <a:bodyPr/>
                  <a:lstStyle/>
                  <a:p>
                    <a:fld id="{B25094E1-97FF-4B28-AF6C-31A010609D5E}"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2785F7FE-9CEA-4740-AA4D-92843664C8B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1.92</c:v>
                </c:pt>
                <c:pt idx="1">
                  <c:v>2</c:v>
                </c:pt>
              </c:numCache>
            </c:numRef>
          </c:val>
        </c:ser>
        <c:dLbls>
          <c:showLegendKey val="0"/>
          <c:showVal val="0"/>
          <c:showCatName val="0"/>
          <c:showSerName val="0"/>
          <c:showPercent val="0"/>
          <c:showBubbleSize val="0"/>
        </c:dLbls>
        <c:gapWidth val="219"/>
        <c:overlap val="-27"/>
        <c:axId val="467005648"/>
        <c:axId val="467006040"/>
      </c:barChart>
      <c:catAx>
        <c:axId val="467005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06040"/>
        <c:crosses val="autoZero"/>
        <c:auto val="1"/>
        <c:lblAlgn val="ctr"/>
        <c:lblOffset val="100"/>
        <c:noMultiLvlLbl val="0"/>
      </c:catAx>
      <c:valAx>
        <c:axId val="467006040"/>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05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Numar ordonatori principali de credite</a:t>
            </a:r>
          </a:p>
          <a:p>
            <a:pPr>
              <a:defRPr sz="1050">
                <a:latin typeface="Times New Roman" panose="02020603050405020304" pitchFamily="18" charset="0"/>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5 - Obiective</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General</c:formatCode>
                <c:ptCount val="2"/>
                <c:pt idx="0">
                  <c:v>45</c:v>
                </c:pt>
                <c:pt idx="1">
                  <c:v>40</c:v>
                </c:pt>
              </c:numCache>
            </c:numRef>
          </c:val>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6</c:v>
                </c:pt>
                <c:pt idx="1">
                  <c:v>9</c:v>
                </c:pt>
              </c:numCache>
            </c:numRef>
          </c:val>
        </c:ser>
        <c:ser>
          <c:idx val="2"/>
          <c:order val="2"/>
          <c:tx>
            <c:strRef>
              <c:f>Sheet1!$D$1</c:f>
              <c:strCache>
                <c:ptCount val="1"/>
                <c:pt idx="0">
                  <c:v>NI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General</c:formatCode>
                <c:ptCount val="2"/>
                <c:pt idx="0">
                  <c:v>1</c:v>
                </c:pt>
                <c:pt idx="1">
                  <c:v>1</c:v>
                </c:pt>
              </c:numCache>
            </c:numRef>
          </c:val>
        </c:ser>
        <c:dLbls>
          <c:showLegendKey val="0"/>
          <c:showVal val="0"/>
          <c:showCatName val="0"/>
          <c:showSerName val="0"/>
          <c:showPercent val="0"/>
          <c:showBubbleSize val="0"/>
        </c:dLbls>
        <c:gapWidth val="219"/>
        <c:overlap val="-27"/>
        <c:axId val="467006824"/>
        <c:axId val="467007216"/>
      </c:barChart>
      <c:catAx>
        <c:axId val="46700682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07216"/>
        <c:crosses val="autoZero"/>
        <c:auto val="1"/>
        <c:lblAlgn val="ctr"/>
        <c:lblOffset val="100"/>
        <c:noMultiLvlLbl val="0"/>
      </c:catAx>
      <c:valAx>
        <c:axId val="4670072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06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ordonatori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baseline="0">
                <a:effectLst/>
              </a:rPr>
              <a:t>S</a:t>
            </a:r>
            <a:r>
              <a:rPr lang="en-US" sz="1050" b="1" i="1" baseline="0">
                <a:effectLst/>
              </a:rPr>
              <a:t>6 - Planificarea</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84.62</c:v>
                </c:pt>
                <c:pt idx="1">
                  <c:v>82</c:v>
                </c:pt>
              </c:numCache>
            </c:numRef>
          </c:val>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60C31C14-9D07-45A4-98CB-605F067657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3AF7A55-C73F-4C1A-BB0D-F835CDD2B6F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15.38</c:v>
                </c:pt>
                <c:pt idx="1">
                  <c:v>18</c:v>
                </c:pt>
              </c:numCache>
            </c:numRef>
          </c:val>
        </c:ser>
        <c:ser>
          <c:idx val="2"/>
          <c:order val="2"/>
          <c:tx>
            <c:strRef>
              <c:f>Sheet1!$D$1</c:f>
              <c:strCache>
                <c:ptCount val="1"/>
                <c:pt idx="0">
                  <c:v>NI</c:v>
                </c:pt>
              </c:strCache>
            </c:strRef>
          </c:tx>
          <c:spPr>
            <a:solidFill>
              <a:schemeClr val="accent3"/>
            </a:solidFill>
            <a:ln>
              <a:noFill/>
            </a:ln>
            <a:effectLst/>
          </c:spPr>
          <c:invertIfNegative val="0"/>
          <c:dLbls>
            <c:dLbl>
              <c:idx val="0"/>
              <c:tx>
                <c:rich>
                  <a:bodyPr/>
                  <a:lstStyle/>
                  <a:p>
                    <a:fld id="{B25094E1-97FF-4B28-AF6C-31A010609D5E}"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2785F7FE-9CEA-4740-AA4D-92843664C8B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0</c:v>
                </c:pt>
                <c:pt idx="1">
                  <c:v>0</c:v>
                </c:pt>
              </c:numCache>
            </c:numRef>
          </c:val>
        </c:ser>
        <c:dLbls>
          <c:showLegendKey val="0"/>
          <c:showVal val="0"/>
          <c:showCatName val="0"/>
          <c:showSerName val="0"/>
          <c:showPercent val="0"/>
          <c:showBubbleSize val="0"/>
        </c:dLbls>
        <c:gapWidth val="219"/>
        <c:overlap val="-27"/>
        <c:axId val="467008000"/>
        <c:axId val="467008392"/>
      </c:barChart>
      <c:catAx>
        <c:axId val="467008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08392"/>
        <c:crosses val="autoZero"/>
        <c:auto val="1"/>
        <c:lblAlgn val="ctr"/>
        <c:lblOffset val="100"/>
        <c:noMultiLvlLbl val="0"/>
      </c:catAx>
      <c:valAx>
        <c:axId val="46700839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08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Numar ordonatori principali de credite</a:t>
            </a:r>
          </a:p>
          <a:p>
            <a:pPr>
              <a:defRPr sz="1050">
                <a:latin typeface="Times New Roman" panose="02020603050405020304" pitchFamily="18" charset="0"/>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6 - Planificarea</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General</c:formatCode>
                <c:ptCount val="2"/>
                <c:pt idx="0">
                  <c:v>44</c:v>
                </c:pt>
                <c:pt idx="1">
                  <c:v>41</c:v>
                </c:pt>
              </c:numCache>
            </c:numRef>
          </c:val>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8</c:v>
                </c:pt>
                <c:pt idx="1">
                  <c:v>9</c:v>
                </c:pt>
              </c:numCache>
            </c:numRef>
          </c:val>
        </c:ser>
        <c:ser>
          <c:idx val="2"/>
          <c:order val="2"/>
          <c:tx>
            <c:strRef>
              <c:f>Sheet1!$D$1</c:f>
              <c:strCache>
                <c:ptCount val="1"/>
                <c:pt idx="0">
                  <c:v>NI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General</c:formatCode>
                <c:ptCount val="2"/>
                <c:pt idx="0">
                  <c:v>0</c:v>
                </c:pt>
                <c:pt idx="1">
                  <c:v>0</c:v>
                </c:pt>
              </c:numCache>
            </c:numRef>
          </c:val>
        </c:ser>
        <c:dLbls>
          <c:showLegendKey val="0"/>
          <c:showVal val="0"/>
          <c:showCatName val="0"/>
          <c:showSerName val="0"/>
          <c:showPercent val="0"/>
          <c:showBubbleSize val="0"/>
        </c:dLbls>
        <c:gapWidth val="219"/>
        <c:overlap val="-27"/>
        <c:axId val="467009176"/>
        <c:axId val="467009568"/>
      </c:barChart>
      <c:catAx>
        <c:axId val="467009176"/>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09568"/>
        <c:crosses val="autoZero"/>
        <c:auto val="1"/>
        <c:lblAlgn val="ctr"/>
        <c:lblOffset val="100"/>
        <c:noMultiLvlLbl val="0"/>
      </c:catAx>
      <c:valAx>
        <c:axId val="4670095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091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ordonatori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u="none" strike="noStrike" baseline="0">
                <a:effectLst/>
              </a:rPr>
              <a:t>S</a:t>
            </a:r>
            <a:r>
              <a:rPr lang="en-US" sz="1050" b="1" i="1" u="none" strike="noStrike" baseline="0">
                <a:effectLst/>
              </a:rPr>
              <a:t>7 - Monitorizarea performan</a:t>
            </a:r>
            <a:r>
              <a:rPr lang="ro-RO" sz="1050" b="1" i="1" u="none" strike="noStrike" baseline="0">
                <a:effectLst/>
              </a:rPr>
              <a:t>ț</a:t>
            </a:r>
            <a:r>
              <a:rPr lang="en-US" sz="1050" b="1" i="1" u="none" strike="noStrike" baseline="0">
                <a:effectLst/>
              </a:rPr>
              <a:t>elor</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75</c:v>
                </c:pt>
                <c:pt idx="1">
                  <c:v>78</c:v>
                </c:pt>
              </c:numCache>
            </c:numRef>
          </c:val>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60C31C14-9D07-45A4-98CB-605F067657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3AF7A55-C73F-4C1A-BB0D-F835CDD2B6F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19.23</c:v>
                </c:pt>
                <c:pt idx="1">
                  <c:v>20</c:v>
                </c:pt>
              </c:numCache>
            </c:numRef>
          </c:val>
        </c:ser>
        <c:ser>
          <c:idx val="2"/>
          <c:order val="2"/>
          <c:tx>
            <c:strRef>
              <c:f>Sheet1!$D$1</c:f>
              <c:strCache>
                <c:ptCount val="1"/>
                <c:pt idx="0">
                  <c:v>NI</c:v>
                </c:pt>
              </c:strCache>
            </c:strRef>
          </c:tx>
          <c:spPr>
            <a:solidFill>
              <a:schemeClr val="accent3"/>
            </a:solidFill>
            <a:ln>
              <a:noFill/>
            </a:ln>
            <a:effectLst/>
          </c:spPr>
          <c:invertIfNegative val="0"/>
          <c:dLbls>
            <c:dLbl>
              <c:idx val="0"/>
              <c:tx>
                <c:rich>
                  <a:bodyPr/>
                  <a:lstStyle/>
                  <a:p>
                    <a:fld id="{B25094E1-97FF-4B28-AF6C-31A010609D5E}"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2785F7FE-9CEA-4740-AA4D-92843664C8B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5.77</c:v>
                </c:pt>
                <c:pt idx="1">
                  <c:v>2</c:v>
                </c:pt>
              </c:numCache>
            </c:numRef>
          </c:val>
        </c:ser>
        <c:dLbls>
          <c:showLegendKey val="0"/>
          <c:showVal val="0"/>
          <c:showCatName val="0"/>
          <c:showSerName val="0"/>
          <c:showPercent val="0"/>
          <c:showBubbleSize val="0"/>
        </c:dLbls>
        <c:gapWidth val="219"/>
        <c:overlap val="-27"/>
        <c:axId val="467010352"/>
        <c:axId val="467010744"/>
      </c:barChart>
      <c:catAx>
        <c:axId val="467010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0744"/>
        <c:crosses val="autoZero"/>
        <c:auto val="1"/>
        <c:lblAlgn val="ctr"/>
        <c:lblOffset val="100"/>
        <c:noMultiLvlLbl val="0"/>
      </c:catAx>
      <c:valAx>
        <c:axId val="467010744"/>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03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Numar ordonatori principali de credite</a:t>
            </a:r>
          </a:p>
          <a:p>
            <a:pPr>
              <a:defRPr sz="1050">
                <a:latin typeface="Times New Roman" panose="02020603050405020304" pitchFamily="18" charset="0"/>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7 - Monitorizarea performan</a:t>
            </a:r>
            <a:r>
              <a:rPr lang="ro-RO" sz="1050" b="1" i="1" baseline="0">
                <a:latin typeface="Times New Roman" panose="02020603050405020304" pitchFamily="18" charset="0"/>
                <a:cs typeface="Times New Roman" panose="02020603050405020304" pitchFamily="18" charset="0"/>
              </a:rPr>
              <a:t>ț</a:t>
            </a:r>
            <a:r>
              <a:rPr lang="en-US" sz="1050" b="1" i="1" baseline="0">
                <a:latin typeface="Times New Roman" panose="02020603050405020304" pitchFamily="18" charset="0"/>
                <a:cs typeface="Times New Roman" panose="02020603050405020304" pitchFamily="18" charset="0"/>
              </a:rPr>
              <a:t>elor</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General</c:formatCode>
                <c:ptCount val="2"/>
                <c:pt idx="0">
                  <c:v>39</c:v>
                </c:pt>
                <c:pt idx="1">
                  <c:v>39</c:v>
                </c:pt>
              </c:numCache>
            </c:numRef>
          </c:val>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10</c:v>
                </c:pt>
                <c:pt idx="1">
                  <c:v>10</c:v>
                </c:pt>
              </c:numCache>
            </c:numRef>
          </c:val>
        </c:ser>
        <c:ser>
          <c:idx val="2"/>
          <c:order val="2"/>
          <c:tx>
            <c:strRef>
              <c:f>Sheet1!$D$1</c:f>
              <c:strCache>
                <c:ptCount val="1"/>
                <c:pt idx="0">
                  <c:v>NI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General</c:formatCode>
                <c:ptCount val="2"/>
                <c:pt idx="0">
                  <c:v>3</c:v>
                </c:pt>
                <c:pt idx="1">
                  <c:v>1</c:v>
                </c:pt>
              </c:numCache>
            </c:numRef>
          </c:val>
        </c:ser>
        <c:dLbls>
          <c:showLegendKey val="0"/>
          <c:showVal val="0"/>
          <c:showCatName val="0"/>
          <c:showSerName val="0"/>
          <c:showPercent val="0"/>
          <c:showBubbleSize val="0"/>
        </c:dLbls>
        <c:gapWidth val="219"/>
        <c:overlap val="-27"/>
        <c:axId val="467011528"/>
        <c:axId val="467011920"/>
      </c:barChart>
      <c:catAx>
        <c:axId val="46701152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1920"/>
        <c:crosses val="autoZero"/>
        <c:auto val="1"/>
        <c:lblAlgn val="ctr"/>
        <c:lblOffset val="100"/>
        <c:noMultiLvlLbl val="0"/>
      </c:catAx>
      <c:valAx>
        <c:axId val="4670119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15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ordonatori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u="none" strike="noStrike" baseline="0">
                <a:effectLst/>
              </a:rPr>
              <a:t>S</a:t>
            </a:r>
            <a:r>
              <a:rPr lang="en-US" sz="1050" b="1" i="1" u="none" strike="noStrike" baseline="0">
                <a:effectLst/>
              </a:rPr>
              <a:t>8 - Managementul riscului</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69.23</c:v>
                </c:pt>
                <c:pt idx="1">
                  <c:v>70</c:v>
                </c:pt>
              </c:numCache>
            </c:numRef>
          </c:val>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60C31C14-9D07-45A4-98CB-605F067657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3AF7A55-C73F-4C1A-BB0D-F835CDD2B6F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21.15</c:v>
                </c:pt>
                <c:pt idx="1">
                  <c:v>28</c:v>
                </c:pt>
              </c:numCache>
            </c:numRef>
          </c:val>
        </c:ser>
        <c:ser>
          <c:idx val="2"/>
          <c:order val="2"/>
          <c:tx>
            <c:strRef>
              <c:f>Sheet1!$D$1</c:f>
              <c:strCache>
                <c:ptCount val="1"/>
                <c:pt idx="0">
                  <c:v>NI</c:v>
                </c:pt>
              </c:strCache>
            </c:strRef>
          </c:tx>
          <c:spPr>
            <a:solidFill>
              <a:schemeClr val="accent3"/>
            </a:solidFill>
            <a:ln>
              <a:noFill/>
            </a:ln>
            <a:effectLst/>
          </c:spPr>
          <c:invertIfNegative val="0"/>
          <c:dLbls>
            <c:dLbl>
              <c:idx val="0"/>
              <c:tx>
                <c:rich>
                  <a:bodyPr/>
                  <a:lstStyle/>
                  <a:p>
                    <a:fld id="{B25094E1-97FF-4B28-AF6C-31A010609D5E}"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2785F7FE-9CEA-4740-AA4D-92843664C8B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9.6199999999999992</c:v>
                </c:pt>
                <c:pt idx="1">
                  <c:v>2</c:v>
                </c:pt>
              </c:numCache>
            </c:numRef>
          </c:val>
        </c:ser>
        <c:dLbls>
          <c:showLegendKey val="0"/>
          <c:showVal val="0"/>
          <c:showCatName val="0"/>
          <c:showSerName val="0"/>
          <c:showPercent val="0"/>
          <c:showBubbleSize val="0"/>
        </c:dLbls>
        <c:gapWidth val="219"/>
        <c:overlap val="-27"/>
        <c:axId val="467012312"/>
        <c:axId val="467012704"/>
      </c:barChart>
      <c:catAx>
        <c:axId val="467012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2704"/>
        <c:crosses val="autoZero"/>
        <c:auto val="1"/>
        <c:lblAlgn val="ctr"/>
        <c:lblOffset val="100"/>
        <c:noMultiLvlLbl val="0"/>
      </c:catAx>
      <c:valAx>
        <c:axId val="467012704"/>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2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Numar ordonatori principali de credite</a:t>
            </a:r>
          </a:p>
          <a:p>
            <a:pPr>
              <a:defRPr sz="1050">
                <a:latin typeface="Times New Roman" panose="02020603050405020304" pitchFamily="18" charset="0"/>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8 - Managementul riscului</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General</c:formatCode>
                <c:ptCount val="2"/>
                <c:pt idx="0">
                  <c:v>36</c:v>
                </c:pt>
                <c:pt idx="1">
                  <c:v>35</c:v>
                </c:pt>
              </c:numCache>
            </c:numRef>
          </c:val>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11</c:v>
                </c:pt>
                <c:pt idx="1">
                  <c:v>14</c:v>
                </c:pt>
              </c:numCache>
            </c:numRef>
          </c:val>
        </c:ser>
        <c:ser>
          <c:idx val="2"/>
          <c:order val="2"/>
          <c:tx>
            <c:strRef>
              <c:f>Sheet1!$D$1</c:f>
              <c:strCache>
                <c:ptCount val="1"/>
                <c:pt idx="0">
                  <c:v>NI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General</c:formatCode>
                <c:ptCount val="2"/>
                <c:pt idx="0">
                  <c:v>5</c:v>
                </c:pt>
                <c:pt idx="1">
                  <c:v>1</c:v>
                </c:pt>
              </c:numCache>
            </c:numRef>
          </c:val>
        </c:ser>
        <c:dLbls>
          <c:showLegendKey val="0"/>
          <c:showVal val="0"/>
          <c:showCatName val="0"/>
          <c:showSerName val="0"/>
          <c:showPercent val="0"/>
          <c:showBubbleSize val="0"/>
        </c:dLbls>
        <c:gapWidth val="219"/>
        <c:overlap val="-27"/>
        <c:axId val="467013488"/>
        <c:axId val="467013880"/>
      </c:barChart>
      <c:catAx>
        <c:axId val="46701348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3880"/>
        <c:crosses val="autoZero"/>
        <c:auto val="1"/>
        <c:lblAlgn val="ctr"/>
        <c:lblOffset val="100"/>
        <c:noMultiLvlLbl val="0"/>
      </c:catAx>
      <c:valAx>
        <c:axId val="4670138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3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ordonatori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u="none" strike="noStrike" baseline="0">
                <a:effectLst/>
              </a:rPr>
              <a:t>S</a:t>
            </a:r>
            <a:r>
              <a:rPr lang="en-US" sz="1050" b="1" i="1" u="none" strike="noStrike" baseline="0">
                <a:effectLst/>
              </a:rPr>
              <a:t>9 - Proceduri</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63.46</c:v>
                </c:pt>
                <c:pt idx="1">
                  <c:v>52</c:v>
                </c:pt>
              </c:numCache>
            </c:numRef>
          </c:val>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60C31C14-9D07-45A4-98CB-605F067657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3AF7A55-C73F-4C1A-BB0D-F835CDD2B6F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34.619999999999997</c:v>
                </c:pt>
                <c:pt idx="1">
                  <c:v>42</c:v>
                </c:pt>
              </c:numCache>
            </c:numRef>
          </c:val>
        </c:ser>
        <c:ser>
          <c:idx val="2"/>
          <c:order val="2"/>
          <c:tx>
            <c:strRef>
              <c:f>Sheet1!$D$1</c:f>
              <c:strCache>
                <c:ptCount val="1"/>
                <c:pt idx="0">
                  <c:v>NI</c:v>
                </c:pt>
              </c:strCache>
            </c:strRef>
          </c:tx>
          <c:spPr>
            <a:solidFill>
              <a:schemeClr val="accent3"/>
            </a:solidFill>
            <a:ln>
              <a:noFill/>
            </a:ln>
            <a:effectLst/>
          </c:spPr>
          <c:invertIfNegative val="0"/>
          <c:dLbls>
            <c:dLbl>
              <c:idx val="0"/>
              <c:tx>
                <c:rich>
                  <a:bodyPr/>
                  <a:lstStyle/>
                  <a:p>
                    <a:fld id="{B25094E1-97FF-4B28-AF6C-31A010609D5E}"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2785F7FE-9CEA-4740-AA4D-92843664C8B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1.92</c:v>
                </c:pt>
                <c:pt idx="1">
                  <c:v>6</c:v>
                </c:pt>
              </c:numCache>
            </c:numRef>
          </c:val>
        </c:ser>
        <c:dLbls>
          <c:showLegendKey val="0"/>
          <c:showVal val="0"/>
          <c:showCatName val="0"/>
          <c:showSerName val="0"/>
          <c:showPercent val="0"/>
          <c:showBubbleSize val="0"/>
        </c:dLbls>
        <c:gapWidth val="219"/>
        <c:overlap val="-27"/>
        <c:axId val="467014664"/>
        <c:axId val="467015056"/>
      </c:barChart>
      <c:catAx>
        <c:axId val="467014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5056"/>
        <c:crosses val="autoZero"/>
        <c:auto val="1"/>
        <c:lblAlgn val="ctr"/>
        <c:lblOffset val="100"/>
        <c:noMultiLvlLbl val="0"/>
      </c:catAx>
      <c:valAx>
        <c:axId val="46701505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46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Numar ordonatori principali de credite</a:t>
            </a:r>
          </a:p>
          <a:p>
            <a:pPr>
              <a:defRPr sz="1050">
                <a:latin typeface="Times New Roman" panose="02020603050405020304" pitchFamily="18" charset="0"/>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9 - Proceduri</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General</c:formatCode>
                <c:ptCount val="2"/>
                <c:pt idx="0">
                  <c:v>33</c:v>
                </c:pt>
                <c:pt idx="1">
                  <c:v>26</c:v>
                </c:pt>
              </c:numCache>
            </c:numRef>
          </c:val>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18</c:v>
                </c:pt>
                <c:pt idx="1">
                  <c:v>21</c:v>
                </c:pt>
              </c:numCache>
            </c:numRef>
          </c:val>
        </c:ser>
        <c:ser>
          <c:idx val="2"/>
          <c:order val="2"/>
          <c:tx>
            <c:strRef>
              <c:f>Sheet1!$D$1</c:f>
              <c:strCache>
                <c:ptCount val="1"/>
                <c:pt idx="0">
                  <c:v>NI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General</c:formatCode>
                <c:ptCount val="2"/>
                <c:pt idx="0">
                  <c:v>1</c:v>
                </c:pt>
                <c:pt idx="1">
                  <c:v>3</c:v>
                </c:pt>
              </c:numCache>
            </c:numRef>
          </c:val>
        </c:ser>
        <c:dLbls>
          <c:showLegendKey val="0"/>
          <c:showVal val="0"/>
          <c:showCatName val="0"/>
          <c:showSerName val="0"/>
          <c:showPercent val="0"/>
          <c:showBubbleSize val="0"/>
        </c:dLbls>
        <c:gapWidth val="219"/>
        <c:overlap val="-27"/>
        <c:axId val="467015840"/>
        <c:axId val="467016232"/>
      </c:barChart>
      <c:catAx>
        <c:axId val="46701584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6232"/>
        <c:crosses val="autoZero"/>
        <c:auto val="1"/>
        <c:lblAlgn val="ctr"/>
        <c:lblOffset val="100"/>
        <c:noMultiLvlLbl val="0"/>
      </c:catAx>
      <c:valAx>
        <c:axId val="467016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58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0" i="0" baseline="0">
                <a:effectLst/>
                <a:latin typeface="Times New Roman" panose="02020603050405020304" pitchFamily="18" charset="0"/>
                <a:cs typeface="Times New Roman" panose="02020603050405020304" pitchFamily="18" charset="0"/>
              </a:rPr>
              <a:t>Stadiul implementării standardelor de control intern managerial la nivelul fiecărui ordonator principal de credite – aparat propriu în perioada 2015 - 2016</a:t>
            </a:r>
          </a:p>
          <a:p>
            <a:pPr>
              <a:defRPr sz="1100">
                <a:latin typeface="Times New Roman" panose="02020603050405020304" pitchFamily="18" charset="0"/>
                <a:cs typeface="Times New Roman" panose="02020603050405020304" pitchFamily="18" charset="0"/>
              </a:defRPr>
            </a:pPr>
            <a:endParaRPr lang="ro-RO" sz="1100" b="0" i="0">
              <a:effectLst/>
              <a:latin typeface="Times New Roman" panose="02020603050405020304" pitchFamily="18" charset="0"/>
              <a:cs typeface="Times New Roman" panose="02020603050405020304" pitchFamily="18" charset="0"/>
            </a:endParaRPr>
          </a:p>
          <a:p>
            <a:pPr>
              <a:defRPr sz="1100">
                <a:latin typeface="Times New Roman" panose="02020603050405020304" pitchFamily="18" charset="0"/>
                <a:cs typeface="Times New Roman" panose="02020603050405020304" pitchFamily="18" charset="0"/>
              </a:defRPr>
            </a:pPr>
            <a:r>
              <a:rPr lang="ro-RO" sz="1100" b="0" i="0" baseline="0">
                <a:effectLst/>
                <a:latin typeface="Times New Roman" panose="02020603050405020304" pitchFamily="18" charset="0"/>
                <a:cs typeface="Times New Roman" panose="02020603050405020304" pitchFamily="18" charset="0"/>
              </a:rPr>
              <a:t>Numărul standardelor de control intern managerial parțial implementate (PI)</a:t>
            </a:r>
            <a:endParaRPr lang="ro-RO" sz="1100" b="0" i="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chemeClr val="accent1"/>
            </a:solidFill>
            <a:ln>
              <a:noFill/>
            </a:ln>
            <a:effectLst/>
          </c:spPr>
          <c:invertIfNegative val="0"/>
          <c:cat>
            <c:strRef>
              <c:f>Sheet1!$A$2:$A$55</c:f>
              <c:strCache>
                <c:ptCount val="54"/>
                <c:pt idx="0">
                  <c:v>Curtea Constituţională</c:v>
                </c:pt>
                <c:pt idx="1">
                  <c:v>Consiliul Concurenţei</c:v>
                </c:pt>
                <c:pt idx="2">
                  <c:v>Ministerul Afacerilor Interne</c:v>
                </c:pt>
                <c:pt idx="3">
                  <c:v>Ministerul Apărării Naţionale</c:v>
                </c:pt>
                <c:pt idx="4">
                  <c:v>Ministerul Finanţelor Publice</c:v>
                </c:pt>
                <c:pt idx="5">
                  <c:v>Serviciul de Protecţie şi Pază *</c:v>
                </c:pt>
                <c:pt idx="6">
                  <c:v>Serviciul de Telecomunicaţii Speciale *</c:v>
                </c:pt>
                <c:pt idx="7">
                  <c:v>Oficiul Naţional de Prevenire şi Combaterea Spălării Banilor</c:v>
                </c:pt>
                <c:pt idx="8">
                  <c:v>Oficiul Registrului Naţional al Informaţiilor Secrete de Stat</c:v>
                </c:pt>
                <c:pt idx="9">
                  <c:v>Agenţia Naţională de Presă Agerpres</c:v>
                </c:pt>
                <c:pt idx="10">
                  <c:v>Consiliul Superior al Magistraturii</c:v>
                </c:pt>
                <c:pt idx="11">
                  <c:v>Autoritatea Naţională de Supraveghere a Prelucrării Datelor cu Caracter Personal</c:v>
                </c:pt>
                <c:pt idx="12">
                  <c:v>Consiliul Naţional de Soluţionare a Contesţatiilor</c:v>
                </c:pt>
                <c:pt idx="13">
                  <c:v>Avocatul Poporului</c:v>
                </c:pt>
                <c:pt idx="14">
                  <c:v>Secretariatul General al Guvernului</c:v>
                </c:pt>
                <c:pt idx="15">
                  <c:v>Ministerul Dezvoltării Regionale şi Administraţiei Publice</c:v>
                </c:pt>
                <c:pt idx="16">
                  <c:v>Ministerul Fondurilor Europene</c:v>
                </c:pt>
                <c:pt idx="17">
                  <c:v>Ministerul Justiţiei</c:v>
                </c:pt>
                <c:pt idx="18">
                  <c:v>Ministerul Muncii, Familiei, Protecţiei Sociale şi Persoanelor Vârstnice</c:v>
                </c:pt>
                <c:pt idx="19">
                  <c:v>Ministerul Public</c:v>
                </c:pt>
                <c:pt idx="20">
                  <c:v>Agenţia Naţională de Integritate</c:v>
                </c:pt>
                <c:pt idx="21">
                  <c:v>Serviciul Român de Informaţii</c:v>
                </c:pt>
                <c:pt idx="22">
                  <c:v>Serviciul de Informaţii Externe</c:v>
                </c:pt>
                <c:pt idx="23">
                  <c:v>Institutul Cultural Român</c:v>
                </c:pt>
                <c:pt idx="24">
                  <c:v>Academia Română</c:v>
                </c:pt>
                <c:pt idx="25">
                  <c:v>Consiliul Naţional pentru Combaterea Discriminării</c:v>
                </c:pt>
                <c:pt idx="26">
                  <c:v>Autoritatea Electorală Permanentă</c:v>
                </c:pt>
                <c:pt idx="27">
                  <c:v>Senatul României</c:v>
                </c:pt>
                <c:pt idx="28">
                  <c:v>Înalta Curte de Casaţie şi Justiţie</c:v>
                </c:pt>
                <c:pt idx="29">
                  <c:v>Ministerul Transporturilor</c:v>
                </c:pt>
                <c:pt idx="30">
                  <c:v>Secretariatul de Stat pentru recunoașterea meritelor luptătorilor împotriva regimului comunist instaurat în România în perioada 1945-1989</c:v>
                </c:pt>
                <c:pt idx="31">
                  <c:v>Administraţia Prezidenţială</c:v>
                </c:pt>
                <c:pt idx="32">
                  <c:v>Camera Deputaţilor</c:v>
                </c:pt>
                <c:pt idx="33">
                  <c:v>Curtea de Conturi a României</c:v>
                </c:pt>
                <c:pt idx="34">
                  <c:v>Consiliul Naţional al Audiovizualului</c:v>
                </c:pt>
                <c:pt idx="35">
                  <c:v>Ministerul Agriculturii şi Dezvoltării Rurale</c:v>
                </c:pt>
                <c:pt idx="36">
                  <c:v>Ministerul Energiei </c:v>
                </c:pt>
                <c:pt idx="37">
                  <c:v>Autoritatea Naţională Sanitară Veterinară şi pentru Siguranţa Alimentelor</c:v>
                </c:pt>
                <c:pt idx="38">
                  <c:v>Consiliul Legislativ</c:v>
                </c:pt>
                <c:pt idx="39">
                  <c:v>Ministerul Culturii</c:v>
                </c:pt>
                <c:pt idx="40">
                  <c:v>Societatea Română de Radiodifuziune</c:v>
                </c:pt>
                <c:pt idx="41">
                  <c:v>Consiliul Economic şi Social</c:v>
                </c:pt>
                <c:pt idx="42">
                  <c:v>Autoritatea pentru Administrarea Activelor Statului</c:v>
                </c:pt>
                <c:pt idx="43">
                  <c:v>Ministerul Afacerilor Externe</c:v>
                </c:pt>
                <c:pt idx="44">
                  <c:v>Ministerul Educaţiei Naționale și Cercetării Științifice</c:v>
                </c:pt>
                <c:pt idx="45">
                  <c:v>Ministerul Comunicațiilor pentru Societatea Informaţională </c:v>
                </c:pt>
                <c:pt idx="46">
                  <c:v>Ministerul Sănătăţii</c:v>
                </c:pt>
                <c:pt idx="47">
                  <c:v>Societatea Română de Televiziune</c:v>
                </c:pt>
                <c:pt idx="48">
                  <c:v>Autoritatea Naţională pentru Restituirea Proprietăţilor</c:v>
                </c:pt>
                <c:pt idx="49">
                  <c:v>Consiliul Naţional pentru Studierea Arhivelor Securităţii</c:v>
                </c:pt>
                <c:pt idx="50">
                  <c:v>Ministerul Mediului, Apelor și Pădurilor</c:v>
                </c:pt>
                <c:pt idx="51">
                  <c:v>Ministerul Tineretului si Sportului</c:v>
                </c:pt>
                <c:pt idx="52">
                  <c:v>Ministerul Economiei, Comerțului și Relațiilor cu Mediul de Afaceri </c:v>
                </c:pt>
                <c:pt idx="53">
                  <c:v>Ministerul pentru Consultare Publică și Dialog Civic </c:v>
                </c:pt>
              </c:strCache>
            </c:strRef>
          </c:cat>
          <c:val>
            <c:numRef>
              <c:f>Sheet1!$B$2:$B$55</c:f>
              <c:numCache>
                <c:formatCode>General</c:formatCode>
                <c:ptCount val="54"/>
                <c:pt idx="0">
                  <c:v>0</c:v>
                </c:pt>
                <c:pt idx="1">
                  <c:v>0</c:v>
                </c:pt>
                <c:pt idx="2">
                  <c:v>0</c:v>
                </c:pt>
                <c:pt idx="3">
                  <c:v>0</c:v>
                </c:pt>
                <c:pt idx="4">
                  <c:v>0</c:v>
                </c:pt>
                <c:pt idx="5">
                  <c:v>0</c:v>
                </c:pt>
                <c:pt idx="6">
                  <c:v>0</c:v>
                </c:pt>
                <c:pt idx="7">
                  <c:v>0</c:v>
                </c:pt>
                <c:pt idx="8">
                  <c:v>0</c:v>
                </c:pt>
                <c:pt idx="9">
                  <c:v>0</c:v>
                </c:pt>
                <c:pt idx="10">
                  <c:v>0</c:v>
                </c:pt>
                <c:pt idx="11">
                  <c:v>0</c:v>
                </c:pt>
                <c:pt idx="12">
                  <c:v>0</c:v>
                </c:pt>
                <c:pt idx="13">
                  <c:v>1</c:v>
                </c:pt>
                <c:pt idx="14">
                  <c:v>1</c:v>
                </c:pt>
                <c:pt idx="15">
                  <c:v>1</c:v>
                </c:pt>
                <c:pt idx="16">
                  <c:v>1</c:v>
                </c:pt>
                <c:pt idx="17">
                  <c:v>0</c:v>
                </c:pt>
                <c:pt idx="18">
                  <c:v>1</c:v>
                </c:pt>
                <c:pt idx="19">
                  <c:v>0</c:v>
                </c:pt>
                <c:pt idx="20">
                  <c:v>1</c:v>
                </c:pt>
                <c:pt idx="21">
                  <c:v>1</c:v>
                </c:pt>
                <c:pt idx="22">
                  <c:v>1</c:v>
                </c:pt>
                <c:pt idx="23">
                  <c:v>1</c:v>
                </c:pt>
                <c:pt idx="24">
                  <c:v>2</c:v>
                </c:pt>
                <c:pt idx="25">
                  <c:v>1</c:v>
                </c:pt>
                <c:pt idx="26">
                  <c:v>0</c:v>
                </c:pt>
                <c:pt idx="27">
                  <c:v>2</c:v>
                </c:pt>
                <c:pt idx="28">
                  <c:v>3</c:v>
                </c:pt>
                <c:pt idx="29">
                  <c:v>0</c:v>
                </c:pt>
                <c:pt idx="30">
                  <c:v>3</c:v>
                </c:pt>
                <c:pt idx="31">
                  <c:v>4</c:v>
                </c:pt>
                <c:pt idx="32">
                  <c:v>4</c:v>
                </c:pt>
                <c:pt idx="33">
                  <c:v>4</c:v>
                </c:pt>
                <c:pt idx="34">
                  <c:v>4</c:v>
                </c:pt>
                <c:pt idx="35">
                  <c:v>4</c:v>
                </c:pt>
                <c:pt idx="36">
                  <c:v>2</c:v>
                </c:pt>
                <c:pt idx="37">
                  <c:v>3</c:v>
                </c:pt>
                <c:pt idx="38">
                  <c:v>5</c:v>
                </c:pt>
                <c:pt idx="39">
                  <c:v>6</c:v>
                </c:pt>
                <c:pt idx="40">
                  <c:v>1</c:v>
                </c:pt>
                <c:pt idx="41">
                  <c:v>6</c:v>
                </c:pt>
                <c:pt idx="42">
                  <c:v>6</c:v>
                </c:pt>
                <c:pt idx="43">
                  <c:v>6</c:v>
                </c:pt>
                <c:pt idx="44">
                  <c:v>7</c:v>
                </c:pt>
                <c:pt idx="45">
                  <c:v>6</c:v>
                </c:pt>
                <c:pt idx="46">
                  <c:v>7</c:v>
                </c:pt>
                <c:pt idx="47">
                  <c:v>6</c:v>
                </c:pt>
                <c:pt idx="48">
                  <c:v>7</c:v>
                </c:pt>
                <c:pt idx="49">
                  <c:v>8</c:v>
                </c:pt>
                <c:pt idx="50">
                  <c:v>8</c:v>
                </c:pt>
                <c:pt idx="51">
                  <c:v>14</c:v>
                </c:pt>
                <c:pt idx="52">
                  <c:v>0</c:v>
                </c:pt>
                <c:pt idx="53">
                  <c:v>0</c:v>
                </c:pt>
              </c:numCache>
            </c:numRef>
          </c:val>
        </c:ser>
        <c:ser>
          <c:idx val="1"/>
          <c:order val="1"/>
          <c:tx>
            <c:strRef>
              <c:f>Sheet1!$C$1</c:f>
              <c:strCache>
                <c:ptCount val="1"/>
                <c:pt idx="0">
                  <c:v>2016</c:v>
                </c:pt>
              </c:strCache>
            </c:strRef>
          </c:tx>
          <c:spPr>
            <a:solidFill>
              <a:schemeClr val="accent2"/>
            </a:solidFill>
            <a:ln>
              <a:noFill/>
            </a:ln>
            <a:effectLst/>
          </c:spPr>
          <c:invertIfNegative val="0"/>
          <c:cat>
            <c:strRef>
              <c:f>Sheet1!$A$2:$A$55</c:f>
              <c:strCache>
                <c:ptCount val="54"/>
                <c:pt idx="0">
                  <c:v>Curtea Constituţională</c:v>
                </c:pt>
                <c:pt idx="1">
                  <c:v>Consiliul Concurenţei</c:v>
                </c:pt>
                <c:pt idx="2">
                  <c:v>Ministerul Afacerilor Interne</c:v>
                </c:pt>
                <c:pt idx="3">
                  <c:v>Ministerul Apărării Naţionale</c:v>
                </c:pt>
                <c:pt idx="4">
                  <c:v>Ministerul Finanţelor Publice</c:v>
                </c:pt>
                <c:pt idx="5">
                  <c:v>Serviciul de Protecţie şi Pază *</c:v>
                </c:pt>
                <c:pt idx="6">
                  <c:v>Serviciul de Telecomunicaţii Speciale *</c:v>
                </c:pt>
                <c:pt idx="7">
                  <c:v>Oficiul Naţional de Prevenire şi Combaterea Spălării Banilor</c:v>
                </c:pt>
                <c:pt idx="8">
                  <c:v>Oficiul Registrului Naţional al Informaţiilor Secrete de Stat</c:v>
                </c:pt>
                <c:pt idx="9">
                  <c:v>Agenţia Naţională de Presă Agerpres</c:v>
                </c:pt>
                <c:pt idx="10">
                  <c:v>Consiliul Superior al Magistraturii</c:v>
                </c:pt>
                <c:pt idx="11">
                  <c:v>Autoritatea Naţională de Supraveghere a Prelucrării Datelor cu Caracter Personal</c:v>
                </c:pt>
                <c:pt idx="12">
                  <c:v>Consiliul Naţional de Soluţionare a Contesţatiilor</c:v>
                </c:pt>
                <c:pt idx="13">
                  <c:v>Avocatul Poporului</c:v>
                </c:pt>
                <c:pt idx="14">
                  <c:v>Secretariatul General al Guvernului</c:v>
                </c:pt>
                <c:pt idx="15">
                  <c:v>Ministerul Dezvoltării Regionale şi Administraţiei Publice</c:v>
                </c:pt>
                <c:pt idx="16">
                  <c:v>Ministerul Fondurilor Europene</c:v>
                </c:pt>
                <c:pt idx="17">
                  <c:v>Ministerul Justiţiei</c:v>
                </c:pt>
                <c:pt idx="18">
                  <c:v>Ministerul Muncii, Familiei, Protecţiei Sociale şi Persoanelor Vârstnice</c:v>
                </c:pt>
                <c:pt idx="19">
                  <c:v>Ministerul Public</c:v>
                </c:pt>
                <c:pt idx="20">
                  <c:v>Agenţia Naţională de Integritate</c:v>
                </c:pt>
                <c:pt idx="21">
                  <c:v>Serviciul Român de Informaţii</c:v>
                </c:pt>
                <c:pt idx="22">
                  <c:v>Serviciul de Informaţii Externe</c:v>
                </c:pt>
                <c:pt idx="23">
                  <c:v>Institutul Cultural Român</c:v>
                </c:pt>
                <c:pt idx="24">
                  <c:v>Academia Română</c:v>
                </c:pt>
                <c:pt idx="25">
                  <c:v>Consiliul Naţional pentru Combaterea Discriminării</c:v>
                </c:pt>
                <c:pt idx="26">
                  <c:v>Autoritatea Electorală Permanentă</c:v>
                </c:pt>
                <c:pt idx="27">
                  <c:v>Senatul României</c:v>
                </c:pt>
                <c:pt idx="28">
                  <c:v>Înalta Curte de Casaţie şi Justiţie</c:v>
                </c:pt>
                <c:pt idx="29">
                  <c:v>Ministerul Transporturilor</c:v>
                </c:pt>
                <c:pt idx="30">
                  <c:v>Secretariatul de Stat pentru recunoașterea meritelor luptătorilor împotriva regimului comunist instaurat în România în perioada 1945-1989</c:v>
                </c:pt>
                <c:pt idx="31">
                  <c:v>Administraţia Prezidenţială</c:v>
                </c:pt>
                <c:pt idx="32">
                  <c:v>Camera Deputaţilor</c:v>
                </c:pt>
                <c:pt idx="33">
                  <c:v>Curtea de Conturi a României</c:v>
                </c:pt>
                <c:pt idx="34">
                  <c:v>Consiliul Naţional al Audiovizualului</c:v>
                </c:pt>
                <c:pt idx="35">
                  <c:v>Ministerul Agriculturii şi Dezvoltării Rurale</c:v>
                </c:pt>
                <c:pt idx="36">
                  <c:v>Ministerul Energiei </c:v>
                </c:pt>
                <c:pt idx="37">
                  <c:v>Autoritatea Naţională Sanitară Veterinară şi pentru Siguranţa Alimentelor</c:v>
                </c:pt>
                <c:pt idx="38">
                  <c:v>Consiliul Legislativ</c:v>
                </c:pt>
                <c:pt idx="39">
                  <c:v>Ministerul Culturii</c:v>
                </c:pt>
                <c:pt idx="40">
                  <c:v>Societatea Română de Radiodifuziune</c:v>
                </c:pt>
                <c:pt idx="41">
                  <c:v>Consiliul Economic şi Social</c:v>
                </c:pt>
                <c:pt idx="42">
                  <c:v>Autoritatea pentru Administrarea Activelor Statului</c:v>
                </c:pt>
                <c:pt idx="43">
                  <c:v>Ministerul Afacerilor Externe</c:v>
                </c:pt>
                <c:pt idx="44">
                  <c:v>Ministerul Educaţiei Naționale și Cercetării Științifice</c:v>
                </c:pt>
                <c:pt idx="45">
                  <c:v>Ministerul Comunicațiilor pentru Societatea Informaţională </c:v>
                </c:pt>
                <c:pt idx="46">
                  <c:v>Ministerul Sănătăţii</c:v>
                </c:pt>
                <c:pt idx="47">
                  <c:v>Societatea Română de Televiziune</c:v>
                </c:pt>
                <c:pt idx="48">
                  <c:v>Autoritatea Naţională pentru Restituirea Proprietăţilor</c:v>
                </c:pt>
                <c:pt idx="49">
                  <c:v>Consiliul Naţional pentru Studierea Arhivelor Securităţii</c:v>
                </c:pt>
                <c:pt idx="50">
                  <c:v>Ministerul Mediului, Apelor și Pădurilor</c:v>
                </c:pt>
                <c:pt idx="51">
                  <c:v>Ministerul Tineretului si Sportului</c:v>
                </c:pt>
                <c:pt idx="52">
                  <c:v>Ministerul Economiei, Comerțului și Relațiilor cu Mediul de Afaceri </c:v>
                </c:pt>
                <c:pt idx="53">
                  <c:v>Ministerul pentru Consultare Publică și Dialog Civic </c:v>
                </c:pt>
              </c:strCache>
            </c:strRef>
          </c:cat>
          <c:val>
            <c:numRef>
              <c:f>Sheet1!$C$2:$C$55</c:f>
              <c:numCache>
                <c:formatCode>General</c:formatCode>
                <c:ptCount val="54"/>
                <c:pt idx="0">
                  <c:v>0</c:v>
                </c:pt>
                <c:pt idx="1">
                  <c:v>0</c:v>
                </c:pt>
                <c:pt idx="2">
                  <c:v>0</c:v>
                </c:pt>
                <c:pt idx="3">
                  <c:v>0</c:v>
                </c:pt>
                <c:pt idx="4">
                  <c:v>0</c:v>
                </c:pt>
                <c:pt idx="5">
                  <c:v>0</c:v>
                </c:pt>
                <c:pt idx="6">
                  <c:v>0</c:v>
                </c:pt>
                <c:pt idx="7">
                  <c:v>0</c:v>
                </c:pt>
                <c:pt idx="8">
                  <c:v>0</c:v>
                </c:pt>
                <c:pt idx="9">
                  <c:v>0</c:v>
                </c:pt>
                <c:pt idx="10">
                  <c:v>0</c:v>
                </c:pt>
                <c:pt idx="11">
                  <c:v>0</c:v>
                </c:pt>
                <c:pt idx="12">
                  <c:v>0</c:v>
                </c:pt>
                <c:pt idx="13">
                  <c:v>1</c:v>
                </c:pt>
                <c:pt idx="14">
                  <c:v>6</c:v>
                </c:pt>
                <c:pt idx="15">
                  <c:v>1</c:v>
                </c:pt>
                <c:pt idx="16">
                  <c:v>1</c:v>
                </c:pt>
                <c:pt idx="17">
                  <c:v>0</c:v>
                </c:pt>
                <c:pt idx="18">
                  <c:v>0</c:v>
                </c:pt>
                <c:pt idx="19">
                  <c:v>8</c:v>
                </c:pt>
                <c:pt idx="20">
                  <c:v>0</c:v>
                </c:pt>
                <c:pt idx="21">
                  <c:v>1</c:v>
                </c:pt>
                <c:pt idx="22">
                  <c:v>0</c:v>
                </c:pt>
                <c:pt idx="23">
                  <c:v>1</c:v>
                </c:pt>
                <c:pt idx="24">
                  <c:v>1</c:v>
                </c:pt>
                <c:pt idx="25">
                  <c:v>5</c:v>
                </c:pt>
                <c:pt idx="26">
                  <c:v>7</c:v>
                </c:pt>
                <c:pt idx="27">
                  <c:v>6</c:v>
                </c:pt>
                <c:pt idx="28">
                  <c:v>2</c:v>
                </c:pt>
                <c:pt idx="29">
                  <c:v>3</c:v>
                </c:pt>
                <c:pt idx="30">
                  <c:v>5</c:v>
                </c:pt>
                <c:pt idx="31">
                  <c:v>4</c:v>
                </c:pt>
                <c:pt idx="32">
                  <c:v>5</c:v>
                </c:pt>
                <c:pt idx="33">
                  <c:v>4</c:v>
                </c:pt>
                <c:pt idx="34">
                  <c:v>5</c:v>
                </c:pt>
                <c:pt idx="35">
                  <c:v>5</c:v>
                </c:pt>
                <c:pt idx="36">
                  <c:v>6</c:v>
                </c:pt>
                <c:pt idx="37">
                  <c:v>1</c:v>
                </c:pt>
                <c:pt idx="38">
                  <c:v>5</c:v>
                </c:pt>
                <c:pt idx="39">
                  <c:v>7</c:v>
                </c:pt>
                <c:pt idx="40">
                  <c:v>3</c:v>
                </c:pt>
                <c:pt idx="41">
                  <c:v>7</c:v>
                </c:pt>
                <c:pt idx="42">
                  <c:v>5</c:v>
                </c:pt>
                <c:pt idx="43">
                  <c:v>7</c:v>
                </c:pt>
                <c:pt idx="44">
                  <c:v>6</c:v>
                </c:pt>
                <c:pt idx="45">
                  <c:v>5</c:v>
                </c:pt>
                <c:pt idx="46">
                  <c:v>4</c:v>
                </c:pt>
                <c:pt idx="47">
                  <c:v>4</c:v>
                </c:pt>
                <c:pt idx="48">
                  <c:v>3</c:v>
                </c:pt>
                <c:pt idx="49">
                  <c:v>8</c:v>
                </c:pt>
                <c:pt idx="50">
                  <c:v>8</c:v>
                </c:pt>
                <c:pt idx="51">
                  <c:v>7</c:v>
                </c:pt>
                <c:pt idx="52">
                  <c:v>0</c:v>
                </c:pt>
                <c:pt idx="53">
                  <c:v>0</c:v>
                </c:pt>
              </c:numCache>
            </c:numRef>
          </c:val>
        </c:ser>
        <c:dLbls>
          <c:showLegendKey val="0"/>
          <c:showVal val="0"/>
          <c:showCatName val="0"/>
          <c:showSerName val="0"/>
          <c:showPercent val="0"/>
          <c:showBubbleSize val="0"/>
        </c:dLbls>
        <c:gapWidth val="182"/>
        <c:axId val="404641384"/>
        <c:axId val="404641776"/>
      </c:barChart>
      <c:catAx>
        <c:axId val="40464138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04641776"/>
        <c:crosses val="autoZero"/>
        <c:auto val="1"/>
        <c:lblAlgn val="ctr"/>
        <c:lblOffset val="100"/>
        <c:noMultiLvlLbl val="0"/>
      </c:catAx>
      <c:valAx>
        <c:axId val="404641776"/>
        <c:scaling>
          <c:orientation val="minMax"/>
          <c:max val="16"/>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4641384"/>
        <c:crosses val="autoZero"/>
        <c:crossBetween val="between"/>
        <c:majorUnit val="1"/>
      </c:valAx>
      <c:spPr>
        <a:noFill/>
        <a:ln>
          <a:solidFill>
            <a:schemeClr val="accent1"/>
          </a:solidFill>
        </a:ln>
        <a:effectLst/>
      </c:spPr>
    </c:plotArea>
    <c:legend>
      <c:legendPos val="b"/>
      <c:layout>
        <c:manualLayout>
          <c:xMode val="edge"/>
          <c:yMode val="edge"/>
          <c:x val="0.61538091526484406"/>
          <c:y val="0.97450346735658711"/>
          <c:w val="0.1379172991056167"/>
          <c:h val="2.51061788443594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ordonatori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u="none" strike="noStrike" baseline="0">
                <a:effectLst/>
              </a:rPr>
              <a:t>S</a:t>
            </a:r>
            <a:r>
              <a:rPr lang="en-US" sz="1050" b="1" i="1" u="none" strike="noStrike" baseline="0">
                <a:effectLst/>
              </a:rPr>
              <a:t>10 - Supravegherea</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76.92</c:v>
                </c:pt>
                <c:pt idx="1">
                  <c:v>76</c:v>
                </c:pt>
              </c:numCache>
            </c:numRef>
          </c:val>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60C31C14-9D07-45A4-98CB-605F067657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3AF7A55-C73F-4C1A-BB0D-F835CDD2B6F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19.23</c:v>
                </c:pt>
                <c:pt idx="1">
                  <c:v>24</c:v>
                </c:pt>
              </c:numCache>
            </c:numRef>
          </c:val>
        </c:ser>
        <c:ser>
          <c:idx val="2"/>
          <c:order val="2"/>
          <c:tx>
            <c:strRef>
              <c:f>Sheet1!$D$1</c:f>
              <c:strCache>
                <c:ptCount val="1"/>
                <c:pt idx="0">
                  <c:v>NI</c:v>
                </c:pt>
              </c:strCache>
            </c:strRef>
          </c:tx>
          <c:spPr>
            <a:solidFill>
              <a:schemeClr val="accent3"/>
            </a:solidFill>
            <a:ln>
              <a:noFill/>
            </a:ln>
            <a:effectLst/>
          </c:spPr>
          <c:invertIfNegative val="0"/>
          <c:dLbls>
            <c:dLbl>
              <c:idx val="0"/>
              <c:tx>
                <c:rich>
                  <a:bodyPr/>
                  <a:lstStyle/>
                  <a:p>
                    <a:fld id="{B25094E1-97FF-4B28-AF6C-31A010609D5E}"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2785F7FE-9CEA-4740-AA4D-92843664C8B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3.85</c:v>
                </c:pt>
                <c:pt idx="1">
                  <c:v>0</c:v>
                </c:pt>
              </c:numCache>
            </c:numRef>
          </c:val>
        </c:ser>
        <c:dLbls>
          <c:showLegendKey val="0"/>
          <c:showVal val="0"/>
          <c:showCatName val="0"/>
          <c:showSerName val="0"/>
          <c:showPercent val="0"/>
          <c:showBubbleSize val="0"/>
        </c:dLbls>
        <c:gapWidth val="219"/>
        <c:overlap val="-27"/>
        <c:axId val="467017016"/>
        <c:axId val="467017408"/>
      </c:barChart>
      <c:catAx>
        <c:axId val="467017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7408"/>
        <c:crosses val="autoZero"/>
        <c:auto val="1"/>
        <c:lblAlgn val="ctr"/>
        <c:lblOffset val="100"/>
        <c:noMultiLvlLbl val="0"/>
      </c:catAx>
      <c:valAx>
        <c:axId val="467017408"/>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70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Numar ordonatori principali de credite</a:t>
            </a:r>
          </a:p>
          <a:p>
            <a:pPr>
              <a:defRPr sz="1050">
                <a:latin typeface="Times New Roman" panose="02020603050405020304" pitchFamily="18" charset="0"/>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10 - Supravegherea</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General</c:formatCode>
                <c:ptCount val="2"/>
                <c:pt idx="0">
                  <c:v>40</c:v>
                </c:pt>
                <c:pt idx="1">
                  <c:v>38</c:v>
                </c:pt>
              </c:numCache>
            </c:numRef>
          </c:val>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10</c:v>
                </c:pt>
                <c:pt idx="1">
                  <c:v>12</c:v>
                </c:pt>
              </c:numCache>
            </c:numRef>
          </c:val>
        </c:ser>
        <c:ser>
          <c:idx val="2"/>
          <c:order val="2"/>
          <c:tx>
            <c:strRef>
              <c:f>Sheet1!$D$1</c:f>
              <c:strCache>
                <c:ptCount val="1"/>
                <c:pt idx="0">
                  <c:v>NI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General</c:formatCode>
                <c:ptCount val="2"/>
                <c:pt idx="0">
                  <c:v>2</c:v>
                </c:pt>
                <c:pt idx="1">
                  <c:v>0</c:v>
                </c:pt>
              </c:numCache>
            </c:numRef>
          </c:val>
        </c:ser>
        <c:dLbls>
          <c:showLegendKey val="0"/>
          <c:showVal val="0"/>
          <c:showCatName val="0"/>
          <c:showSerName val="0"/>
          <c:showPercent val="0"/>
          <c:showBubbleSize val="0"/>
        </c:dLbls>
        <c:gapWidth val="219"/>
        <c:overlap val="-27"/>
        <c:axId val="467018192"/>
        <c:axId val="467018584"/>
      </c:barChart>
      <c:catAx>
        <c:axId val="467018192"/>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8584"/>
        <c:crosses val="autoZero"/>
        <c:auto val="1"/>
        <c:lblAlgn val="ctr"/>
        <c:lblOffset val="100"/>
        <c:noMultiLvlLbl val="0"/>
      </c:catAx>
      <c:valAx>
        <c:axId val="467018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8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ordonatori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u="none" strike="noStrike" baseline="0">
                <a:effectLst/>
              </a:rPr>
              <a:t>S</a:t>
            </a:r>
            <a:r>
              <a:rPr lang="en-US" sz="1050" b="1" i="1" u="none" strike="noStrike" baseline="0">
                <a:effectLst/>
              </a:rPr>
              <a:t>11 - Continuitatea activit</a:t>
            </a:r>
            <a:r>
              <a:rPr lang="ro-RO" sz="1050" b="1" i="1" u="none" strike="noStrike" baseline="0">
                <a:effectLst/>
              </a:rPr>
              <a:t>ății</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67.31</c:v>
                </c:pt>
                <c:pt idx="1">
                  <c:v>60</c:v>
                </c:pt>
              </c:numCache>
            </c:numRef>
          </c:val>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60C31C14-9D07-45A4-98CB-605F067657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3AF7A55-C73F-4C1A-BB0D-F835CDD2B6F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26.92</c:v>
                </c:pt>
                <c:pt idx="1">
                  <c:v>36</c:v>
                </c:pt>
              </c:numCache>
            </c:numRef>
          </c:val>
        </c:ser>
        <c:ser>
          <c:idx val="2"/>
          <c:order val="2"/>
          <c:tx>
            <c:strRef>
              <c:f>Sheet1!$D$1</c:f>
              <c:strCache>
                <c:ptCount val="1"/>
                <c:pt idx="0">
                  <c:v>NI</c:v>
                </c:pt>
              </c:strCache>
            </c:strRef>
          </c:tx>
          <c:spPr>
            <a:solidFill>
              <a:schemeClr val="accent3"/>
            </a:solidFill>
            <a:ln>
              <a:noFill/>
            </a:ln>
            <a:effectLst/>
          </c:spPr>
          <c:invertIfNegative val="0"/>
          <c:dLbls>
            <c:dLbl>
              <c:idx val="0"/>
              <c:tx>
                <c:rich>
                  <a:bodyPr/>
                  <a:lstStyle/>
                  <a:p>
                    <a:fld id="{B25094E1-97FF-4B28-AF6C-31A010609D5E}"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2785F7FE-9CEA-4740-AA4D-92843664C8B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5.77</c:v>
                </c:pt>
                <c:pt idx="1">
                  <c:v>4</c:v>
                </c:pt>
              </c:numCache>
            </c:numRef>
          </c:val>
        </c:ser>
        <c:dLbls>
          <c:showLegendKey val="0"/>
          <c:showVal val="0"/>
          <c:showCatName val="0"/>
          <c:showSerName val="0"/>
          <c:showPercent val="0"/>
          <c:showBubbleSize val="0"/>
        </c:dLbls>
        <c:gapWidth val="219"/>
        <c:overlap val="-27"/>
        <c:axId val="467019368"/>
        <c:axId val="467019760"/>
      </c:barChart>
      <c:catAx>
        <c:axId val="467019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9760"/>
        <c:crosses val="autoZero"/>
        <c:auto val="1"/>
        <c:lblAlgn val="ctr"/>
        <c:lblOffset val="100"/>
        <c:noMultiLvlLbl val="0"/>
      </c:catAx>
      <c:valAx>
        <c:axId val="467019760"/>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193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Numar ordonatori principali de credite</a:t>
            </a:r>
          </a:p>
          <a:p>
            <a:pPr>
              <a:defRPr sz="1050">
                <a:latin typeface="Times New Roman" panose="02020603050405020304" pitchFamily="18" charset="0"/>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11 - Continuitatea activit</a:t>
            </a:r>
            <a:r>
              <a:rPr lang="ro-RO" sz="1050" b="1" i="1" baseline="0">
                <a:latin typeface="Times New Roman" panose="02020603050405020304" pitchFamily="18" charset="0"/>
                <a:cs typeface="Times New Roman" panose="02020603050405020304" pitchFamily="18" charset="0"/>
              </a:rPr>
              <a:t>ății</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General</c:formatCode>
                <c:ptCount val="2"/>
                <c:pt idx="0">
                  <c:v>35</c:v>
                </c:pt>
                <c:pt idx="1">
                  <c:v>30</c:v>
                </c:pt>
              </c:numCache>
            </c:numRef>
          </c:val>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14</c:v>
                </c:pt>
                <c:pt idx="1">
                  <c:v>18</c:v>
                </c:pt>
              </c:numCache>
            </c:numRef>
          </c:val>
        </c:ser>
        <c:ser>
          <c:idx val="2"/>
          <c:order val="2"/>
          <c:tx>
            <c:strRef>
              <c:f>Sheet1!$D$1</c:f>
              <c:strCache>
                <c:ptCount val="1"/>
                <c:pt idx="0">
                  <c:v>NI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General</c:formatCode>
                <c:ptCount val="2"/>
                <c:pt idx="0">
                  <c:v>3</c:v>
                </c:pt>
                <c:pt idx="1">
                  <c:v>2</c:v>
                </c:pt>
              </c:numCache>
            </c:numRef>
          </c:val>
        </c:ser>
        <c:dLbls>
          <c:showLegendKey val="0"/>
          <c:showVal val="0"/>
          <c:showCatName val="0"/>
          <c:showSerName val="0"/>
          <c:showPercent val="0"/>
          <c:showBubbleSize val="0"/>
        </c:dLbls>
        <c:gapWidth val="219"/>
        <c:overlap val="-27"/>
        <c:axId val="467020544"/>
        <c:axId val="467020936"/>
      </c:barChart>
      <c:catAx>
        <c:axId val="46702054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0936"/>
        <c:crosses val="autoZero"/>
        <c:auto val="1"/>
        <c:lblAlgn val="ctr"/>
        <c:lblOffset val="100"/>
        <c:noMultiLvlLbl val="0"/>
      </c:catAx>
      <c:valAx>
        <c:axId val="467020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0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ordonatori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baseline="0">
                <a:effectLst/>
              </a:rPr>
              <a:t>S</a:t>
            </a:r>
            <a:r>
              <a:rPr lang="en-US" sz="1050" b="1" i="1" baseline="0">
                <a:effectLst/>
              </a:rPr>
              <a:t>12 - </a:t>
            </a:r>
            <a:r>
              <a:rPr lang="ro-RO" sz="1050" b="1" i="1" baseline="0">
                <a:effectLst/>
              </a:rPr>
              <a:t>Informarea și comunicarea</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94.23</c:v>
                </c:pt>
                <c:pt idx="1">
                  <c:v>92</c:v>
                </c:pt>
              </c:numCache>
            </c:numRef>
          </c:val>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60C31C14-9D07-45A4-98CB-605F067657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3AF7A55-C73F-4C1A-BB0D-F835CDD2B6F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3.85</c:v>
                </c:pt>
                <c:pt idx="1">
                  <c:v>8</c:v>
                </c:pt>
              </c:numCache>
            </c:numRef>
          </c:val>
        </c:ser>
        <c:ser>
          <c:idx val="2"/>
          <c:order val="2"/>
          <c:tx>
            <c:strRef>
              <c:f>Sheet1!$D$1</c:f>
              <c:strCache>
                <c:ptCount val="1"/>
                <c:pt idx="0">
                  <c:v>NI</c:v>
                </c:pt>
              </c:strCache>
            </c:strRef>
          </c:tx>
          <c:spPr>
            <a:solidFill>
              <a:schemeClr val="accent3"/>
            </a:solidFill>
            <a:ln>
              <a:noFill/>
            </a:ln>
            <a:effectLst/>
          </c:spPr>
          <c:invertIfNegative val="0"/>
          <c:dLbls>
            <c:dLbl>
              <c:idx val="0"/>
              <c:tx>
                <c:rich>
                  <a:bodyPr/>
                  <a:lstStyle/>
                  <a:p>
                    <a:fld id="{B25094E1-97FF-4B28-AF6C-31A010609D5E}"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2785F7FE-9CEA-4740-AA4D-92843664C8B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1.92</c:v>
                </c:pt>
                <c:pt idx="1">
                  <c:v>0</c:v>
                </c:pt>
              </c:numCache>
            </c:numRef>
          </c:val>
        </c:ser>
        <c:dLbls>
          <c:showLegendKey val="0"/>
          <c:showVal val="0"/>
          <c:showCatName val="0"/>
          <c:showSerName val="0"/>
          <c:showPercent val="0"/>
          <c:showBubbleSize val="0"/>
        </c:dLbls>
        <c:gapWidth val="219"/>
        <c:overlap val="-27"/>
        <c:axId val="467021720"/>
        <c:axId val="467022112"/>
      </c:barChart>
      <c:catAx>
        <c:axId val="467021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2112"/>
        <c:crosses val="autoZero"/>
        <c:auto val="1"/>
        <c:lblAlgn val="ctr"/>
        <c:lblOffset val="100"/>
        <c:noMultiLvlLbl val="0"/>
      </c:catAx>
      <c:valAx>
        <c:axId val="46702211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1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Numar ordonatori principali de credite</a:t>
            </a:r>
          </a:p>
          <a:p>
            <a:pPr>
              <a:defRPr sz="1050">
                <a:latin typeface="Times New Roman" panose="02020603050405020304" pitchFamily="18" charset="0"/>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12 - </a:t>
            </a:r>
            <a:r>
              <a:rPr lang="ro-RO" sz="1050" b="1" i="1" baseline="0">
                <a:latin typeface="Times New Roman" panose="02020603050405020304" pitchFamily="18" charset="0"/>
                <a:cs typeface="Times New Roman" panose="02020603050405020304" pitchFamily="18" charset="0"/>
              </a:rPr>
              <a:t>Informarea și comunicarea</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General</c:formatCode>
                <c:ptCount val="2"/>
                <c:pt idx="0">
                  <c:v>49</c:v>
                </c:pt>
                <c:pt idx="1">
                  <c:v>46</c:v>
                </c:pt>
              </c:numCache>
            </c:numRef>
          </c:val>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2</c:v>
                </c:pt>
                <c:pt idx="1">
                  <c:v>4</c:v>
                </c:pt>
              </c:numCache>
            </c:numRef>
          </c:val>
        </c:ser>
        <c:ser>
          <c:idx val="2"/>
          <c:order val="2"/>
          <c:tx>
            <c:strRef>
              <c:f>Sheet1!$D$1</c:f>
              <c:strCache>
                <c:ptCount val="1"/>
                <c:pt idx="0">
                  <c:v>NI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General</c:formatCode>
                <c:ptCount val="2"/>
                <c:pt idx="0">
                  <c:v>1</c:v>
                </c:pt>
                <c:pt idx="1">
                  <c:v>0</c:v>
                </c:pt>
              </c:numCache>
            </c:numRef>
          </c:val>
        </c:ser>
        <c:dLbls>
          <c:showLegendKey val="0"/>
          <c:showVal val="0"/>
          <c:showCatName val="0"/>
          <c:showSerName val="0"/>
          <c:showPercent val="0"/>
          <c:showBubbleSize val="0"/>
        </c:dLbls>
        <c:gapWidth val="219"/>
        <c:overlap val="-27"/>
        <c:axId val="467022896"/>
        <c:axId val="467023288"/>
      </c:barChart>
      <c:catAx>
        <c:axId val="467022896"/>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3288"/>
        <c:crosses val="autoZero"/>
        <c:auto val="1"/>
        <c:lblAlgn val="ctr"/>
        <c:lblOffset val="100"/>
        <c:noMultiLvlLbl val="0"/>
      </c:catAx>
      <c:valAx>
        <c:axId val="4670232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2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ordonatori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u="none" strike="noStrike" baseline="0">
                <a:effectLst/>
              </a:rPr>
              <a:t>S</a:t>
            </a:r>
            <a:r>
              <a:rPr lang="en-US" sz="1050" b="1" i="1" u="none" strike="noStrike" baseline="0">
                <a:effectLst/>
              </a:rPr>
              <a:t>1</a:t>
            </a:r>
            <a:r>
              <a:rPr lang="ro-RO" sz="1050" b="1" i="1" u="none" strike="noStrike" baseline="0">
                <a:effectLst/>
              </a:rPr>
              <a:t>3 - Gestionarea documentelor</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73.08</c:v>
                </c:pt>
                <c:pt idx="1">
                  <c:v>66</c:v>
                </c:pt>
              </c:numCache>
            </c:numRef>
          </c:val>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60C31C14-9D07-45A4-98CB-605F067657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3AF7A55-C73F-4C1A-BB0D-F835CDD2B6F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26.92</c:v>
                </c:pt>
                <c:pt idx="1">
                  <c:v>32</c:v>
                </c:pt>
              </c:numCache>
            </c:numRef>
          </c:val>
        </c:ser>
        <c:ser>
          <c:idx val="2"/>
          <c:order val="2"/>
          <c:tx>
            <c:strRef>
              <c:f>Sheet1!$D$1</c:f>
              <c:strCache>
                <c:ptCount val="1"/>
                <c:pt idx="0">
                  <c:v>NI</c:v>
                </c:pt>
              </c:strCache>
            </c:strRef>
          </c:tx>
          <c:spPr>
            <a:solidFill>
              <a:schemeClr val="accent3"/>
            </a:solidFill>
            <a:ln>
              <a:noFill/>
            </a:ln>
            <a:effectLst/>
          </c:spPr>
          <c:invertIfNegative val="0"/>
          <c:dLbls>
            <c:dLbl>
              <c:idx val="0"/>
              <c:tx>
                <c:rich>
                  <a:bodyPr/>
                  <a:lstStyle/>
                  <a:p>
                    <a:fld id="{B25094E1-97FF-4B28-AF6C-31A010609D5E}"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2785F7FE-9CEA-4740-AA4D-92843664C8B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0</c:v>
                </c:pt>
                <c:pt idx="1">
                  <c:v>2</c:v>
                </c:pt>
              </c:numCache>
            </c:numRef>
          </c:val>
        </c:ser>
        <c:dLbls>
          <c:showLegendKey val="0"/>
          <c:showVal val="0"/>
          <c:showCatName val="0"/>
          <c:showSerName val="0"/>
          <c:showPercent val="0"/>
          <c:showBubbleSize val="0"/>
        </c:dLbls>
        <c:gapWidth val="219"/>
        <c:overlap val="-27"/>
        <c:axId val="467024072"/>
        <c:axId val="467024464"/>
      </c:barChart>
      <c:catAx>
        <c:axId val="467024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4464"/>
        <c:crosses val="autoZero"/>
        <c:auto val="1"/>
        <c:lblAlgn val="ctr"/>
        <c:lblOffset val="100"/>
        <c:noMultiLvlLbl val="0"/>
      </c:catAx>
      <c:valAx>
        <c:axId val="467024464"/>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4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Numar ordonatori principali de credite</a:t>
            </a:r>
          </a:p>
          <a:p>
            <a:pPr>
              <a:defRPr sz="1050">
                <a:latin typeface="Times New Roman" panose="02020603050405020304" pitchFamily="18" charset="0"/>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1</a:t>
            </a:r>
            <a:r>
              <a:rPr lang="ro-RO" sz="1050" b="1" i="1" baseline="0">
                <a:latin typeface="Times New Roman" panose="02020603050405020304" pitchFamily="18" charset="0"/>
                <a:cs typeface="Times New Roman" panose="02020603050405020304" pitchFamily="18" charset="0"/>
              </a:rPr>
              <a:t>3 - Gestionarea documentelor</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General</c:formatCode>
                <c:ptCount val="2"/>
                <c:pt idx="0">
                  <c:v>38</c:v>
                </c:pt>
                <c:pt idx="1">
                  <c:v>33</c:v>
                </c:pt>
              </c:numCache>
            </c:numRef>
          </c:val>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14</c:v>
                </c:pt>
                <c:pt idx="1">
                  <c:v>16</c:v>
                </c:pt>
              </c:numCache>
            </c:numRef>
          </c:val>
        </c:ser>
        <c:ser>
          <c:idx val="2"/>
          <c:order val="2"/>
          <c:tx>
            <c:strRef>
              <c:f>Sheet1!$D$1</c:f>
              <c:strCache>
                <c:ptCount val="1"/>
                <c:pt idx="0">
                  <c:v>NI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General</c:formatCode>
                <c:ptCount val="2"/>
                <c:pt idx="0">
                  <c:v>0</c:v>
                </c:pt>
                <c:pt idx="1">
                  <c:v>1</c:v>
                </c:pt>
              </c:numCache>
            </c:numRef>
          </c:val>
        </c:ser>
        <c:dLbls>
          <c:showLegendKey val="0"/>
          <c:showVal val="0"/>
          <c:showCatName val="0"/>
          <c:showSerName val="0"/>
          <c:showPercent val="0"/>
          <c:showBubbleSize val="0"/>
        </c:dLbls>
        <c:gapWidth val="219"/>
        <c:overlap val="-27"/>
        <c:axId val="467025248"/>
        <c:axId val="467025640"/>
      </c:barChart>
      <c:catAx>
        <c:axId val="46702524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5640"/>
        <c:crosses val="autoZero"/>
        <c:auto val="1"/>
        <c:lblAlgn val="ctr"/>
        <c:lblOffset val="100"/>
        <c:noMultiLvlLbl val="0"/>
      </c:catAx>
      <c:valAx>
        <c:axId val="4670256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52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ordonatori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u="none" strike="noStrike" baseline="0">
                <a:effectLst/>
              </a:rPr>
              <a:t>S</a:t>
            </a:r>
            <a:r>
              <a:rPr lang="en-US" sz="1050" b="1" i="1" u="none" strike="noStrike" baseline="0">
                <a:effectLst/>
              </a:rPr>
              <a:t>1</a:t>
            </a:r>
            <a:r>
              <a:rPr lang="ro-RO" sz="1050" b="1" i="1" u="none" strike="noStrike" baseline="0">
                <a:effectLst/>
              </a:rPr>
              <a:t>4 - Raportarea contabila și financiară</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90.38</c:v>
                </c:pt>
                <c:pt idx="1">
                  <c:v>94</c:v>
                </c:pt>
              </c:numCache>
            </c:numRef>
          </c:val>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60C31C14-9D07-45A4-98CB-605F067657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3AF7A55-C73F-4C1A-BB0D-F835CDD2B6F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9.6199999999999992</c:v>
                </c:pt>
                <c:pt idx="1">
                  <c:v>6</c:v>
                </c:pt>
              </c:numCache>
            </c:numRef>
          </c:val>
        </c:ser>
        <c:ser>
          <c:idx val="2"/>
          <c:order val="2"/>
          <c:tx>
            <c:strRef>
              <c:f>Sheet1!$D$1</c:f>
              <c:strCache>
                <c:ptCount val="1"/>
                <c:pt idx="0">
                  <c:v>NI</c:v>
                </c:pt>
              </c:strCache>
            </c:strRef>
          </c:tx>
          <c:spPr>
            <a:solidFill>
              <a:schemeClr val="accent3"/>
            </a:solidFill>
            <a:ln>
              <a:noFill/>
            </a:ln>
            <a:effectLst/>
          </c:spPr>
          <c:invertIfNegative val="0"/>
          <c:dLbls>
            <c:dLbl>
              <c:idx val="0"/>
              <c:tx>
                <c:rich>
                  <a:bodyPr/>
                  <a:lstStyle/>
                  <a:p>
                    <a:fld id="{B25094E1-97FF-4B28-AF6C-31A010609D5E}"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2785F7FE-9CEA-4740-AA4D-92843664C8B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0</c:v>
                </c:pt>
                <c:pt idx="1">
                  <c:v>0</c:v>
                </c:pt>
              </c:numCache>
            </c:numRef>
          </c:val>
        </c:ser>
        <c:dLbls>
          <c:showLegendKey val="0"/>
          <c:showVal val="0"/>
          <c:showCatName val="0"/>
          <c:showSerName val="0"/>
          <c:showPercent val="0"/>
          <c:showBubbleSize val="0"/>
        </c:dLbls>
        <c:gapWidth val="219"/>
        <c:overlap val="-27"/>
        <c:axId val="467026424"/>
        <c:axId val="467026816"/>
      </c:barChart>
      <c:catAx>
        <c:axId val="467026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6816"/>
        <c:crosses val="autoZero"/>
        <c:auto val="1"/>
        <c:lblAlgn val="ctr"/>
        <c:lblOffset val="100"/>
        <c:noMultiLvlLbl val="0"/>
      </c:catAx>
      <c:valAx>
        <c:axId val="46702681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6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Numar ordonatori principali de credite</a:t>
            </a:r>
          </a:p>
          <a:p>
            <a:pPr>
              <a:defRPr sz="1050">
                <a:latin typeface="Times New Roman" panose="02020603050405020304" pitchFamily="18" charset="0"/>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1</a:t>
            </a:r>
            <a:r>
              <a:rPr lang="ro-RO" sz="1050" b="1" i="1" baseline="0">
                <a:latin typeface="Times New Roman" panose="02020603050405020304" pitchFamily="18" charset="0"/>
                <a:cs typeface="Times New Roman" panose="02020603050405020304" pitchFamily="18" charset="0"/>
              </a:rPr>
              <a:t>4 - Raportarea contabila și financiară</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General</c:formatCode>
                <c:ptCount val="2"/>
                <c:pt idx="0">
                  <c:v>47</c:v>
                </c:pt>
                <c:pt idx="1">
                  <c:v>47</c:v>
                </c:pt>
              </c:numCache>
            </c:numRef>
          </c:val>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5</c:v>
                </c:pt>
                <c:pt idx="1">
                  <c:v>3</c:v>
                </c:pt>
              </c:numCache>
            </c:numRef>
          </c:val>
        </c:ser>
        <c:ser>
          <c:idx val="2"/>
          <c:order val="2"/>
          <c:tx>
            <c:strRef>
              <c:f>Sheet1!$D$1</c:f>
              <c:strCache>
                <c:ptCount val="1"/>
                <c:pt idx="0">
                  <c:v>NI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General</c:formatCode>
                <c:ptCount val="2"/>
                <c:pt idx="0">
                  <c:v>0</c:v>
                </c:pt>
                <c:pt idx="1">
                  <c:v>0</c:v>
                </c:pt>
              </c:numCache>
            </c:numRef>
          </c:val>
        </c:ser>
        <c:dLbls>
          <c:showLegendKey val="0"/>
          <c:showVal val="0"/>
          <c:showCatName val="0"/>
          <c:showSerName val="0"/>
          <c:showPercent val="0"/>
          <c:showBubbleSize val="0"/>
        </c:dLbls>
        <c:gapWidth val="219"/>
        <c:overlap val="-27"/>
        <c:axId val="467027600"/>
        <c:axId val="467027992"/>
      </c:barChart>
      <c:catAx>
        <c:axId val="46702760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7992"/>
        <c:crosses val="autoZero"/>
        <c:auto val="1"/>
        <c:lblAlgn val="ctr"/>
        <c:lblOffset val="100"/>
        <c:noMultiLvlLbl val="0"/>
      </c:catAx>
      <c:valAx>
        <c:axId val="4670279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76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0" i="0" baseline="0">
                <a:effectLst/>
                <a:latin typeface="Times New Roman" panose="02020603050405020304" pitchFamily="18" charset="0"/>
                <a:cs typeface="Times New Roman" panose="02020603050405020304" pitchFamily="18" charset="0"/>
              </a:rPr>
              <a:t>Stadiul implementării standardelor de control intern managerial la nivelul fiecărui ordonator principal de credite – aparat propriu în perioada 2015 - 2016</a:t>
            </a:r>
          </a:p>
          <a:p>
            <a:pPr>
              <a:defRPr sz="1100">
                <a:latin typeface="Times New Roman" panose="02020603050405020304" pitchFamily="18" charset="0"/>
                <a:cs typeface="Times New Roman" panose="02020603050405020304" pitchFamily="18" charset="0"/>
              </a:defRPr>
            </a:pPr>
            <a:endParaRPr lang="ro-RO" sz="1100" b="0" i="0">
              <a:effectLst/>
              <a:latin typeface="Times New Roman" panose="02020603050405020304" pitchFamily="18" charset="0"/>
              <a:cs typeface="Times New Roman" panose="02020603050405020304" pitchFamily="18" charset="0"/>
            </a:endParaRPr>
          </a:p>
          <a:p>
            <a:pPr>
              <a:defRPr sz="1100">
                <a:latin typeface="Times New Roman" panose="02020603050405020304" pitchFamily="18" charset="0"/>
                <a:cs typeface="Times New Roman" panose="02020603050405020304" pitchFamily="18" charset="0"/>
              </a:defRPr>
            </a:pPr>
            <a:r>
              <a:rPr lang="ro-RO" sz="1100" b="0" i="1" baseline="0">
                <a:effectLst/>
                <a:latin typeface="Times New Roman" panose="02020603050405020304" pitchFamily="18" charset="0"/>
                <a:cs typeface="Times New Roman" panose="02020603050405020304" pitchFamily="18" charset="0"/>
              </a:rPr>
              <a:t>Numărul standardelor de control intern managerial neimplementate (NI)</a:t>
            </a:r>
            <a:endParaRPr lang="ro-RO" sz="1100" b="0" i="1">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chemeClr val="accent1"/>
            </a:solidFill>
            <a:ln>
              <a:noFill/>
            </a:ln>
            <a:effectLst/>
          </c:spPr>
          <c:invertIfNegative val="0"/>
          <c:cat>
            <c:strRef>
              <c:f>Sheet1!$A$2:$A$55</c:f>
              <c:strCache>
                <c:ptCount val="54"/>
                <c:pt idx="0">
                  <c:v>Curtea Constituţională</c:v>
                </c:pt>
                <c:pt idx="1">
                  <c:v>Consiliul Concurenţei</c:v>
                </c:pt>
                <c:pt idx="2">
                  <c:v>Ministerul Afacerilor Interne</c:v>
                </c:pt>
                <c:pt idx="3">
                  <c:v>Ministerul Apărării Naţionale</c:v>
                </c:pt>
                <c:pt idx="4">
                  <c:v>Ministerul Finanţelor Publice</c:v>
                </c:pt>
                <c:pt idx="5">
                  <c:v>Serviciul de Protecţie şi Pază *</c:v>
                </c:pt>
                <c:pt idx="6">
                  <c:v>Serviciul de Telecomunicaţii Speciale *</c:v>
                </c:pt>
                <c:pt idx="7">
                  <c:v>Oficiul Naţional de Prevenire şi Combaterea Spălării Banilor</c:v>
                </c:pt>
                <c:pt idx="8">
                  <c:v>Oficiul Registrului Naţional al Informaţiilor Secrete de Stat</c:v>
                </c:pt>
                <c:pt idx="9">
                  <c:v>Agenţia Naţională de Presă Agerpres</c:v>
                </c:pt>
                <c:pt idx="10">
                  <c:v>Consiliul Superior al Magistraturii</c:v>
                </c:pt>
                <c:pt idx="11">
                  <c:v>Autoritatea Naţională de Supraveghere a Prelucrării Datelor cu Caracter Personal</c:v>
                </c:pt>
                <c:pt idx="12">
                  <c:v>Consiliul Naţional de Soluţionare a Contesţatiilor</c:v>
                </c:pt>
                <c:pt idx="13">
                  <c:v>Avocatul Poporului</c:v>
                </c:pt>
                <c:pt idx="14">
                  <c:v>Secretariatul General al Guvernului</c:v>
                </c:pt>
                <c:pt idx="15">
                  <c:v>Ministerul Dezvoltării Regionale şi Administraţiei Publice</c:v>
                </c:pt>
                <c:pt idx="16">
                  <c:v>Ministerul Fondurilor Europene</c:v>
                </c:pt>
                <c:pt idx="17">
                  <c:v>Ministerul Justiţiei</c:v>
                </c:pt>
                <c:pt idx="18">
                  <c:v>Ministerul Muncii, Familiei, Protecţiei Sociale şi Persoanelor Vârstnice</c:v>
                </c:pt>
                <c:pt idx="19">
                  <c:v>Ministerul Public</c:v>
                </c:pt>
                <c:pt idx="20">
                  <c:v>Agenţia Naţională de Integritate</c:v>
                </c:pt>
                <c:pt idx="21">
                  <c:v>Serviciul Român de Informaţii</c:v>
                </c:pt>
                <c:pt idx="22">
                  <c:v>Serviciul de Informaţii Externe</c:v>
                </c:pt>
                <c:pt idx="23">
                  <c:v>Institutul Cultural Român</c:v>
                </c:pt>
                <c:pt idx="24">
                  <c:v>Academia Română</c:v>
                </c:pt>
                <c:pt idx="25">
                  <c:v>Consiliul Naţional pentru Combaterea Discriminării</c:v>
                </c:pt>
                <c:pt idx="26">
                  <c:v>Autoritatea Electorală Permanentă</c:v>
                </c:pt>
                <c:pt idx="27">
                  <c:v>Senatul României</c:v>
                </c:pt>
                <c:pt idx="28">
                  <c:v>Înalta Curte de Casaţie şi Justiţie</c:v>
                </c:pt>
                <c:pt idx="29">
                  <c:v>Ministerul Transporturilor</c:v>
                </c:pt>
                <c:pt idx="30">
                  <c:v>Secretariatul de Stat pentru recunoașterea meritelor luptătorilor împotriva regimului comunist instaurat în România în perioada 1945-1989</c:v>
                </c:pt>
                <c:pt idx="31">
                  <c:v>Administraţia Prezidenţială</c:v>
                </c:pt>
                <c:pt idx="32">
                  <c:v>Camera Deputaţilor</c:v>
                </c:pt>
                <c:pt idx="33">
                  <c:v>Curtea de Conturi a României</c:v>
                </c:pt>
                <c:pt idx="34">
                  <c:v>Consiliul Naţional al Audiovizualului</c:v>
                </c:pt>
                <c:pt idx="35">
                  <c:v>Ministerul Agriculturii şi Dezvoltării Rurale</c:v>
                </c:pt>
                <c:pt idx="36">
                  <c:v>Ministerul Energiei </c:v>
                </c:pt>
                <c:pt idx="37">
                  <c:v>Autoritatea Naţională Sanitară Veterinară şi pentru Siguranţa Alimentelor</c:v>
                </c:pt>
                <c:pt idx="38">
                  <c:v>Consiliul Legislativ</c:v>
                </c:pt>
                <c:pt idx="39">
                  <c:v>Ministerul Culturii</c:v>
                </c:pt>
                <c:pt idx="40">
                  <c:v>Societatea Română de Radiodifuziune</c:v>
                </c:pt>
                <c:pt idx="41">
                  <c:v>Consiliul Economic şi Social</c:v>
                </c:pt>
                <c:pt idx="42">
                  <c:v>Autoritatea pentru Administrarea Activelor Statului</c:v>
                </c:pt>
                <c:pt idx="43">
                  <c:v>Ministerul Afacerilor Externe</c:v>
                </c:pt>
                <c:pt idx="44">
                  <c:v>Ministerul Educaţiei Naționale și Cercetării Științifice</c:v>
                </c:pt>
                <c:pt idx="45">
                  <c:v>Ministerul Comunicațiilor pentru Societatea Informaţională </c:v>
                </c:pt>
                <c:pt idx="46">
                  <c:v>Ministerul Sănătăţii</c:v>
                </c:pt>
                <c:pt idx="47">
                  <c:v>Societatea Română de Televiziune</c:v>
                </c:pt>
                <c:pt idx="48">
                  <c:v>Autoritatea Naţională pentru Restituirea Proprietăţilor</c:v>
                </c:pt>
                <c:pt idx="49">
                  <c:v>Consiliul Naţional pentru Studierea Arhivelor Securităţii</c:v>
                </c:pt>
                <c:pt idx="50">
                  <c:v>Ministerul Mediului, Apelor și Pădurilor</c:v>
                </c:pt>
                <c:pt idx="51">
                  <c:v>Ministerul Tineretului si Sportului</c:v>
                </c:pt>
                <c:pt idx="52">
                  <c:v>Ministerul Economiei, Comerțului și Relațiilor cu Mediul de Afaceri </c:v>
                </c:pt>
                <c:pt idx="53">
                  <c:v>Ministerul pentru Consultare Publică și Dialog Civic </c:v>
                </c:pt>
              </c:strCache>
            </c:strRef>
          </c:cat>
          <c:val>
            <c:numRef>
              <c:f>Sheet1!$B$2:$B$55</c:f>
              <c:numCache>
                <c:formatCode>General</c:formatCode>
                <c:ptCount val="5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1</c:v>
                </c:pt>
                <c:pt idx="18">
                  <c:v>0</c:v>
                </c:pt>
                <c:pt idx="19">
                  <c:v>1</c:v>
                </c:pt>
                <c:pt idx="20">
                  <c:v>0</c:v>
                </c:pt>
                <c:pt idx="21">
                  <c:v>0</c:v>
                </c:pt>
                <c:pt idx="22">
                  <c:v>0</c:v>
                </c:pt>
                <c:pt idx="23">
                  <c:v>0</c:v>
                </c:pt>
                <c:pt idx="24">
                  <c:v>0</c:v>
                </c:pt>
                <c:pt idx="25">
                  <c:v>1</c:v>
                </c:pt>
                <c:pt idx="26">
                  <c:v>2</c:v>
                </c:pt>
                <c:pt idx="27">
                  <c:v>1</c:v>
                </c:pt>
                <c:pt idx="28">
                  <c:v>0</c:v>
                </c:pt>
                <c:pt idx="29">
                  <c:v>3</c:v>
                </c:pt>
                <c:pt idx="30">
                  <c:v>0</c:v>
                </c:pt>
                <c:pt idx="31">
                  <c:v>0</c:v>
                </c:pt>
                <c:pt idx="32">
                  <c:v>0</c:v>
                </c:pt>
                <c:pt idx="33">
                  <c:v>0</c:v>
                </c:pt>
                <c:pt idx="34">
                  <c:v>0</c:v>
                </c:pt>
                <c:pt idx="35">
                  <c:v>0</c:v>
                </c:pt>
                <c:pt idx="36">
                  <c:v>2</c:v>
                </c:pt>
                <c:pt idx="37">
                  <c:v>1</c:v>
                </c:pt>
                <c:pt idx="38">
                  <c:v>0</c:v>
                </c:pt>
                <c:pt idx="39">
                  <c:v>0</c:v>
                </c:pt>
                <c:pt idx="40">
                  <c:v>5</c:v>
                </c:pt>
                <c:pt idx="41">
                  <c:v>0</c:v>
                </c:pt>
                <c:pt idx="42">
                  <c:v>0</c:v>
                </c:pt>
                <c:pt idx="43">
                  <c:v>1</c:v>
                </c:pt>
                <c:pt idx="44">
                  <c:v>0</c:v>
                </c:pt>
                <c:pt idx="45">
                  <c:v>1</c:v>
                </c:pt>
                <c:pt idx="46">
                  <c:v>0</c:v>
                </c:pt>
                <c:pt idx="47">
                  <c:v>1</c:v>
                </c:pt>
                <c:pt idx="48">
                  <c:v>0</c:v>
                </c:pt>
                <c:pt idx="49">
                  <c:v>0</c:v>
                </c:pt>
                <c:pt idx="50">
                  <c:v>1</c:v>
                </c:pt>
                <c:pt idx="51">
                  <c:v>2</c:v>
                </c:pt>
                <c:pt idx="52">
                  <c:v>0</c:v>
                </c:pt>
                <c:pt idx="53">
                  <c:v>0</c:v>
                </c:pt>
              </c:numCache>
            </c:numRef>
          </c:val>
        </c:ser>
        <c:ser>
          <c:idx val="1"/>
          <c:order val="1"/>
          <c:tx>
            <c:strRef>
              <c:f>Sheet1!$C$1</c:f>
              <c:strCache>
                <c:ptCount val="1"/>
                <c:pt idx="0">
                  <c:v>2016</c:v>
                </c:pt>
              </c:strCache>
            </c:strRef>
          </c:tx>
          <c:spPr>
            <a:solidFill>
              <a:schemeClr val="accent2"/>
            </a:solidFill>
            <a:ln>
              <a:noFill/>
            </a:ln>
            <a:effectLst/>
          </c:spPr>
          <c:invertIfNegative val="0"/>
          <c:cat>
            <c:strRef>
              <c:f>Sheet1!$A$2:$A$55</c:f>
              <c:strCache>
                <c:ptCount val="54"/>
                <c:pt idx="0">
                  <c:v>Curtea Constituţională</c:v>
                </c:pt>
                <c:pt idx="1">
                  <c:v>Consiliul Concurenţei</c:v>
                </c:pt>
                <c:pt idx="2">
                  <c:v>Ministerul Afacerilor Interne</c:v>
                </c:pt>
                <c:pt idx="3">
                  <c:v>Ministerul Apărării Naţionale</c:v>
                </c:pt>
                <c:pt idx="4">
                  <c:v>Ministerul Finanţelor Publice</c:v>
                </c:pt>
                <c:pt idx="5">
                  <c:v>Serviciul de Protecţie şi Pază *</c:v>
                </c:pt>
                <c:pt idx="6">
                  <c:v>Serviciul de Telecomunicaţii Speciale *</c:v>
                </c:pt>
                <c:pt idx="7">
                  <c:v>Oficiul Naţional de Prevenire şi Combaterea Spălării Banilor</c:v>
                </c:pt>
                <c:pt idx="8">
                  <c:v>Oficiul Registrului Naţional al Informaţiilor Secrete de Stat</c:v>
                </c:pt>
                <c:pt idx="9">
                  <c:v>Agenţia Naţională de Presă Agerpres</c:v>
                </c:pt>
                <c:pt idx="10">
                  <c:v>Consiliul Superior al Magistraturii</c:v>
                </c:pt>
                <c:pt idx="11">
                  <c:v>Autoritatea Naţională de Supraveghere a Prelucrării Datelor cu Caracter Personal</c:v>
                </c:pt>
                <c:pt idx="12">
                  <c:v>Consiliul Naţional de Soluţionare a Contesţatiilor</c:v>
                </c:pt>
                <c:pt idx="13">
                  <c:v>Avocatul Poporului</c:v>
                </c:pt>
                <c:pt idx="14">
                  <c:v>Secretariatul General al Guvernului</c:v>
                </c:pt>
                <c:pt idx="15">
                  <c:v>Ministerul Dezvoltării Regionale şi Administraţiei Publice</c:v>
                </c:pt>
                <c:pt idx="16">
                  <c:v>Ministerul Fondurilor Europene</c:v>
                </c:pt>
                <c:pt idx="17">
                  <c:v>Ministerul Justiţiei</c:v>
                </c:pt>
                <c:pt idx="18">
                  <c:v>Ministerul Muncii, Familiei, Protecţiei Sociale şi Persoanelor Vârstnice</c:v>
                </c:pt>
                <c:pt idx="19">
                  <c:v>Ministerul Public</c:v>
                </c:pt>
                <c:pt idx="20">
                  <c:v>Agenţia Naţională de Integritate</c:v>
                </c:pt>
                <c:pt idx="21">
                  <c:v>Serviciul Român de Informaţii</c:v>
                </c:pt>
                <c:pt idx="22">
                  <c:v>Serviciul de Informaţii Externe</c:v>
                </c:pt>
                <c:pt idx="23">
                  <c:v>Institutul Cultural Român</c:v>
                </c:pt>
                <c:pt idx="24">
                  <c:v>Academia Română</c:v>
                </c:pt>
                <c:pt idx="25">
                  <c:v>Consiliul Naţional pentru Combaterea Discriminării</c:v>
                </c:pt>
                <c:pt idx="26">
                  <c:v>Autoritatea Electorală Permanentă</c:v>
                </c:pt>
                <c:pt idx="27">
                  <c:v>Senatul României</c:v>
                </c:pt>
                <c:pt idx="28">
                  <c:v>Înalta Curte de Casaţie şi Justiţie</c:v>
                </c:pt>
                <c:pt idx="29">
                  <c:v>Ministerul Transporturilor</c:v>
                </c:pt>
                <c:pt idx="30">
                  <c:v>Secretariatul de Stat pentru recunoașterea meritelor luptătorilor împotriva regimului comunist instaurat în România în perioada 1945-1989</c:v>
                </c:pt>
                <c:pt idx="31">
                  <c:v>Administraţia Prezidenţială</c:v>
                </c:pt>
                <c:pt idx="32">
                  <c:v>Camera Deputaţilor</c:v>
                </c:pt>
                <c:pt idx="33">
                  <c:v>Curtea de Conturi a României</c:v>
                </c:pt>
                <c:pt idx="34">
                  <c:v>Consiliul Naţional al Audiovizualului</c:v>
                </c:pt>
                <c:pt idx="35">
                  <c:v>Ministerul Agriculturii şi Dezvoltării Rurale</c:v>
                </c:pt>
                <c:pt idx="36">
                  <c:v>Ministerul Energiei </c:v>
                </c:pt>
                <c:pt idx="37">
                  <c:v>Autoritatea Naţională Sanitară Veterinară şi pentru Siguranţa Alimentelor</c:v>
                </c:pt>
                <c:pt idx="38">
                  <c:v>Consiliul Legislativ</c:v>
                </c:pt>
                <c:pt idx="39">
                  <c:v>Ministerul Culturii</c:v>
                </c:pt>
                <c:pt idx="40">
                  <c:v>Societatea Română de Radiodifuziune</c:v>
                </c:pt>
                <c:pt idx="41">
                  <c:v>Consiliul Economic şi Social</c:v>
                </c:pt>
                <c:pt idx="42">
                  <c:v>Autoritatea pentru Administrarea Activelor Statului</c:v>
                </c:pt>
                <c:pt idx="43">
                  <c:v>Ministerul Afacerilor Externe</c:v>
                </c:pt>
                <c:pt idx="44">
                  <c:v>Ministerul Educaţiei Naționale și Cercetării Științifice</c:v>
                </c:pt>
                <c:pt idx="45">
                  <c:v>Ministerul Comunicațiilor pentru Societatea Informaţională </c:v>
                </c:pt>
                <c:pt idx="46">
                  <c:v>Ministerul Sănătăţii</c:v>
                </c:pt>
                <c:pt idx="47">
                  <c:v>Societatea Română de Televiziune</c:v>
                </c:pt>
                <c:pt idx="48">
                  <c:v>Autoritatea Naţională pentru Restituirea Proprietăţilor</c:v>
                </c:pt>
                <c:pt idx="49">
                  <c:v>Consiliul Naţional pentru Studierea Arhivelor Securităţii</c:v>
                </c:pt>
                <c:pt idx="50">
                  <c:v>Ministerul Mediului, Apelor și Pădurilor</c:v>
                </c:pt>
                <c:pt idx="51">
                  <c:v>Ministerul Tineretului si Sportului</c:v>
                </c:pt>
                <c:pt idx="52">
                  <c:v>Ministerul Economiei, Comerțului și Relațiilor cu Mediul de Afaceri </c:v>
                </c:pt>
                <c:pt idx="53">
                  <c:v>Ministerul pentru Consultare Publică și Dialog Civic </c:v>
                </c:pt>
              </c:strCache>
            </c:strRef>
          </c:cat>
          <c:val>
            <c:numRef>
              <c:f>Sheet1!$C$2:$C$55</c:f>
              <c:numCache>
                <c:formatCode>General</c:formatCode>
                <c:ptCount val="54"/>
                <c:pt idx="0">
                  <c:v>0</c:v>
                </c:pt>
                <c:pt idx="1">
                  <c:v>0</c:v>
                </c:pt>
                <c:pt idx="2">
                  <c:v>0</c:v>
                </c:pt>
                <c:pt idx="3">
                  <c:v>0</c:v>
                </c:pt>
                <c:pt idx="4">
                  <c:v>0</c:v>
                </c:pt>
                <c:pt idx="5">
                  <c:v>0</c:v>
                </c:pt>
                <c:pt idx="6">
                  <c:v>0</c:v>
                </c:pt>
                <c:pt idx="7">
                  <c:v>0</c:v>
                </c:pt>
                <c:pt idx="8">
                  <c:v>0</c:v>
                </c:pt>
                <c:pt idx="9">
                  <c:v>1</c:v>
                </c:pt>
                <c:pt idx="10">
                  <c:v>0</c:v>
                </c:pt>
                <c:pt idx="11">
                  <c:v>0</c:v>
                </c:pt>
                <c:pt idx="12">
                  <c:v>0</c:v>
                </c:pt>
                <c:pt idx="13">
                  <c:v>0</c:v>
                </c:pt>
                <c:pt idx="14">
                  <c:v>0</c:v>
                </c:pt>
                <c:pt idx="15">
                  <c:v>0</c:v>
                </c:pt>
                <c:pt idx="16">
                  <c:v>1</c:v>
                </c:pt>
                <c:pt idx="17">
                  <c:v>1</c:v>
                </c:pt>
                <c:pt idx="18">
                  <c:v>0</c:v>
                </c:pt>
                <c:pt idx="19">
                  <c:v>0</c:v>
                </c:pt>
                <c:pt idx="20">
                  <c:v>0</c:v>
                </c:pt>
                <c:pt idx="21">
                  <c:v>0</c:v>
                </c:pt>
                <c:pt idx="22">
                  <c:v>0</c:v>
                </c:pt>
                <c:pt idx="23">
                  <c:v>0</c:v>
                </c:pt>
                <c:pt idx="24">
                  <c:v>0</c:v>
                </c:pt>
                <c:pt idx="25">
                  <c:v>0</c:v>
                </c:pt>
                <c:pt idx="26">
                  <c:v>0</c:v>
                </c:pt>
                <c:pt idx="27">
                  <c:v>0</c:v>
                </c:pt>
                <c:pt idx="28">
                  <c:v>0</c:v>
                </c:pt>
                <c:pt idx="29">
                  <c:v>1</c:v>
                </c:pt>
                <c:pt idx="30">
                  <c:v>0</c:v>
                </c:pt>
                <c:pt idx="31">
                  <c:v>0</c:v>
                </c:pt>
                <c:pt idx="32">
                  <c:v>0</c:v>
                </c:pt>
                <c:pt idx="33">
                  <c:v>0</c:v>
                </c:pt>
                <c:pt idx="34">
                  <c:v>0</c:v>
                </c:pt>
                <c:pt idx="35">
                  <c:v>0</c:v>
                </c:pt>
                <c:pt idx="36">
                  <c:v>0</c:v>
                </c:pt>
                <c:pt idx="37">
                  <c:v>2</c:v>
                </c:pt>
                <c:pt idx="38">
                  <c:v>0</c:v>
                </c:pt>
                <c:pt idx="39">
                  <c:v>0</c:v>
                </c:pt>
                <c:pt idx="40">
                  <c:v>3</c:v>
                </c:pt>
                <c:pt idx="41">
                  <c:v>0</c:v>
                </c:pt>
                <c:pt idx="42">
                  <c:v>0</c:v>
                </c:pt>
                <c:pt idx="43">
                  <c:v>0</c:v>
                </c:pt>
                <c:pt idx="44">
                  <c:v>0</c:v>
                </c:pt>
                <c:pt idx="45">
                  <c:v>2</c:v>
                </c:pt>
                <c:pt idx="46">
                  <c:v>0</c:v>
                </c:pt>
                <c:pt idx="47">
                  <c:v>3</c:v>
                </c:pt>
                <c:pt idx="48">
                  <c:v>3</c:v>
                </c:pt>
                <c:pt idx="49">
                  <c:v>0</c:v>
                </c:pt>
                <c:pt idx="50">
                  <c:v>0</c:v>
                </c:pt>
                <c:pt idx="51">
                  <c:v>0</c:v>
                </c:pt>
                <c:pt idx="52">
                  <c:v>0</c:v>
                </c:pt>
                <c:pt idx="53">
                  <c:v>0</c:v>
                </c:pt>
              </c:numCache>
            </c:numRef>
          </c:val>
        </c:ser>
        <c:dLbls>
          <c:showLegendKey val="0"/>
          <c:showVal val="0"/>
          <c:showCatName val="0"/>
          <c:showSerName val="0"/>
          <c:showPercent val="0"/>
          <c:showBubbleSize val="0"/>
        </c:dLbls>
        <c:gapWidth val="182"/>
        <c:axId val="404642560"/>
        <c:axId val="404642952"/>
      </c:barChart>
      <c:catAx>
        <c:axId val="4046425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04642952"/>
        <c:crosses val="autoZero"/>
        <c:auto val="1"/>
        <c:lblAlgn val="ctr"/>
        <c:lblOffset val="100"/>
        <c:noMultiLvlLbl val="0"/>
      </c:catAx>
      <c:valAx>
        <c:axId val="404642952"/>
        <c:scaling>
          <c:orientation val="minMax"/>
          <c:max val="16"/>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4642560"/>
        <c:crosses val="autoZero"/>
        <c:crossBetween val="between"/>
        <c:majorUnit val="1"/>
      </c:valAx>
      <c:spPr>
        <a:noFill/>
        <a:ln>
          <a:solidFill>
            <a:schemeClr val="accent1"/>
          </a:solidFill>
        </a:ln>
        <a:effectLst/>
      </c:spPr>
    </c:plotArea>
    <c:legend>
      <c:legendPos val="b"/>
      <c:layout>
        <c:manualLayout>
          <c:xMode val="edge"/>
          <c:yMode val="edge"/>
          <c:x val="0.61538091526484406"/>
          <c:y val="0.97450346735658711"/>
          <c:w val="0.1379172991056167"/>
          <c:h val="2.51061788443594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ordonatori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baseline="0">
                <a:effectLst/>
              </a:rPr>
              <a:t>S</a:t>
            </a:r>
            <a:r>
              <a:rPr lang="en-US" sz="1050" b="1" i="1" baseline="0">
                <a:effectLst/>
              </a:rPr>
              <a:t>1</a:t>
            </a:r>
            <a:r>
              <a:rPr lang="ro-RO" sz="1050" b="1" i="1" baseline="0">
                <a:effectLst/>
              </a:rPr>
              <a:t>5 - Evaluarea sistemului control intern managerial</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90.38</c:v>
                </c:pt>
                <c:pt idx="1">
                  <c:v>92</c:v>
                </c:pt>
              </c:numCache>
            </c:numRef>
          </c:val>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60C31C14-9D07-45A4-98CB-605F067657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3AF7A55-C73F-4C1A-BB0D-F835CDD2B6F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9.6199999999999992</c:v>
                </c:pt>
                <c:pt idx="1">
                  <c:v>8</c:v>
                </c:pt>
              </c:numCache>
            </c:numRef>
          </c:val>
        </c:ser>
        <c:ser>
          <c:idx val="2"/>
          <c:order val="2"/>
          <c:tx>
            <c:strRef>
              <c:f>Sheet1!$D$1</c:f>
              <c:strCache>
                <c:ptCount val="1"/>
                <c:pt idx="0">
                  <c:v>NI</c:v>
                </c:pt>
              </c:strCache>
            </c:strRef>
          </c:tx>
          <c:spPr>
            <a:solidFill>
              <a:schemeClr val="accent3"/>
            </a:solidFill>
            <a:ln>
              <a:noFill/>
            </a:ln>
            <a:effectLst/>
          </c:spPr>
          <c:invertIfNegative val="0"/>
          <c:dLbls>
            <c:dLbl>
              <c:idx val="0"/>
              <c:tx>
                <c:rich>
                  <a:bodyPr/>
                  <a:lstStyle/>
                  <a:p>
                    <a:fld id="{B25094E1-97FF-4B28-AF6C-31A010609D5E}"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2785F7FE-9CEA-4740-AA4D-92843664C8B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0</c:v>
                </c:pt>
                <c:pt idx="1">
                  <c:v>0</c:v>
                </c:pt>
              </c:numCache>
            </c:numRef>
          </c:val>
        </c:ser>
        <c:dLbls>
          <c:showLegendKey val="0"/>
          <c:showVal val="0"/>
          <c:showCatName val="0"/>
          <c:showSerName val="0"/>
          <c:showPercent val="0"/>
          <c:showBubbleSize val="0"/>
        </c:dLbls>
        <c:gapWidth val="219"/>
        <c:overlap val="-27"/>
        <c:axId val="467028776"/>
        <c:axId val="467029168"/>
      </c:barChart>
      <c:catAx>
        <c:axId val="467028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9168"/>
        <c:crosses val="autoZero"/>
        <c:auto val="1"/>
        <c:lblAlgn val="ctr"/>
        <c:lblOffset val="100"/>
        <c:noMultiLvlLbl val="0"/>
      </c:catAx>
      <c:valAx>
        <c:axId val="467029168"/>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87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Numar ordonatori principali de credite</a:t>
            </a:r>
          </a:p>
          <a:p>
            <a:pPr>
              <a:defRPr sz="1050">
                <a:latin typeface="Times New Roman" panose="02020603050405020304" pitchFamily="18" charset="0"/>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1</a:t>
            </a:r>
            <a:r>
              <a:rPr lang="ro-RO" sz="1050" b="1" i="1" baseline="0">
                <a:latin typeface="Times New Roman" panose="02020603050405020304" pitchFamily="18" charset="0"/>
                <a:cs typeface="Times New Roman" panose="02020603050405020304" pitchFamily="18" charset="0"/>
              </a:rPr>
              <a:t>5 - Evaluarea sistemului control intern managerial</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General</c:formatCode>
                <c:ptCount val="2"/>
                <c:pt idx="0">
                  <c:v>47</c:v>
                </c:pt>
                <c:pt idx="1">
                  <c:v>46</c:v>
                </c:pt>
              </c:numCache>
            </c:numRef>
          </c:val>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5</c:v>
                </c:pt>
                <c:pt idx="1">
                  <c:v>4</c:v>
                </c:pt>
              </c:numCache>
            </c:numRef>
          </c:val>
        </c:ser>
        <c:ser>
          <c:idx val="2"/>
          <c:order val="2"/>
          <c:tx>
            <c:strRef>
              <c:f>Sheet1!$D$1</c:f>
              <c:strCache>
                <c:ptCount val="1"/>
                <c:pt idx="0">
                  <c:v>NI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General</c:formatCode>
                <c:ptCount val="2"/>
                <c:pt idx="0">
                  <c:v>0</c:v>
                </c:pt>
                <c:pt idx="1">
                  <c:v>0</c:v>
                </c:pt>
              </c:numCache>
            </c:numRef>
          </c:val>
        </c:ser>
        <c:dLbls>
          <c:showLegendKey val="0"/>
          <c:showVal val="0"/>
          <c:showCatName val="0"/>
          <c:showSerName val="0"/>
          <c:showPercent val="0"/>
          <c:showBubbleSize val="0"/>
        </c:dLbls>
        <c:gapWidth val="219"/>
        <c:overlap val="-27"/>
        <c:axId val="467029952"/>
        <c:axId val="467030344"/>
      </c:barChart>
      <c:catAx>
        <c:axId val="467029952"/>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30344"/>
        <c:crosses val="autoZero"/>
        <c:auto val="1"/>
        <c:lblAlgn val="ctr"/>
        <c:lblOffset val="100"/>
        <c:noMultiLvlLbl val="0"/>
      </c:catAx>
      <c:valAx>
        <c:axId val="467030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299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ordonatori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baseline="0">
                <a:effectLst/>
              </a:rPr>
              <a:t>S</a:t>
            </a:r>
            <a:r>
              <a:rPr lang="en-US" sz="1050" b="1" i="1" baseline="0">
                <a:effectLst/>
              </a:rPr>
              <a:t>1</a:t>
            </a:r>
            <a:r>
              <a:rPr lang="ro-RO" sz="1050" b="1" i="1" baseline="0">
                <a:effectLst/>
              </a:rPr>
              <a:t>6 - Auditul intern</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90.38</c:v>
                </c:pt>
                <c:pt idx="1">
                  <c:v>92</c:v>
                </c:pt>
              </c:numCache>
            </c:numRef>
          </c:val>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60C31C14-9D07-45A4-98CB-605F067657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3AF7A55-C73F-4C1A-BB0D-F835CDD2B6F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7.69</c:v>
                </c:pt>
                <c:pt idx="1">
                  <c:v>6</c:v>
                </c:pt>
              </c:numCache>
            </c:numRef>
          </c:val>
        </c:ser>
        <c:ser>
          <c:idx val="2"/>
          <c:order val="2"/>
          <c:tx>
            <c:strRef>
              <c:f>Sheet1!$D$1</c:f>
              <c:strCache>
                <c:ptCount val="1"/>
                <c:pt idx="0">
                  <c:v>NI</c:v>
                </c:pt>
              </c:strCache>
            </c:strRef>
          </c:tx>
          <c:spPr>
            <a:solidFill>
              <a:schemeClr val="accent3"/>
            </a:solidFill>
            <a:ln>
              <a:noFill/>
            </a:ln>
            <a:effectLst/>
          </c:spPr>
          <c:invertIfNegative val="0"/>
          <c:dLbls>
            <c:dLbl>
              <c:idx val="0"/>
              <c:tx>
                <c:rich>
                  <a:bodyPr/>
                  <a:lstStyle/>
                  <a:p>
                    <a:fld id="{B25094E1-97FF-4B28-AF6C-31A010609D5E}"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2785F7FE-9CEA-4740-AA4D-92843664C8B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1.92</c:v>
                </c:pt>
                <c:pt idx="1">
                  <c:v>2</c:v>
                </c:pt>
              </c:numCache>
            </c:numRef>
          </c:val>
        </c:ser>
        <c:dLbls>
          <c:showLegendKey val="0"/>
          <c:showVal val="0"/>
          <c:showCatName val="0"/>
          <c:showSerName val="0"/>
          <c:showPercent val="0"/>
          <c:showBubbleSize val="0"/>
        </c:dLbls>
        <c:gapWidth val="219"/>
        <c:overlap val="-27"/>
        <c:axId val="467031128"/>
        <c:axId val="467031520"/>
      </c:barChart>
      <c:catAx>
        <c:axId val="467031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31520"/>
        <c:crosses val="autoZero"/>
        <c:auto val="1"/>
        <c:lblAlgn val="ctr"/>
        <c:lblOffset val="100"/>
        <c:noMultiLvlLbl val="0"/>
      </c:catAx>
      <c:valAx>
        <c:axId val="467031520"/>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31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Numar ordonatori principali de credite</a:t>
            </a:r>
          </a:p>
          <a:p>
            <a:pPr>
              <a:defRPr sz="1050">
                <a:latin typeface="Times New Roman" panose="02020603050405020304" pitchFamily="18" charset="0"/>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1</a:t>
            </a:r>
            <a:r>
              <a:rPr lang="ro-RO" sz="1050" b="1" i="1" baseline="0">
                <a:latin typeface="Times New Roman" panose="02020603050405020304" pitchFamily="18" charset="0"/>
                <a:cs typeface="Times New Roman" panose="02020603050405020304" pitchFamily="18" charset="0"/>
              </a:rPr>
              <a:t>6 - Auditul intern</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General</c:formatCode>
                <c:ptCount val="2"/>
                <c:pt idx="0">
                  <c:v>47</c:v>
                </c:pt>
                <c:pt idx="1">
                  <c:v>46</c:v>
                </c:pt>
              </c:numCache>
            </c:numRef>
          </c:val>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4</c:v>
                </c:pt>
                <c:pt idx="1">
                  <c:v>3</c:v>
                </c:pt>
              </c:numCache>
            </c:numRef>
          </c:val>
        </c:ser>
        <c:ser>
          <c:idx val="2"/>
          <c:order val="2"/>
          <c:tx>
            <c:strRef>
              <c:f>Sheet1!$D$1</c:f>
              <c:strCache>
                <c:ptCount val="1"/>
                <c:pt idx="0">
                  <c:v>NI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General</c:formatCode>
                <c:ptCount val="2"/>
                <c:pt idx="0">
                  <c:v>1</c:v>
                </c:pt>
                <c:pt idx="1">
                  <c:v>1</c:v>
                </c:pt>
              </c:numCache>
            </c:numRef>
          </c:val>
        </c:ser>
        <c:dLbls>
          <c:showLegendKey val="0"/>
          <c:showVal val="0"/>
          <c:showCatName val="0"/>
          <c:showSerName val="0"/>
          <c:showPercent val="0"/>
          <c:showBubbleSize val="0"/>
        </c:dLbls>
        <c:gapWidth val="219"/>
        <c:overlap val="-27"/>
        <c:axId val="467032304"/>
        <c:axId val="467032696"/>
      </c:barChart>
      <c:catAx>
        <c:axId val="46703230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32696"/>
        <c:crosses val="autoZero"/>
        <c:auto val="1"/>
        <c:lblAlgn val="ctr"/>
        <c:lblOffset val="100"/>
        <c:noMultiLvlLbl val="0"/>
      </c:catAx>
      <c:valAx>
        <c:axId val="4670326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323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200" b="0" i="0">
                <a:effectLst/>
              </a:rPr>
              <a:t>Numărul de entităţi publice subordonate sau aflate în</a:t>
            </a:r>
            <a:r>
              <a:rPr lang="ro-RO" sz="1200" b="0" i="0" baseline="0">
                <a:effectLst/>
              </a:rPr>
              <a:t> coordonarea ordonatorilor principali de credite la care standardele sunt implementate (I), în perioada 2015-2016</a:t>
            </a:r>
            <a:endParaRPr lang="ro-RO" sz="1200" b="0" i="0">
              <a:effectLst/>
            </a:endParaRPr>
          </a:p>
        </c:rich>
      </c:tx>
      <c:layout>
        <c:manualLayout>
          <c:xMode val="edge"/>
          <c:yMode val="edge"/>
          <c:x val="0.11211752786220872"/>
          <c:y val="9.0293453724604959E-3"/>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#,##0</c:formatCode>
                <c:ptCount val="16"/>
                <c:pt idx="0">
                  <c:v>1996</c:v>
                </c:pt>
                <c:pt idx="1">
                  <c:v>1890</c:v>
                </c:pt>
                <c:pt idx="2">
                  <c:v>1941</c:v>
                </c:pt>
                <c:pt idx="3">
                  <c:v>1978</c:v>
                </c:pt>
                <c:pt idx="4">
                  <c:v>1937</c:v>
                </c:pt>
                <c:pt idx="5">
                  <c:v>1977</c:v>
                </c:pt>
                <c:pt idx="6">
                  <c:v>1851</c:v>
                </c:pt>
                <c:pt idx="7">
                  <c:v>1639</c:v>
                </c:pt>
                <c:pt idx="8">
                  <c:v>1706</c:v>
                </c:pt>
                <c:pt idx="9">
                  <c:v>1827</c:v>
                </c:pt>
                <c:pt idx="10">
                  <c:v>1855</c:v>
                </c:pt>
                <c:pt idx="11">
                  <c:v>1985</c:v>
                </c:pt>
                <c:pt idx="12">
                  <c:v>1890</c:v>
                </c:pt>
                <c:pt idx="13">
                  <c:v>1987</c:v>
                </c:pt>
                <c:pt idx="14">
                  <c:v>1910</c:v>
                </c:pt>
                <c:pt idx="15">
                  <c:v>1188</c:v>
                </c:pt>
              </c:numCache>
            </c:numRef>
          </c:val>
        </c:ser>
        <c:ser>
          <c:idx val="1"/>
          <c:order val="1"/>
          <c:tx>
            <c:strRef>
              <c:f>Sheet1!$C$1</c:f>
              <c:strCache>
                <c:ptCount val="1"/>
                <c:pt idx="0">
                  <c:v>2016</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#,##0</c:formatCode>
                <c:ptCount val="16"/>
                <c:pt idx="0">
                  <c:v>1910</c:v>
                </c:pt>
                <c:pt idx="1">
                  <c:v>1812</c:v>
                </c:pt>
                <c:pt idx="2">
                  <c:v>1858</c:v>
                </c:pt>
                <c:pt idx="3">
                  <c:v>1899</c:v>
                </c:pt>
                <c:pt idx="4">
                  <c:v>1839</c:v>
                </c:pt>
                <c:pt idx="5">
                  <c:v>1895</c:v>
                </c:pt>
                <c:pt idx="6">
                  <c:v>1770</c:v>
                </c:pt>
                <c:pt idx="7">
                  <c:v>1608</c:v>
                </c:pt>
                <c:pt idx="8">
                  <c:v>1645</c:v>
                </c:pt>
                <c:pt idx="9">
                  <c:v>1781</c:v>
                </c:pt>
                <c:pt idx="10">
                  <c:v>1773</c:v>
                </c:pt>
                <c:pt idx="11">
                  <c:v>1903</c:v>
                </c:pt>
                <c:pt idx="12">
                  <c:v>1817</c:v>
                </c:pt>
                <c:pt idx="13">
                  <c:v>1905</c:v>
                </c:pt>
                <c:pt idx="14">
                  <c:v>1845</c:v>
                </c:pt>
                <c:pt idx="15">
                  <c:v>1151</c:v>
                </c:pt>
              </c:numCache>
            </c:numRef>
          </c:val>
        </c:ser>
        <c:dLbls>
          <c:showLegendKey val="0"/>
          <c:showVal val="0"/>
          <c:showCatName val="0"/>
          <c:showSerName val="0"/>
          <c:showPercent val="0"/>
          <c:showBubbleSize val="0"/>
        </c:dLbls>
        <c:gapWidth val="182"/>
        <c:axId val="467033480"/>
        <c:axId val="467033872"/>
      </c:barChart>
      <c:catAx>
        <c:axId val="4670334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67033872"/>
        <c:crosses val="autoZero"/>
        <c:auto val="1"/>
        <c:lblAlgn val="ctr"/>
        <c:lblOffset val="100"/>
        <c:noMultiLvlLbl val="0"/>
      </c:catAx>
      <c:valAx>
        <c:axId val="46703387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33480"/>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1379172991056167"/>
          <c:h val="2.51061788443594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200" b="0" i="0" baseline="0">
                <a:effectLst/>
              </a:rPr>
              <a:t>Numărul de entităţi publice subordonate sau aflate în coordonarea ordonatorilor principali de credite la care standardele sunt parțial implementate (PI), în perioada 2015-2016</a:t>
            </a:r>
            <a:endParaRPr lang="ro-RO" sz="1200">
              <a:effectLst/>
            </a:endParaRPr>
          </a:p>
        </c:rich>
      </c:tx>
      <c:layout>
        <c:manualLayout>
          <c:xMode val="edge"/>
          <c:yMode val="edge"/>
          <c:x val="0.11211752786220872"/>
          <c:y val="9.0293453724604959E-3"/>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#,##0</c:formatCode>
                <c:ptCount val="16"/>
                <c:pt idx="0">
                  <c:v>85</c:v>
                </c:pt>
                <c:pt idx="1">
                  <c:v>180</c:v>
                </c:pt>
                <c:pt idx="2">
                  <c:v>146</c:v>
                </c:pt>
                <c:pt idx="3">
                  <c:v>101</c:v>
                </c:pt>
                <c:pt idx="4">
                  <c:v>136</c:v>
                </c:pt>
                <c:pt idx="5">
                  <c:v>101</c:v>
                </c:pt>
                <c:pt idx="6">
                  <c:v>183</c:v>
                </c:pt>
                <c:pt idx="7">
                  <c:v>360</c:v>
                </c:pt>
                <c:pt idx="8">
                  <c:v>367</c:v>
                </c:pt>
                <c:pt idx="9">
                  <c:v>248</c:v>
                </c:pt>
                <c:pt idx="10">
                  <c:v>182</c:v>
                </c:pt>
                <c:pt idx="11">
                  <c:v>96</c:v>
                </c:pt>
                <c:pt idx="12">
                  <c:v>172</c:v>
                </c:pt>
                <c:pt idx="13">
                  <c:v>92</c:v>
                </c:pt>
                <c:pt idx="14">
                  <c:v>155</c:v>
                </c:pt>
                <c:pt idx="15">
                  <c:v>95</c:v>
                </c:pt>
              </c:numCache>
            </c:numRef>
          </c:val>
        </c:ser>
        <c:ser>
          <c:idx val="1"/>
          <c:order val="1"/>
          <c:tx>
            <c:strRef>
              <c:f>Sheet1!$C$1</c:f>
              <c:strCache>
                <c:ptCount val="1"/>
                <c:pt idx="0">
                  <c:v>2016</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#,##0</c:formatCode>
                <c:ptCount val="16"/>
                <c:pt idx="0">
                  <c:v>68</c:v>
                </c:pt>
                <c:pt idx="1">
                  <c:v>157</c:v>
                </c:pt>
                <c:pt idx="2">
                  <c:v>123</c:v>
                </c:pt>
                <c:pt idx="3">
                  <c:v>75</c:v>
                </c:pt>
                <c:pt idx="4">
                  <c:v>132</c:v>
                </c:pt>
                <c:pt idx="5">
                  <c:v>82</c:v>
                </c:pt>
                <c:pt idx="6">
                  <c:v>173</c:v>
                </c:pt>
                <c:pt idx="7">
                  <c:v>312</c:v>
                </c:pt>
                <c:pt idx="8">
                  <c:v>317</c:v>
                </c:pt>
                <c:pt idx="9">
                  <c:v>196</c:v>
                </c:pt>
                <c:pt idx="10">
                  <c:v>177</c:v>
                </c:pt>
                <c:pt idx="11">
                  <c:v>78</c:v>
                </c:pt>
                <c:pt idx="12">
                  <c:v>148</c:v>
                </c:pt>
                <c:pt idx="13">
                  <c:v>75</c:v>
                </c:pt>
                <c:pt idx="14">
                  <c:v>119</c:v>
                </c:pt>
                <c:pt idx="15">
                  <c:v>111</c:v>
                </c:pt>
              </c:numCache>
            </c:numRef>
          </c:val>
        </c:ser>
        <c:dLbls>
          <c:showLegendKey val="0"/>
          <c:showVal val="0"/>
          <c:showCatName val="0"/>
          <c:showSerName val="0"/>
          <c:showPercent val="0"/>
          <c:showBubbleSize val="0"/>
        </c:dLbls>
        <c:gapWidth val="182"/>
        <c:axId val="467034656"/>
        <c:axId val="467035048"/>
      </c:barChart>
      <c:catAx>
        <c:axId val="4670346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67035048"/>
        <c:crosses val="autoZero"/>
        <c:auto val="1"/>
        <c:lblAlgn val="ctr"/>
        <c:lblOffset val="100"/>
        <c:noMultiLvlLbl val="0"/>
      </c:catAx>
      <c:valAx>
        <c:axId val="46703504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34656"/>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1379172991056167"/>
          <c:h val="2.51061788443594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200" b="0" i="0" baseline="0">
                <a:effectLst/>
              </a:rPr>
              <a:t>Numărul de entităţi publice subordonate sau aflate în coordonarea ordonatorilor principali de credite la care standardele sunt neimplementate (NI), în perioada 2015-2016</a:t>
            </a:r>
            <a:endParaRPr lang="ro-RO" sz="1200">
              <a:effectLst/>
            </a:endParaRPr>
          </a:p>
        </c:rich>
      </c:tx>
      <c:layout>
        <c:manualLayout>
          <c:xMode val="edge"/>
          <c:yMode val="edge"/>
          <c:x val="0.11211752786220872"/>
          <c:y val="9.0293453724604959E-3"/>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#,##0</c:formatCode>
                <c:ptCount val="16"/>
                <c:pt idx="0">
                  <c:v>11</c:v>
                </c:pt>
                <c:pt idx="1">
                  <c:v>22</c:v>
                </c:pt>
                <c:pt idx="2">
                  <c:v>5</c:v>
                </c:pt>
                <c:pt idx="3">
                  <c:v>13</c:v>
                </c:pt>
                <c:pt idx="4">
                  <c:v>19</c:v>
                </c:pt>
                <c:pt idx="5">
                  <c:v>23</c:v>
                </c:pt>
                <c:pt idx="6">
                  <c:v>58</c:v>
                </c:pt>
                <c:pt idx="7">
                  <c:v>93</c:v>
                </c:pt>
                <c:pt idx="8">
                  <c:v>19</c:v>
                </c:pt>
                <c:pt idx="9">
                  <c:v>15</c:v>
                </c:pt>
                <c:pt idx="10">
                  <c:v>55</c:v>
                </c:pt>
                <c:pt idx="11">
                  <c:v>11</c:v>
                </c:pt>
                <c:pt idx="12">
                  <c:v>30</c:v>
                </c:pt>
                <c:pt idx="13">
                  <c:v>14</c:v>
                </c:pt>
                <c:pt idx="14">
                  <c:v>27</c:v>
                </c:pt>
                <c:pt idx="15">
                  <c:v>481</c:v>
                </c:pt>
              </c:numCache>
            </c:numRef>
          </c:val>
        </c:ser>
        <c:ser>
          <c:idx val="1"/>
          <c:order val="1"/>
          <c:tx>
            <c:strRef>
              <c:f>Sheet1!$C$1</c:f>
              <c:strCache>
                <c:ptCount val="1"/>
                <c:pt idx="0">
                  <c:v>2016</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#,##0</c:formatCode>
                <c:ptCount val="16"/>
                <c:pt idx="0">
                  <c:v>6</c:v>
                </c:pt>
                <c:pt idx="1">
                  <c:v>15</c:v>
                </c:pt>
                <c:pt idx="2">
                  <c:v>3</c:v>
                </c:pt>
                <c:pt idx="3">
                  <c:v>10</c:v>
                </c:pt>
                <c:pt idx="4">
                  <c:v>13</c:v>
                </c:pt>
                <c:pt idx="5">
                  <c:v>7</c:v>
                </c:pt>
                <c:pt idx="6">
                  <c:v>41</c:v>
                </c:pt>
                <c:pt idx="7">
                  <c:v>64</c:v>
                </c:pt>
                <c:pt idx="8">
                  <c:v>22</c:v>
                </c:pt>
                <c:pt idx="9">
                  <c:v>7</c:v>
                </c:pt>
                <c:pt idx="10">
                  <c:v>34</c:v>
                </c:pt>
                <c:pt idx="11">
                  <c:v>3</c:v>
                </c:pt>
                <c:pt idx="12">
                  <c:v>19</c:v>
                </c:pt>
                <c:pt idx="13">
                  <c:v>5</c:v>
                </c:pt>
                <c:pt idx="14">
                  <c:v>20</c:v>
                </c:pt>
                <c:pt idx="15">
                  <c:v>424</c:v>
                </c:pt>
              </c:numCache>
            </c:numRef>
          </c:val>
        </c:ser>
        <c:dLbls>
          <c:showLegendKey val="0"/>
          <c:showVal val="0"/>
          <c:showCatName val="0"/>
          <c:showSerName val="0"/>
          <c:showPercent val="0"/>
          <c:showBubbleSize val="0"/>
        </c:dLbls>
        <c:gapWidth val="182"/>
        <c:axId val="467036224"/>
        <c:axId val="467036616"/>
      </c:barChart>
      <c:catAx>
        <c:axId val="4670362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67036616"/>
        <c:crosses val="autoZero"/>
        <c:auto val="1"/>
        <c:lblAlgn val="ctr"/>
        <c:lblOffset val="100"/>
        <c:noMultiLvlLbl val="0"/>
      </c:catAx>
      <c:valAx>
        <c:axId val="46703661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36224"/>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1379172991056167"/>
          <c:h val="2.51061788443594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200" b="0" i="0" baseline="0">
                <a:effectLst/>
              </a:rPr>
              <a:t>Gradul de implementare a standardelor de control intern managerial, la nivelul entităților publice subordonate sau aflate în coordonarea ordonatorilor principali de credite, în perioada 2015 - 2016</a:t>
            </a:r>
            <a:endParaRPr lang="ro-RO" sz="1200">
              <a:effectLst/>
            </a:endParaRPr>
          </a:p>
          <a:p>
            <a:pPr>
              <a:defRPr sz="1200">
                <a:latin typeface="Times New Roman" panose="02020603050405020304" pitchFamily="18" charset="0"/>
                <a:cs typeface="Times New Roman" panose="02020603050405020304" pitchFamily="18" charset="0"/>
              </a:defRPr>
            </a:pPr>
            <a:endParaRPr lang="ro-RO" sz="1200" b="0" i="0" baseline="0">
              <a:effectLst/>
              <a:latin typeface="Times New Roman" panose="02020603050405020304" pitchFamily="18" charset="0"/>
              <a:cs typeface="Times New Roman" panose="02020603050405020304" pitchFamily="18" charset="0"/>
            </a:endParaRPr>
          </a:p>
          <a:p>
            <a:pPr>
              <a:defRPr sz="1200">
                <a:latin typeface="Times New Roman" panose="02020603050405020304" pitchFamily="18" charset="0"/>
                <a:cs typeface="Times New Roman" panose="02020603050405020304" pitchFamily="18" charset="0"/>
              </a:defRPr>
            </a:pPr>
            <a:r>
              <a:rPr lang="ro-RO" sz="1200" b="0" i="1" u="none" strike="noStrike" baseline="0">
                <a:effectLst/>
              </a:rPr>
              <a:t>Implementate (I) (%)</a:t>
            </a:r>
            <a:endParaRPr lang="ro-RO" sz="1200" b="0" i="1">
              <a:effectLst/>
              <a:latin typeface="Times New Roman" panose="02020603050405020304" pitchFamily="18" charset="0"/>
              <a:cs typeface="Times New Roman" panose="02020603050405020304" pitchFamily="18" charset="0"/>
            </a:endParaRPr>
          </a:p>
        </c:rich>
      </c:tx>
      <c:layout>
        <c:manualLayout>
          <c:xMode val="edge"/>
          <c:yMode val="edge"/>
          <c:x val="0.11211752786220872"/>
          <c:y val="9.0293453724604959E-3"/>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0.00</c:formatCode>
                <c:ptCount val="16"/>
                <c:pt idx="0">
                  <c:v>95.41</c:v>
                </c:pt>
                <c:pt idx="1">
                  <c:v>90.34</c:v>
                </c:pt>
                <c:pt idx="2">
                  <c:v>92.78</c:v>
                </c:pt>
                <c:pt idx="3">
                  <c:v>94.55</c:v>
                </c:pt>
                <c:pt idx="4">
                  <c:v>92.59</c:v>
                </c:pt>
                <c:pt idx="5">
                  <c:v>94.1</c:v>
                </c:pt>
                <c:pt idx="6">
                  <c:v>88.48</c:v>
                </c:pt>
                <c:pt idx="7">
                  <c:v>78.349999999999994</c:v>
                </c:pt>
                <c:pt idx="8">
                  <c:v>81.55</c:v>
                </c:pt>
                <c:pt idx="9">
                  <c:v>87.42</c:v>
                </c:pt>
                <c:pt idx="10">
                  <c:v>88.67</c:v>
                </c:pt>
                <c:pt idx="11">
                  <c:v>94.89</c:v>
                </c:pt>
                <c:pt idx="12">
                  <c:v>90.34</c:v>
                </c:pt>
                <c:pt idx="13">
                  <c:v>94.94</c:v>
                </c:pt>
                <c:pt idx="14">
                  <c:v>91.3</c:v>
                </c:pt>
                <c:pt idx="15">
                  <c:v>67.349999999999994</c:v>
                </c:pt>
              </c:numCache>
            </c:numRef>
          </c:val>
        </c:ser>
        <c:ser>
          <c:idx val="1"/>
          <c:order val="1"/>
          <c:tx>
            <c:strRef>
              <c:f>Sheet1!$C$1</c:f>
              <c:strCache>
                <c:ptCount val="1"/>
                <c:pt idx="0">
                  <c:v>2016</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0.00</c:formatCode>
                <c:ptCount val="16"/>
                <c:pt idx="0">
                  <c:v>96.27</c:v>
                </c:pt>
                <c:pt idx="1">
                  <c:v>91.33</c:v>
                </c:pt>
                <c:pt idx="2">
                  <c:v>93.65</c:v>
                </c:pt>
                <c:pt idx="3">
                  <c:v>95.72</c:v>
                </c:pt>
                <c:pt idx="4">
                  <c:v>92.69</c:v>
                </c:pt>
                <c:pt idx="5">
                  <c:v>95.51</c:v>
                </c:pt>
                <c:pt idx="6">
                  <c:v>89.21</c:v>
                </c:pt>
                <c:pt idx="7">
                  <c:v>81.05</c:v>
                </c:pt>
                <c:pt idx="8">
                  <c:v>82.91</c:v>
                </c:pt>
                <c:pt idx="9">
                  <c:v>89.77</c:v>
                </c:pt>
                <c:pt idx="10">
                  <c:v>89.36</c:v>
                </c:pt>
                <c:pt idx="11">
                  <c:v>95.92</c:v>
                </c:pt>
                <c:pt idx="12">
                  <c:v>91.58</c:v>
                </c:pt>
                <c:pt idx="13">
                  <c:v>95.97</c:v>
                </c:pt>
                <c:pt idx="14">
                  <c:v>92.99</c:v>
                </c:pt>
                <c:pt idx="15">
                  <c:v>68.27</c:v>
                </c:pt>
              </c:numCache>
            </c:numRef>
          </c:val>
        </c:ser>
        <c:dLbls>
          <c:showLegendKey val="0"/>
          <c:showVal val="0"/>
          <c:showCatName val="0"/>
          <c:showSerName val="0"/>
          <c:showPercent val="0"/>
          <c:showBubbleSize val="0"/>
        </c:dLbls>
        <c:gapWidth val="182"/>
        <c:axId val="467037400"/>
        <c:axId val="437272856"/>
      </c:barChart>
      <c:catAx>
        <c:axId val="4670374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37272856"/>
        <c:crosses val="autoZero"/>
        <c:auto val="1"/>
        <c:lblAlgn val="ctr"/>
        <c:lblOffset val="100"/>
        <c:noMultiLvlLbl val="0"/>
      </c:catAx>
      <c:valAx>
        <c:axId val="437272856"/>
        <c:scaling>
          <c:orientation val="minMax"/>
          <c:max val="10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7037400"/>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1379172991056167"/>
          <c:h val="2.51061788443594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200" b="0" i="0" baseline="0">
                <a:effectLst/>
              </a:rPr>
              <a:t>Gradul de implementare a standardelor de control intern managerial, la nivelul entităților publice subordonate sau aflate în coordonarea ordonatorilor principali de credite, în perioada 2015 - 2016</a:t>
            </a:r>
            <a:endParaRPr lang="ro-RO" sz="1200">
              <a:effectLst/>
            </a:endParaRPr>
          </a:p>
          <a:p>
            <a:pPr>
              <a:defRPr sz="1200">
                <a:latin typeface="Times New Roman" panose="02020603050405020304" pitchFamily="18" charset="0"/>
                <a:cs typeface="Times New Roman" panose="02020603050405020304" pitchFamily="18" charset="0"/>
              </a:defRPr>
            </a:pPr>
            <a:endParaRPr lang="ro-RO" sz="1200" b="0" i="0" baseline="0">
              <a:effectLst/>
              <a:latin typeface="Times New Roman" panose="02020603050405020304" pitchFamily="18" charset="0"/>
              <a:cs typeface="Times New Roman" panose="02020603050405020304" pitchFamily="18" charset="0"/>
            </a:endParaRPr>
          </a:p>
          <a:p>
            <a:pPr>
              <a:defRPr sz="1200">
                <a:latin typeface="Times New Roman" panose="02020603050405020304" pitchFamily="18" charset="0"/>
                <a:cs typeface="Times New Roman" panose="02020603050405020304" pitchFamily="18" charset="0"/>
              </a:defRPr>
            </a:pPr>
            <a:r>
              <a:rPr lang="ro-RO" sz="1200" b="0" i="1" u="none" strike="noStrike" baseline="0">
                <a:effectLst/>
              </a:rPr>
              <a:t>Parțial implementate (PI) (%)</a:t>
            </a:r>
            <a:endParaRPr lang="ro-RO" sz="1200" b="0" i="1">
              <a:effectLst/>
              <a:latin typeface="Times New Roman" panose="02020603050405020304" pitchFamily="18" charset="0"/>
              <a:cs typeface="Times New Roman" panose="02020603050405020304" pitchFamily="18" charset="0"/>
            </a:endParaRPr>
          </a:p>
        </c:rich>
      </c:tx>
      <c:layout>
        <c:manualLayout>
          <c:xMode val="edge"/>
          <c:yMode val="edge"/>
          <c:x val="0.11211752786220872"/>
          <c:y val="9.0293453724604959E-3"/>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0.00</c:formatCode>
                <c:ptCount val="16"/>
                <c:pt idx="0">
                  <c:v>4.0599999999999996</c:v>
                </c:pt>
                <c:pt idx="1">
                  <c:v>8.6</c:v>
                </c:pt>
                <c:pt idx="2">
                  <c:v>6.98</c:v>
                </c:pt>
                <c:pt idx="3">
                  <c:v>4.83</c:v>
                </c:pt>
                <c:pt idx="4">
                  <c:v>6.5</c:v>
                </c:pt>
                <c:pt idx="5">
                  <c:v>4.8099999999999996</c:v>
                </c:pt>
                <c:pt idx="6">
                  <c:v>8.75</c:v>
                </c:pt>
                <c:pt idx="7">
                  <c:v>17.21</c:v>
                </c:pt>
                <c:pt idx="8">
                  <c:v>17.54</c:v>
                </c:pt>
                <c:pt idx="9">
                  <c:v>11.87</c:v>
                </c:pt>
                <c:pt idx="10">
                  <c:v>8.6999999999999993</c:v>
                </c:pt>
                <c:pt idx="11">
                  <c:v>4.59</c:v>
                </c:pt>
                <c:pt idx="12">
                  <c:v>8.2200000000000006</c:v>
                </c:pt>
                <c:pt idx="13">
                  <c:v>4.4000000000000004</c:v>
                </c:pt>
                <c:pt idx="14">
                  <c:v>7.41</c:v>
                </c:pt>
                <c:pt idx="15">
                  <c:v>5.39</c:v>
                </c:pt>
              </c:numCache>
            </c:numRef>
          </c:val>
        </c:ser>
        <c:ser>
          <c:idx val="1"/>
          <c:order val="1"/>
          <c:tx>
            <c:strRef>
              <c:f>Sheet1!$C$1</c:f>
              <c:strCache>
                <c:ptCount val="1"/>
                <c:pt idx="0">
                  <c:v>2016</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0.00</c:formatCode>
                <c:ptCount val="16"/>
                <c:pt idx="0">
                  <c:v>3.43</c:v>
                </c:pt>
                <c:pt idx="1">
                  <c:v>7.91</c:v>
                </c:pt>
                <c:pt idx="2">
                  <c:v>6.2</c:v>
                </c:pt>
                <c:pt idx="3">
                  <c:v>3.78</c:v>
                </c:pt>
                <c:pt idx="4">
                  <c:v>6.65</c:v>
                </c:pt>
                <c:pt idx="5">
                  <c:v>4.13</c:v>
                </c:pt>
                <c:pt idx="6">
                  <c:v>8.7200000000000006</c:v>
                </c:pt>
                <c:pt idx="7">
                  <c:v>15.73</c:v>
                </c:pt>
                <c:pt idx="8">
                  <c:v>15.98</c:v>
                </c:pt>
                <c:pt idx="9">
                  <c:v>9.8800000000000008</c:v>
                </c:pt>
                <c:pt idx="10">
                  <c:v>8.92</c:v>
                </c:pt>
                <c:pt idx="11">
                  <c:v>3.93</c:v>
                </c:pt>
                <c:pt idx="12">
                  <c:v>7.46</c:v>
                </c:pt>
                <c:pt idx="13">
                  <c:v>3.78</c:v>
                </c:pt>
                <c:pt idx="14">
                  <c:v>6</c:v>
                </c:pt>
                <c:pt idx="15">
                  <c:v>6.58</c:v>
                </c:pt>
              </c:numCache>
            </c:numRef>
          </c:val>
        </c:ser>
        <c:dLbls>
          <c:showLegendKey val="0"/>
          <c:showVal val="0"/>
          <c:showCatName val="0"/>
          <c:showSerName val="0"/>
          <c:showPercent val="0"/>
          <c:showBubbleSize val="0"/>
        </c:dLbls>
        <c:gapWidth val="182"/>
        <c:axId val="437273640"/>
        <c:axId val="437274032"/>
      </c:barChart>
      <c:catAx>
        <c:axId val="4372736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37274032"/>
        <c:crosses val="autoZero"/>
        <c:auto val="1"/>
        <c:lblAlgn val="ctr"/>
        <c:lblOffset val="100"/>
        <c:noMultiLvlLbl val="0"/>
      </c:catAx>
      <c:valAx>
        <c:axId val="43727403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73640"/>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1379172991056167"/>
          <c:h val="2.51061788443594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200" b="0" i="0" baseline="0">
                <a:effectLst/>
              </a:rPr>
              <a:t>Gradul de implementare a standardelor de control intern managerial, la nivelul entităților publice subordonate sau aflate în coordonarea ordonatorilor principali de credite, în perioada 2015 - 2016</a:t>
            </a:r>
            <a:endParaRPr lang="ro-RO" sz="1200">
              <a:effectLst/>
            </a:endParaRPr>
          </a:p>
          <a:p>
            <a:pPr>
              <a:defRPr sz="1200">
                <a:latin typeface="Times New Roman" panose="02020603050405020304" pitchFamily="18" charset="0"/>
                <a:cs typeface="Times New Roman" panose="02020603050405020304" pitchFamily="18" charset="0"/>
              </a:defRPr>
            </a:pPr>
            <a:endParaRPr lang="ro-RO" sz="1200" b="0" i="0" baseline="0">
              <a:effectLst/>
              <a:latin typeface="Times New Roman" panose="02020603050405020304" pitchFamily="18" charset="0"/>
              <a:cs typeface="Times New Roman" panose="02020603050405020304" pitchFamily="18" charset="0"/>
            </a:endParaRPr>
          </a:p>
          <a:p>
            <a:pPr>
              <a:defRPr sz="1200">
                <a:latin typeface="Times New Roman" panose="02020603050405020304" pitchFamily="18" charset="0"/>
                <a:cs typeface="Times New Roman" panose="02020603050405020304" pitchFamily="18" charset="0"/>
              </a:defRPr>
            </a:pPr>
            <a:r>
              <a:rPr lang="ro-RO" sz="1200" b="0" i="1" u="none" strike="noStrike" baseline="0">
                <a:effectLst/>
              </a:rPr>
              <a:t>Neimplementate (PI) (%)</a:t>
            </a:r>
            <a:endParaRPr lang="ro-RO" sz="1200" b="0" i="1">
              <a:effectLst/>
              <a:latin typeface="Times New Roman" panose="02020603050405020304" pitchFamily="18" charset="0"/>
              <a:cs typeface="Times New Roman" panose="02020603050405020304" pitchFamily="18" charset="0"/>
            </a:endParaRPr>
          </a:p>
        </c:rich>
      </c:tx>
      <c:layout>
        <c:manualLayout>
          <c:xMode val="edge"/>
          <c:yMode val="edge"/>
          <c:x val="0.11211752786220872"/>
          <c:y val="9.0293453724604959E-3"/>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0.00</c:formatCode>
                <c:ptCount val="16"/>
                <c:pt idx="0">
                  <c:v>0.53</c:v>
                </c:pt>
                <c:pt idx="1">
                  <c:v>1.05</c:v>
                </c:pt>
                <c:pt idx="2">
                  <c:v>0.24</c:v>
                </c:pt>
                <c:pt idx="3">
                  <c:v>0.62</c:v>
                </c:pt>
                <c:pt idx="4">
                  <c:v>0.91</c:v>
                </c:pt>
                <c:pt idx="5">
                  <c:v>1.0900000000000001</c:v>
                </c:pt>
                <c:pt idx="6">
                  <c:v>2.77</c:v>
                </c:pt>
                <c:pt idx="7">
                  <c:v>4.45</c:v>
                </c:pt>
                <c:pt idx="8">
                  <c:v>0.91</c:v>
                </c:pt>
                <c:pt idx="9">
                  <c:v>0.72</c:v>
                </c:pt>
                <c:pt idx="10">
                  <c:v>2.63</c:v>
                </c:pt>
                <c:pt idx="11">
                  <c:v>0.53</c:v>
                </c:pt>
                <c:pt idx="12">
                  <c:v>1.43</c:v>
                </c:pt>
                <c:pt idx="13">
                  <c:v>0.67</c:v>
                </c:pt>
                <c:pt idx="14">
                  <c:v>1.29</c:v>
                </c:pt>
                <c:pt idx="15">
                  <c:v>27.27</c:v>
                </c:pt>
              </c:numCache>
            </c:numRef>
          </c:val>
        </c:ser>
        <c:ser>
          <c:idx val="1"/>
          <c:order val="1"/>
          <c:tx>
            <c:strRef>
              <c:f>Sheet1!$C$1</c:f>
              <c:strCache>
                <c:ptCount val="1"/>
                <c:pt idx="0">
                  <c:v>2016</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0.00</c:formatCode>
                <c:ptCount val="16"/>
                <c:pt idx="0">
                  <c:v>0.3</c:v>
                </c:pt>
                <c:pt idx="1">
                  <c:v>0.76</c:v>
                </c:pt>
                <c:pt idx="2">
                  <c:v>0.15</c:v>
                </c:pt>
                <c:pt idx="3">
                  <c:v>0.5</c:v>
                </c:pt>
                <c:pt idx="4">
                  <c:v>0.66</c:v>
                </c:pt>
                <c:pt idx="5">
                  <c:v>0.35</c:v>
                </c:pt>
                <c:pt idx="6">
                  <c:v>2.0699999999999998</c:v>
                </c:pt>
                <c:pt idx="7">
                  <c:v>3.23</c:v>
                </c:pt>
                <c:pt idx="8">
                  <c:v>1.1100000000000001</c:v>
                </c:pt>
                <c:pt idx="9">
                  <c:v>0.35</c:v>
                </c:pt>
                <c:pt idx="10">
                  <c:v>1.71</c:v>
                </c:pt>
                <c:pt idx="11">
                  <c:v>0.15</c:v>
                </c:pt>
                <c:pt idx="12">
                  <c:v>0.96</c:v>
                </c:pt>
                <c:pt idx="13">
                  <c:v>0.25</c:v>
                </c:pt>
                <c:pt idx="14">
                  <c:v>1.01</c:v>
                </c:pt>
                <c:pt idx="15">
                  <c:v>25.15</c:v>
                </c:pt>
              </c:numCache>
            </c:numRef>
          </c:val>
        </c:ser>
        <c:dLbls>
          <c:showLegendKey val="0"/>
          <c:showVal val="0"/>
          <c:showCatName val="0"/>
          <c:showSerName val="0"/>
          <c:showPercent val="0"/>
          <c:showBubbleSize val="0"/>
        </c:dLbls>
        <c:gapWidth val="182"/>
        <c:axId val="437274816"/>
        <c:axId val="437275208"/>
      </c:barChart>
      <c:catAx>
        <c:axId val="4372748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37275208"/>
        <c:crosses val="autoZero"/>
        <c:auto val="1"/>
        <c:lblAlgn val="ctr"/>
        <c:lblOffset val="100"/>
        <c:noMultiLvlLbl val="0"/>
      </c:catAx>
      <c:valAx>
        <c:axId val="43727520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74816"/>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1379172991056167"/>
          <c:h val="2.51061788443594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0" i="0" baseline="0">
                <a:effectLst/>
                <a:latin typeface="Times New Roman" panose="02020603050405020304" pitchFamily="18" charset="0"/>
                <a:cs typeface="Times New Roman" panose="02020603050405020304" pitchFamily="18" charset="0"/>
              </a:rPr>
              <a:t>Stadiul implementării standardelor de control intern managerial la nivelul fiecărui ordonator principal de credite – aparat propriu în perioada 2015 - 2016</a:t>
            </a:r>
          </a:p>
          <a:p>
            <a:pPr>
              <a:defRPr sz="1100">
                <a:latin typeface="Times New Roman" panose="02020603050405020304" pitchFamily="18" charset="0"/>
                <a:cs typeface="Times New Roman" panose="02020603050405020304" pitchFamily="18" charset="0"/>
              </a:defRPr>
            </a:pPr>
            <a:endParaRPr lang="ro-RO" sz="1100" b="0" i="0">
              <a:effectLst/>
              <a:latin typeface="Times New Roman" panose="02020603050405020304" pitchFamily="18" charset="0"/>
              <a:cs typeface="Times New Roman" panose="02020603050405020304" pitchFamily="18" charset="0"/>
            </a:endParaRPr>
          </a:p>
          <a:p>
            <a:pPr>
              <a:defRPr sz="1100">
                <a:latin typeface="Times New Roman" panose="02020603050405020304" pitchFamily="18" charset="0"/>
                <a:cs typeface="Times New Roman" panose="02020603050405020304" pitchFamily="18" charset="0"/>
              </a:defRPr>
            </a:pPr>
            <a:r>
              <a:rPr lang="ro-RO" sz="1100" b="0" i="1" u="none" strike="noStrike" baseline="0">
                <a:effectLst/>
              </a:rPr>
              <a:t>Gradul de implementare a standardelor de control intern managerial (%)</a:t>
            </a:r>
            <a:endParaRPr lang="ro-RO" sz="1100" b="0" i="1">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chemeClr val="accent1"/>
            </a:solidFill>
            <a:ln>
              <a:noFill/>
            </a:ln>
            <a:effectLst/>
          </c:spPr>
          <c:invertIfNegative val="0"/>
          <c:cat>
            <c:strRef>
              <c:f>Sheet1!$A$2:$A$55</c:f>
              <c:strCache>
                <c:ptCount val="54"/>
                <c:pt idx="0">
                  <c:v>Curtea Constituţională</c:v>
                </c:pt>
                <c:pt idx="1">
                  <c:v>Consiliul Concurenţei</c:v>
                </c:pt>
                <c:pt idx="2">
                  <c:v>Ministerul Afacerilor Interne</c:v>
                </c:pt>
                <c:pt idx="3">
                  <c:v>Ministerul Apărării Naţionale</c:v>
                </c:pt>
                <c:pt idx="4">
                  <c:v>Ministerul Finanţelor Publice</c:v>
                </c:pt>
                <c:pt idx="5">
                  <c:v>Serviciul de Protecţie şi Pază *</c:v>
                </c:pt>
                <c:pt idx="6">
                  <c:v>Serviciul de Telecomunicaţii Speciale *</c:v>
                </c:pt>
                <c:pt idx="7">
                  <c:v>Oficiul Naţional de Prevenire şi Combaterea Spălării Banilor</c:v>
                </c:pt>
                <c:pt idx="8">
                  <c:v>Oficiul Registrului Naţional al Informaţiilor Secrete de Stat</c:v>
                </c:pt>
                <c:pt idx="9">
                  <c:v>Agenţia Naţională de Presă Agerpres</c:v>
                </c:pt>
                <c:pt idx="10">
                  <c:v>Consiliul Superior al Magistraturii</c:v>
                </c:pt>
                <c:pt idx="11">
                  <c:v>Autoritatea Naţională de Supraveghere a Prelucrării Datelor cu Caracter Personal</c:v>
                </c:pt>
                <c:pt idx="12">
                  <c:v>Consiliul Naţional de Soluţionare a Contesţatiilor</c:v>
                </c:pt>
                <c:pt idx="13">
                  <c:v>Avocatul Poporului</c:v>
                </c:pt>
                <c:pt idx="14">
                  <c:v>Secretariatul General al Guvernului</c:v>
                </c:pt>
                <c:pt idx="15">
                  <c:v>Ministerul Dezvoltării Regionale şi Administraţiei Publice</c:v>
                </c:pt>
                <c:pt idx="16">
                  <c:v>Ministerul Fondurilor Europene</c:v>
                </c:pt>
                <c:pt idx="17">
                  <c:v>Ministerul Justiţiei</c:v>
                </c:pt>
                <c:pt idx="18">
                  <c:v>Ministerul Muncii, Familiei, Protecţiei Sociale şi Persoanelor Vârstnice</c:v>
                </c:pt>
                <c:pt idx="19">
                  <c:v>Ministerul Public</c:v>
                </c:pt>
                <c:pt idx="20">
                  <c:v>Agenţia Naţională de Integritate</c:v>
                </c:pt>
                <c:pt idx="21">
                  <c:v>Serviciul Român de Informaţii</c:v>
                </c:pt>
                <c:pt idx="22">
                  <c:v>Serviciul de Informaţii Externe</c:v>
                </c:pt>
                <c:pt idx="23">
                  <c:v>Institutul Cultural Român</c:v>
                </c:pt>
                <c:pt idx="24">
                  <c:v>Academia Română</c:v>
                </c:pt>
                <c:pt idx="25">
                  <c:v>Consiliul Naţional pentru Combaterea Discriminării</c:v>
                </c:pt>
                <c:pt idx="26">
                  <c:v>Autoritatea Electorală Permanentă</c:v>
                </c:pt>
                <c:pt idx="27">
                  <c:v>Senatul României</c:v>
                </c:pt>
                <c:pt idx="28">
                  <c:v>Înalta Curte de Casaţie şi Justiţie</c:v>
                </c:pt>
                <c:pt idx="29">
                  <c:v>Ministerul Transporturilor</c:v>
                </c:pt>
                <c:pt idx="30">
                  <c:v>Secretariatul de Stat pentru recunoașterea meritelor luptătorilor împotriva regimului comunist instaurat în România în perioada 1945-1989</c:v>
                </c:pt>
                <c:pt idx="31">
                  <c:v>Administraţia Prezidenţială</c:v>
                </c:pt>
                <c:pt idx="32">
                  <c:v>Camera Deputaţilor</c:v>
                </c:pt>
                <c:pt idx="33">
                  <c:v>Curtea de Conturi a României</c:v>
                </c:pt>
                <c:pt idx="34">
                  <c:v>Consiliul Naţional al Audiovizualului</c:v>
                </c:pt>
                <c:pt idx="35">
                  <c:v>Ministerul Agriculturii şi Dezvoltării Rurale</c:v>
                </c:pt>
                <c:pt idx="36">
                  <c:v>Ministerul Energiei </c:v>
                </c:pt>
                <c:pt idx="37">
                  <c:v>Autoritatea Naţională Sanitară Veterinară şi pentru Siguranţa Alimentelor</c:v>
                </c:pt>
                <c:pt idx="38">
                  <c:v>Consiliul Legislativ</c:v>
                </c:pt>
                <c:pt idx="39">
                  <c:v>Ministerul Culturii</c:v>
                </c:pt>
                <c:pt idx="40">
                  <c:v>Societatea Română de Radiodifuziune</c:v>
                </c:pt>
                <c:pt idx="41">
                  <c:v>Consiliul Economic şi Social</c:v>
                </c:pt>
                <c:pt idx="42">
                  <c:v>Autoritatea pentru Administrarea Activelor Statului</c:v>
                </c:pt>
                <c:pt idx="43">
                  <c:v>Ministerul Afacerilor Externe</c:v>
                </c:pt>
                <c:pt idx="44">
                  <c:v>Ministerul Educaţiei Naționale și Cercetării Științifice</c:v>
                </c:pt>
                <c:pt idx="45">
                  <c:v>Ministerul Comunicațiilor pentru Societatea Informaţională </c:v>
                </c:pt>
                <c:pt idx="46">
                  <c:v>Ministerul Sănătăţii</c:v>
                </c:pt>
                <c:pt idx="47">
                  <c:v>Societatea Română de Televiziune</c:v>
                </c:pt>
                <c:pt idx="48">
                  <c:v>Autoritatea Naţională pentru Restituirea Proprietăţilor</c:v>
                </c:pt>
                <c:pt idx="49">
                  <c:v>Consiliul Naţional pentru Studierea Arhivelor Securităţii</c:v>
                </c:pt>
                <c:pt idx="50">
                  <c:v>Ministerul Mediului, Apelor și Pădurilor</c:v>
                </c:pt>
                <c:pt idx="51">
                  <c:v>Ministerul Tineretului si Sportului</c:v>
                </c:pt>
                <c:pt idx="52">
                  <c:v>Ministerul Economiei, Comerțului și Relațiilor cu Mediul de Afaceri </c:v>
                </c:pt>
                <c:pt idx="53">
                  <c:v>Ministerul pentru Consultare Publică și Dialog Civic </c:v>
                </c:pt>
              </c:strCache>
            </c:strRef>
          </c:cat>
          <c:val>
            <c:numRef>
              <c:f>Sheet1!$B$2:$B$55</c:f>
              <c:numCache>
                <c:formatCode>General</c:formatCode>
                <c:ptCount val="54"/>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93.75</c:v>
                </c:pt>
                <c:pt idx="14">
                  <c:v>93.75</c:v>
                </c:pt>
                <c:pt idx="15">
                  <c:v>93.75</c:v>
                </c:pt>
                <c:pt idx="16">
                  <c:v>93.75</c:v>
                </c:pt>
                <c:pt idx="17">
                  <c:v>93.75</c:v>
                </c:pt>
                <c:pt idx="18">
                  <c:v>93.75</c:v>
                </c:pt>
                <c:pt idx="19">
                  <c:v>93.75</c:v>
                </c:pt>
                <c:pt idx="20">
                  <c:v>93.75</c:v>
                </c:pt>
                <c:pt idx="21">
                  <c:v>93.75</c:v>
                </c:pt>
                <c:pt idx="22">
                  <c:v>93.75</c:v>
                </c:pt>
                <c:pt idx="23">
                  <c:v>93.75</c:v>
                </c:pt>
                <c:pt idx="24">
                  <c:v>87.5</c:v>
                </c:pt>
                <c:pt idx="25">
                  <c:v>87.5</c:v>
                </c:pt>
                <c:pt idx="26">
                  <c:v>87.5</c:v>
                </c:pt>
                <c:pt idx="27">
                  <c:v>81.25</c:v>
                </c:pt>
                <c:pt idx="28">
                  <c:v>81.25</c:v>
                </c:pt>
                <c:pt idx="29">
                  <c:v>81.25</c:v>
                </c:pt>
                <c:pt idx="30">
                  <c:v>81.25</c:v>
                </c:pt>
                <c:pt idx="31">
                  <c:v>75</c:v>
                </c:pt>
                <c:pt idx="32">
                  <c:v>75</c:v>
                </c:pt>
                <c:pt idx="33">
                  <c:v>75</c:v>
                </c:pt>
                <c:pt idx="34">
                  <c:v>75</c:v>
                </c:pt>
                <c:pt idx="35">
                  <c:v>75</c:v>
                </c:pt>
                <c:pt idx="36">
                  <c:v>75</c:v>
                </c:pt>
                <c:pt idx="37">
                  <c:v>75</c:v>
                </c:pt>
                <c:pt idx="38">
                  <c:v>68.75</c:v>
                </c:pt>
                <c:pt idx="39">
                  <c:v>62.5</c:v>
                </c:pt>
                <c:pt idx="40">
                  <c:v>62.5</c:v>
                </c:pt>
                <c:pt idx="41">
                  <c:v>62.5</c:v>
                </c:pt>
                <c:pt idx="42">
                  <c:v>62.5</c:v>
                </c:pt>
                <c:pt idx="43">
                  <c:v>56.25</c:v>
                </c:pt>
                <c:pt idx="44">
                  <c:v>56.25</c:v>
                </c:pt>
                <c:pt idx="45">
                  <c:v>56.25</c:v>
                </c:pt>
                <c:pt idx="46">
                  <c:v>56.25</c:v>
                </c:pt>
                <c:pt idx="47">
                  <c:v>56.25</c:v>
                </c:pt>
                <c:pt idx="48">
                  <c:v>56.25</c:v>
                </c:pt>
                <c:pt idx="49">
                  <c:v>50</c:v>
                </c:pt>
                <c:pt idx="50">
                  <c:v>43.75</c:v>
                </c:pt>
                <c:pt idx="51">
                  <c:v>0</c:v>
                </c:pt>
                <c:pt idx="52">
                  <c:v>0</c:v>
                </c:pt>
                <c:pt idx="53">
                  <c:v>0</c:v>
                </c:pt>
              </c:numCache>
            </c:numRef>
          </c:val>
        </c:ser>
        <c:ser>
          <c:idx val="1"/>
          <c:order val="1"/>
          <c:tx>
            <c:strRef>
              <c:f>Sheet1!$C$1</c:f>
              <c:strCache>
                <c:ptCount val="1"/>
                <c:pt idx="0">
                  <c:v>2016</c:v>
                </c:pt>
              </c:strCache>
            </c:strRef>
          </c:tx>
          <c:spPr>
            <a:solidFill>
              <a:schemeClr val="accent2"/>
            </a:solidFill>
            <a:ln>
              <a:noFill/>
            </a:ln>
            <a:effectLst/>
          </c:spPr>
          <c:invertIfNegative val="0"/>
          <c:cat>
            <c:strRef>
              <c:f>Sheet1!$A$2:$A$55</c:f>
              <c:strCache>
                <c:ptCount val="54"/>
                <c:pt idx="0">
                  <c:v>Curtea Constituţională</c:v>
                </c:pt>
                <c:pt idx="1">
                  <c:v>Consiliul Concurenţei</c:v>
                </c:pt>
                <c:pt idx="2">
                  <c:v>Ministerul Afacerilor Interne</c:v>
                </c:pt>
                <c:pt idx="3">
                  <c:v>Ministerul Apărării Naţionale</c:v>
                </c:pt>
                <c:pt idx="4">
                  <c:v>Ministerul Finanţelor Publice</c:v>
                </c:pt>
                <c:pt idx="5">
                  <c:v>Serviciul de Protecţie şi Pază *</c:v>
                </c:pt>
                <c:pt idx="6">
                  <c:v>Serviciul de Telecomunicaţii Speciale *</c:v>
                </c:pt>
                <c:pt idx="7">
                  <c:v>Oficiul Naţional de Prevenire şi Combaterea Spălării Banilor</c:v>
                </c:pt>
                <c:pt idx="8">
                  <c:v>Oficiul Registrului Naţional al Informaţiilor Secrete de Stat</c:v>
                </c:pt>
                <c:pt idx="9">
                  <c:v>Agenţia Naţională de Presă Agerpres</c:v>
                </c:pt>
                <c:pt idx="10">
                  <c:v>Consiliul Superior al Magistraturii</c:v>
                </c:pt>
                <c:pt idx="11">
                  <c:v>Autoritatea Naţională de Supraveghere a Prelucrării Datelor cu Caracter Personal</c:v>
                </c:pt>
                <c:pt idx="12">
                  <c:v>Consiliul Naţional de Soluţionare a Contesţatiilor</c:v>
                </c:pt>
                <c:pt idx="13">
                  <c:v>Avocatul Poporului</c:v>
                </c:pt>
                <c:pt idx="14">
                  <c:v>Secretariatul General al Guvernului</c:v>
                </c:pt>
                <c:pt idx="15">
                  <c:v>Ministerul Dezvoltării Regionale şi Administraţiei Publice</c:v>
                </c:pt>
                <c:pt idx="16">
                  <c:v>Ministerul Fondurilor Europene</c:v>
                </c:pt>
                <c:pt idx="17">
                  <c:v>Ministerul Justiţiei</c:v>
                </c:pt>
                <c:pt idx="18">
                  <c:v>Ministerul Muncii, Familiei, Protecţiei Sociale şi Persoanelor Vârstnice</c:v>
                </c:pt>
                <c:pt idx="19">
                  <c:v>Ministerul Public</c:v>
                </c:pt>
                <c:pt idx="20">
                  <c:v>Agenţia Naţională de Integritate</c:v>
                </c:pt>
                <c:pt idx="21">
                  <c:v>Serviciul Român de Informaţii</c:v>
                </c:pt>
                <c:pt idx="22">
                  <c:v>Serviciul de Informaţii Externe</c:v>
                </c:pt>
                <c:pt idx="23">
                  <c:v>Institutul Cultural Român</c:v>
                </c:pt>
                <c:pt idx="24">
                  <c:v>Academia Română</c:v>
                </c:pt>
                <c:pt idx="25">
                  <c:v>Consiliul Naţional pentru Combaterea Discriminării</c:v>
                </c:pt>
                <c:pt idx="26">
                  <c:v>Autoritatea Electorală Permanentă</c:v>
                </c:pt>
                <c:pt idx="27">
                  <c:v>Senatul României</c:v>
                </c:pt>
                <c:pt idx="28">
                  <c:v>Înalta Curte de Casaţie şi Justiţie</c:v>
                </c:pt>
                <c:pt idx="29">
                  <c:v>Ministerul Transporturilor</c:v>
                </c:pt>
                <c:pt idx="30">
                  <c:v>Secretariatul de Stat pentru recunoașterea meritelor luptătorilor împotriva regimului comunist instaurat în România în perioada 1945-1989</c:v>
                </c:pt>
                <c:pt idx="31">
                  <c:v>Administraţia Prezidenţială</c:v>
                </c:pt>
                <c:pt idx="32">
                  <c:v>Camera Deputaţilor</c:v>
                </c:pt>
                <c:pt idx="33">
                  <c:v>Curtea de Conturi a României</c:v>
                </c:pt>
                <c:pt idx="34">
                  <c:v>Consiliul Naţional al Audiovizualului</c:v>
                </c:pt>
                <c:pt idx="35">
                  <c:v>Ministerul Agriculturii şi Dezvoltării Rurale</c:v>
                </c:pt>
                <c:pt idx="36">
                  <c:v>Ministerul Energiei </c:v>
                </c:pt>
                <c:pt idx="37">
                  <c:v>Autoritatea Naţională Sanitară Veterinară şi pentru Siguranţa Alimentelor</c:v>
                </c:pt>
                <c:pt idx="38">
                  <c:v>Consiliul Legislativ</c:v>
                </c:pt>
                <c:pt idx="39">
                  <c:v>Ministerul Culturii</c:v>
                </c:pt>
                <c:pt idx="40">
                  <c:v>Societatea Română de Radiodifuziune</c:v>
                </c:pt>
                <c:pt idx="41">
                  <c:v>Consiliul Economic şi Social</c:v>
                </c:pt>
                <c:pt idx="42">
                  <c:v>Autoritatea pentru Administrarea Activelor Statului</c:v>
                </c:pt>
                <c:pt idx="43">
                  <c:v>Ministerul Afacerilor Externe</c:v>
                </c:pt>
                <c:pt idx="44">
                  <c:v>Ministerul Educaţiei Naționale și Cercetării Științifice</c:v>
                </c:pt>
                <c:pt idx="45">
                  <c:v>Ministerul Comunicațiilor pentru Societatea Informaţională </c:v>
                </c:pt>
                <c:pt idx="46">
                  <c:v>Ministerul Sănătăţii</c:v>
                </c:pt>
                <c:pt idx="47">
                  <c:v>Societatea Română de Televiziune</c:v>
                </c:pt>
                <c:pt idx="48">
                  <c:v>Autoritatea Naţională pentru Restituirea Proprietăţilor</c:v>
                </c:pt>
                <c:pt idx="49">
                  <c:v>Consiliul Naţional pentru Studierea Arhivelor Securităţii</c:v>
                </c:pt>
                <c:pt idx="50">
                  <c:v>Ministerul Mediului, Apelor și Pădurilor</c:v>
                </c:pt>
                <c:pt idx="51">
                  <c:v>Ministerul Tineretului si Sportului</c:v>
                </c:pt>
                <c:pt idx="52">
                  <c:v>Ministerul Economiei, Comerțului și Relațiilor cu Mediul de Afaceri </c:v>
                </c:pt>
                <c:pt idx="53">
                  <c:v>Ministerul pentru Consultare Publică și Dialog Civic </c:v>
                </c:pt>
              </c:strCache>
            </c:strRef>
          </c:cat>
          <c:val>
            <c:numRef>
              <c:f>Sheet1!$C$2:$C$55</c:f>
              <c:numCache>
                <c:formatCode>General</c:formatCode>
                <c:ptCount val="54"/>
                <c:pt idx="0">
                  <c:v>100</c:v>
                </c:pt>
                <c:pt idx="1">
                  <c:v>100</c:v>
                </c:pt>
                <c:pt idx="2">
                  <c:v>100</c:v>
                </c:pt>
                <c:pt idx="3">
                  <c:v>100</c:v>
                </c:pt>
                <c:pt idx="4">
                  <c:v>100</c:v>
                </c:pt>
                <c:pt idx="5">
                  <c:v>0</c:v>
                </c:pt>
                <c:pt idx="6">
                  <c:v>0</c:v>
                </c:pt>
                <c:pt idx="7">
                  <c:v>100</c:v>
                </c:pt>
                <c:pt idx="8">
                  <c:v>100</c:v>
                </c:pt>
                <c:pt idx="9">
                  <c:v>93.75</c:v>
                </c:pt>
                <c:pt idx="10">
                  <c:v>100</c:v>
                </c:pt>
                <c:pt idx="11">
                  <c:v>100</c:v>
                </c:pt>
                <c:pt idx="12">
                  <c:v>100</c:v>
                </c:pt>
                <c:pt idx="13">
                  <c:v>93.75</c:v>
                </c:pt>
                <c:pt idx="14">
                  <c:v>62.5</c:v>
                </c:pt>
                <c:pt idx="15">
                  <c:v>93.75</c:v>
                </c:pt>
                <c:pt idx="16">
                  <c:v>87.5</c:v>
                </c:pt>
                <c:pt idx="17">
                  <c:v>93.75</c:v>
                </c:pt>
                <c:pt idx="18">
                  <c:v>100</c:v>
                </c:pt>
                <c:pt idx="19">
                  <c:v>50</c:v>
                </c:pt>
                <c:pt idx="20">
                  <c:v>100</c:v>
                </c:pt>
                <c:pt idx="21">
                  <c:v>93.75</c:v>
                </c:pt>
                <c:pt idx="22">
                  <c:v>100</c:v>
                </c:pt>
                <c:pt idx="23">
                  <c:v>93.75</c:v>
                </c:pt>
                <c:pt idx="24">
                  <c:v>93.75</c:v>
                </c:pt>
                <c:pt idx="25">
                  <c:v>68.75</c:v>
                </c:pt>
                <c:pt idx="26">
                  <c:v>56.25</c:v>
                </c:pt>
                <c:pt idx="27">
                  <c:v>62.5</c:v>
                </c:pt>
                <c:pt idx="28">
                  <c:v>87.5</c:v>
                </c:pt>
                <c:pt idx="29">
                  <c:v>75</c:v>
                </c:pt>
                <c:pt idx="30">
                  <c:v>68.75</c:v>
                </c:pt>
                <c:pt idx="31">
                  <c:v>75</c:v>
                </c:pt>
                <c:pt idx="32">
                  <c:v>68.75</c:v>
                </c:pt>
                <c:pt idx="33">
                  <c:v>75</c:v>
                </c:pt>
                <c:pt idx="34">
                  <c:v>68.75</c:v>
                </c:pt>
                <c:pt idx="35">
                  <c:v>68.75</c:v>
                </c:pt>
                <c:pt idx="36">
                  <c:v>62.5</c:v>
                </c:pt>
                <c:pt idx="37">
                  <c:v>81.25</c:v>
                </c:pt>
                <c:pt idx="38">
                  <c:v>68.75</c:v>
                </c:pt>
                <c:pt idx="39">
                  <c:v>56.25</c:v>
                </c:pt>
                <c:pt idx="40">
                  <c:v>62.5</c:v>
                </c:pt>
                <c:pt idx="41">
                  <c:v>56.25</c:v>
                </c:pt>
                <c:pt idx="42">
                  <c:v>68.75</c:v>
                </c:pt>
                <c:pt idx="43">
                  <c:v>56.25</c:v>
                </c:pt>
                <c:pt idx="44">
                  <c:v>62.5</c:v>
                </c:pt>
                <c:pt idx="45">
                  <c:v>56.25</c:v>
                </c:pt>
                <c:pt idx="46">
                  <c:v>75</c:v>
                </c:pt>
                <c:pt idx="47">
                  <c:v>56.25</c:v>
                </c:pt>
                <c:pt idx="48">
                  <c:v>62.5</c:v>
                </c:pt>
                <c:pt idx="49">
                  <c:v>50</c:v>
                </c:pt>
                <c:pt idx="50">
                  <c:v>50</c:v>
                </c:pt>
                <c:pt idx="51">
                  <c:v>56.25</c:v>
                </c:pt>
                <c:pt idx="52">
                  <c:v>0</c:v>
                </c:pt>
                <c:pt idx="53">
                  <c:v>0</c:v>
                </c:pt>
              </c:numCache>
            </c:numRef>
          </c:val>
        </c:ser>
        <c:dLbls>
          <c:showLegendKey val="0"/>
          <c:showVal val="0"/>
          <c:showCatName val="0"/>
          <c:showSerName val="0"/>
          <c:showPercent val="0"/>
          <c:showBubbleSize val="0"/>
        </c:dLbls>
        <c:gapWidth val="182"/>
        <c:axId val="404643736"/>
        <c:axId val="404644128"/>
      </c:barChart>
      <c:catAx>
        <c:axId val="4046437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04644128"/>
        <c:crosses val="autoZero"/>
        <c:auto val="1"/>
        <c:lblAlgn val="ctr"/>
        <c:lblOffset val="100"/>
        <c:noMultiLvlLbl val="0"/>
      </c:catAx>
      <c:valAx>
        <c:axId val="404644128"/>
        <c:scaling>
          <c:orientation val="minMax"/>
          <c:max val="10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4643736"/>
        <c:crosses val="autoZero"/>
        <c:crossBetween val="between"/>
        <c:majorUnit val="10"/>
      </c:valAx>
      <c:spPr>
        <a:noFill/>
        <a:ln>
          <a:solidFill>
            <a:schemeClr val="accent1"/>
          </a:solidFill>
        </a:ln>
        <a:effectLst/>
      </c:spPr>
    </c:plotArea>
    <c:legend>
      <c:legendPos val="b"/>
      <c:layout>
        <c:manualLayout>
          <c:xMode val="edge"/>
          <c:yMode val="edge"/>
          <c:x val="0.61538091526484406"/>
          <c:y val="0.97450346735658711"/>
          <c:w val="0.1379172991056167"/>
          <c:h val="2.51061788443594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Gradul mediu de implementare a SCIM la nivelul entităților publice subordonate ordonatorilor principali de credite, în perioada 2015-2016</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manualLayout>
          <c:layoutTarget val="inner"/>
          <c:xMode val="edge"/>
          <c:yMode val="edge"/>
          <c:x val="0.12320938828878306"/>
          <c:y val="0.26820064427059365"/>
          <c:w val="0.82928467346893664"/>
          <c:h val="0.51977272974334254"/>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0"/>
            <c:invertIfNegative val="0"/>
            <c:bubble3D val="0"/>
            <c:spPr>
              <a:solidFill>
                <a:srgbClr val="00B0F0"/>
              </a:solidFill>
              <a:ln>
                <a:noFill/>
              </a:ln>
              <a:effectLst/>
            </c:spPr>
          </c:dPt>
          <c:dPt>
            <c:idx val="1"/>
            <c:invertIfNegative val="0"/>
            <c:bubble3D val="0"/>
            <c:spPr>
              <a:solidFill>
                <a:schemeClr val="accent4">
                  <a:lumMod val="60000"/>
                  <a:lumOff val="40000"/>
                </a:schemeClr>
              </a:solidFill>
              <a:ln>
                <a:noFill/>
              </a:ln>
              <a:effectLst/>
            </c:spPr>
          </c:dPt>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88.94</c:v>
                </c:pt>
                <c:pt idx="1">
                  <c:v>90.14</c:v>
                </c:pt>
              </c:numCache>
            </c:numRef>
          </c:val>
        </c:ser>
        <c:dLbls>
          <c:showLegendKey val="0"/>
          <c:showVal val="0"/>
          <c:showCatName val="0"/>
          <c:showSerName val="0"/>
          <c:showPercent val="0"/>
          <c:showBubbleSize val="0"/>
        </c:dLbls>
        <c:gapWidth val="219"/>
        <c:overlap val="-27"/>
        <c:axId val="437275992"/>
        <c:axId val="437276384"/>
      </c:barChart>
      <c:catAx>
        <c:axId val="437275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76384"/>
        <c:crosses val="autoZero"/>
        <c:auto val="1"/>
        <c:lblAlgn val="ctr"/>
        <c:lblOffset val="100"/>
        <c:noMultiLvlLbl val="0"/>
      </c:catAx>
      <c:valAx>
        <c:axId val="437276384"/>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75992"/>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Gradul mediu de implementare a SCIM la nivelul ordonatorilor principali de credite, în perioada 2015-2016</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Column1</c:v>
                </c:pt>
              </c:strCache>
            </c:strRef>
          </c:tx>
          <c:spPr>
            <a:solidFill>
              <a:srgbClr val="00B0F0"/>
            </a:solidFill>
            <a:ln>
              <a:noFill/>
            </a:ln>
            <a:effectLst/>
          </c:spPr>
          <c:invertIfNegative val="0"/>
          <c:dPt>
            <c:idx val="1"/>
            <c:invertIfNegative val="0"/>
            <c:bubble3D val="0"/>
            <c:spPr>
              <a:solidFill>
                <a:schemeClr val="accent4">
                  <a:lumMod val="60000"/>
                  <a:lumOff val="40000"/>
                </a:schemeClr>
              </a:solidFill>
              <a:ln>
                <a:noFill/>
              </a:ln>
              <a:effectLst/>
            </c:spPr>
          </c:dPt>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80.650000000000006</c:v>
                </c:pt>
                <c:pt idx="1">
                  <c:v>78.25</c:v>
                </c:pt>
              </c:numCache>
            </c:numRef>
          </c:val>
        </c:ser>
        <c:dLbls>
          <c:showLegendKey val="0"/>
          <c:showVal val="0"/>
          <c:showCatName val="0"/>
          <c:showSerName val="0"/>
          <c:showPercent val="0"/>
          <c:showBubbleSize val="0"/>
        </c:dLbls>
        <c:gapWidth val="219"/>
        <c:overlap val="-27"/>
        <c:axId val="437277168"/>
        <c:axId val="437277560"/>
      </c:barChart>
      <c:catAx>
        <c:axId val="437277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77560"/>
        <c:crossesAt val="0"/>
        <c:auto val="1"/>
        <c:lblAlgn val="ctr"/>
        <c:lblOffset val="100"/>
        <c:noMultiLvlLbl val="0"/>
      </c:catAx>
      <c:valAx>
        <c:axId val="437277560"/>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77168"/>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chemeClr val="accent1">
                <a:lumMod val="75000"/>
              </a:schemeClr>
            </a:solidFill>
            <a:ln>
              <a:noFill/>
            </a:ln>
            <a:effectLst/>
          </c:spPr>
          <c:invertIfNegative val="0"/>
          <c:dLbls>
            <c:dLbl>
              <c:idx val="0"/>
              <c:tx>
                <c:rich>
                  <a:bodyPr/>
                  <a:lstStyle/>
                  <a:p>
                    <a:fld id="{CDDACF60-D618-4F3D-B5C3-29ABCCC92A5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A374911-F424-48A6-9531-8DFE31FD90E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90.38</c:v>
                </c:pt>
                <c:pt idx="1">
                  <c:v>94</c:v>
                </c:pt>
              </c:numCache>
            </c:numRef>
          </c:val>
        </c:ser>
        <c:ser>
          <c:idx val="1"/>
          <c:order val="1"/>
          <c:tx>
            <c:strRef>
              <c:f>Sheet1!$C$1</c:f>
              <c:strCache>
                <c:ptCount val="1"/>
                <c:pt idx="0">
                  <c:v>Entități publice subordonate</c:v>
                </c:pt>
              </c:strCache>
            </c:strRef>
          </c:tx>
          <c:spPr>
            <a:solidFill>
              <a:srgbClr val="FF0000"/>
            </a:solidFill>
            <a:ln>
              <a:noFill/>
            </a:ln>
            <a:effectLst/>
          </c:spPr>
          <c:invertIfNegative val="0"/>
          <c:dLbls>
            <c:dLbl>
              <c:idx val="0"/>
              <c:tx>
                <c:rich>
                  <a:bodyPr/>
                  <a:lstStyle/>
                  <a:p>
                    <a:fld id="{A0554371-5CFD-463A-8603-45963B2AD4A9}"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D38AD47-323D-4F0B-8FB9-51B0808987A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95.41</c:v>
                </c:pt>
                <c:pt idx="1">
                  <c:v>96.27</c:v>
                </c:pt>
              </c:numCache>
            </c:numRef>
          </c:val>
        </c:ser>
        <c:ser>
          <c:idx val="2"/>
          <c:order val="2"/>
          <c:tx>
            <c:strRef>
              <c:f>Sheet1!$D$1</c:f>
              <c:strCache>
                <c:ptCount val="1"/>
                <c:pt idx="0">
                  <c:v>Crestere</c:v>
                </c:pt>
              </c:strCache>
            </c:strRef>
          </c:tx>
          <c:spPr>
            <a:solidFill>
              <a:srgbClr val="00B050"/>
            </a:solidFill>
            <a:ln>
              <a:noFill/>
            </a:ln>
            <a:effectLst/>
          </c:spPr>
          <c:invertIfNegative val="0"/>
          <c:dLbls>
            <c:dLbl>
              <c:idx val="0"/>
              <c:tx>
                <c:rich>
                  <a:bodyPr/>
                  <a:lstStyle/>
                  <a:p>
                    <a:fld id="{0A5B3621-5F45-4F9F-9A36-9BF414B3627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B6EE8E2-1044-49BA-A378-4866F687E0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5.03</c:v>
                </c:pt>
                <c:pt idx="1">
                  <c:v>2.27</c:v>
                </c:pt>
              </c:numCache>
            </c:numRef>
          </c:val>
        </c:ser>
        <c:dLbls>
          <c:showLegendKey val="0"/>
          <c:showVal val="0"/>
          <c:showCatName val="0"/>
          <c:showSerName val="0"/>
          <c:showPercent val="0"/>
          <c:showBubbleSize val="0"/>
        </c:dLbls>
        <c:gapWidth val="219"/>
        <c:overlap val="-27"/>
        <c:axId val="437278344"/>
        <c:axId val="437278736"/>
      </c:barChart>
      <c:catAx>
        <c:axId val="437278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78736"/>
        <c:crosses val="autoZero"/>
        <c:auto val="1"/>
        <c:lblAlgn val="ctr"/>
        <c:lblOffset val="100"/>
        <c:noMultiLvlLbl val="0"/>
      </c:catAx>
      <c:valAx>
        <c:axId val="43727873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78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chemeClr val="accent1">
                <a:lumMod val="75000"/>
              </a:schemeClr>
            </a:solidFill>
            <a:ln>
              <a:noFill/>
            </a:ln>
            <a:effectLst/>
          </c:spPr>
          <c:invertIfNegative val="0"/>
          <c:dLbls>
            <c:dLbl>
              <c:idx val="0"/>
              <c:tx>
                <c:rich>
                  <a:bodyPr/>
                  <a:lstStyle/>
                  <a:p>
                    <a:fld id="{CDDACF60-D618-4F3D-B5C3-29ABCCC92A5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A374911-F424-48A6-9531-8DFE31FD90E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57.69</c:v>
                </c:pt>
                <c:pt idx="1">
                  <c:v>52</c:v>
                </c:pt>
              </c:numCache>
            </c:numRef>
          </c:val>
        </c:ser>
        <c:ser>
          <c:idx val="1"/>
          <c:order val="1"/>
          <c:tx>
            <c:strRef>
              <c:f>Sheet1!$C$1</c:f>
              <c:strCache>
                <c:ptCount val="1"/>
                <c:pt idx="0">
                  <c:v>Entități publice subordonate</c:v>
                </c:pt>
              </c:strCache>
            </c:strRef>
          </c:tx>
          <c:spPr>
            <a:solidFill>
              <a:srgbClr val="FF0000"/>
            </a:solidFill>
            <a:ln>
              <a:noFill/>
            </a:ln>
            <a:effectLst/>
          </c:spPr>
          <c:invertIfNegative val="0"/>
          <c:dLbls>
            <c:dLbl>
              <c:idx val="0"/>
              <c:tx>
                <c:rich>
                  <a:bodyPr/>
                  <a:lstStyle/>
                  <a:p>
                    <a:fld id="{A0554371-5CFD-463A-8603-45963B2AD4A9}"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D38AD47-323D-4F0B-8FB9-51B0808987A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90.34</c:v>
                </c:pt>
                <c:pt idx="1">
                  <c:v>91.33</c:v>
                </c:pt>
              </c:numCache>
            </c:numRef>
          </c:val>
        </c:ser>
        <c:ser>
          <c:idx val="2"/>
          <c:order val="2"/>
          <c:tx>
            <c:strRef>
              <c:f>Sheet1!$D$1</c:f>
              <c:strCache>
                <c:ptCount val="1"/>
                <c:pt idx="0">
                  <c:v>Crestere</c:v>
                </c:pt>
              </c:strCache>
            </c:strRef>
          </c:tx>
          <c:spPr>
            <a:solidFill>
              <a:srgbClr val="00B050"/>
            </a:solidFill>
            <a:ln>
              <a:noFill/>
            </a:ln>
            <a:effectLst/>
          </c:spPr>
          <c:invertIfNegative val="0"/>
          <c:dLbls>
            <c:dLbl>
              <c:idx val="0"/>
              <c:tx>
                <c:rich>
                  <a:bodyPr/>
                  <a:lstStyle/>
                  <a:p>
                    <a:fld id="{0A5B3621-5F45-4F9F-9A36-9BF414B3627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B6EE8E2-1044-49BA-A378-4866F687E0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32.65</c:v>
                </c:pt>
                <c:pt idx="1">
                  <c:v>39.33</c:v>
                </c:pt>
              </c:numCache>
            </c:numRef>
          </c:val>
        </c:ser>
        <c:dLbls>
          <c:showLegendKey val="0"/>
          <c:showVal val="0"/>
          <c:showCatName val="0"/>
          <c:showSerName val="0"/>
          <c:showPercent val="0"/>
          <c:showBubbleSize val="0"/>
        </c:dLbls>
        <c:gapWidth val="219"/>
        <c:overlap val="-27"/>
        <c:axId val="437279520"/>
        <c:axId val="437279912"/>
      </c:barChart>
      <c:catAx>
        <c:axId val="437279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79912"/>
        <c:crosses val="autoZero"/>
        <c:auto val="1"/>
        <c:lblAlgn val="ctr"/>
        <c:lblOffset val="100"/>
        <c:noMultiLvlLbl val="0"/>
      </c:catAx>
      <c:valAx>
        <c:axId val="43727991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79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chemeClr val="accent1">
                <a:lumMod val="75000"/>
              </a:schemeClr>
            </a:solidFill>
            <a:ln>
              <a:noFill/>
            </a:ln>
            <a:effectLst/>
          </c:spPr>
          <c:invertIfNegative val="0"/>
          <c:dLbls>
            <c:dLbl>
              <c:idx val="0"/>
              <c:tx>
                <c:rich>
                  <a:bodyPr/>
                  <a:lstStyle/>
                  <a:p>
                    <a:fld id="{CDDACF60-D618-4F3D-B5C3-29ABCCC92A5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A374911-F424-48A6-9531-8DFE31FD90E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88.46</c:v>
                </c:pt>
                <c:pt idx="1">
                  <c:v>82.22</c:v>
                </c:pt>
              </c:numCache>
            </c:numRef>
          </c:val>
        </c:ser>
        <c:ser>
          <c:idx val="1"/>
          <c:order val="1"/>
          <c:tx>
            <c:strRef>
              <c:f>Sheet1!$C$1</c:f>
              <c:strCache>
                <c:ptCount val="1"/>
                <c:pt idx="0">
                  <c:v>Entități publice subordonate</c:v>
                </c:pt>
              </c:strCache>
            </c:strRef>
          </c:tx>
          <c:spPr>
            <a:solidFill>
              <a:srgbClr val="FF0000"/>
            </a:solidFill>
            <a:ln>
              <a:noFill/>
            </a:ln>
            <a:effectLst/>
          </c:spPr>
          <c:invertIfNegative val="0"/>
          <c:dLbls>
            <c:dLbl>
              <c:idx val="0"/>
              <c:tx>
                <c:rich>
                  <a:bodyPr/>
                  <a:lstStyle/>
                  <a:p>
                    <a:fld id="{A0554371-5CFD-463A-8603-45963B2AD4A9}"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D38AD47-323D-4F0B-8FB9-51B0808987A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92.78</c:v>
                </c:pt>
                <c:pt idx="1">
                  <c:v>93.65</c:v>
                </c:pt>
              </c:numCache>
            </c:numRef>
          </c:val>
        </c:ser>
        <c:ser>
          <c:idx val="2"/>
          <c:order val="2"/>
          <c:tx>
            <c:strRef>
              <c:f>Sheet1!$D$1</c:f>
              <c:strCache>
                <c:ptCount val="1"/>
                <c:pt idx="0">
                  <c:v>Crestere</c:v>
                </c:pt>
              </c:strCache>
            </c:strRef>
          </c:tx>
          <c:spPr>
            <a:solidFill>
              <a:srgbClr val="00B050"/>
            </a:solidFill>
            <a:ln>
              <a:noFill/>
            </a:ln>
            <a:effectLst/>
          </c:spPr>
          <c:invertIfNegative val="0"/>
          <c:dLbls>
            <c:dLbl>
              <c:idx val="0"/>
              <c:tx>
                <c:rich>
                  <a:bodyPr/>
                  <a:lstStyle/>
                  <a:p>
                    <a:fld id="{0A5B3621-5F45-4F9F-9A36-9BF414B3627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B6EE8E2-1044-49BA-A378-4866F687E0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4.32</c:v>
                </c:pt>
                <c:pt idx="1">
                  <c:v>11.65</c:v>
                </c:pt>
              </c:numCache>
            </c:numRef>
          </c:val>
        </c:ser>
        <c:dLbls>
          <c:showLegendKey val="0"/>
          <c:showVal val="0"/>
          <c:showCatName val="0"/>
          <c:showSerName val="0"/>
          <c:showPercent val="0"/>
          <c:showBubbleSize val="0"/>
        </c:dLbls>
        <c:gapWidth val="219"/>
        <c:overlap val="-27"/>
        <c:axId val="437280696"/>
        <c:axId val="437281088"/>
      </c:barChart>
      <c:catAx>
        <c:axId val="437280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81088"/>
        <c:crosses val="autoZero"/>
        <c:auto val="1"/>
        <c:lblAlgn val="ctr"/>
        <c:lblOffset val="100"/>
        <c:noMultiLvlLbl val="0"/>
      </c:catAx>
      <c:valAx>
        <c:axId val="437281088"/>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806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chemeClr val="accent1">
                <a:lumMod val="75000"/>
              </a:schemeClr>
            </a:solidFill>
            <a:ln>
              <a:noFill/>
            </a:ln>
            <a:effectLst/>
          </c:spPr>
          <c:invertIfNegative val="0"/>
          <c:dLbls>
            <c:dLbl>
              <c:idx val="0"/>
              <c:tx>
                <c:rich>
                  <a:bodyPr/>
                  <a:lstStyle/>
                  <a:p>
                    <a:fld id="{CDDACF60-D618-4F3D-B5C3-29ABCCC92A5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A374911-F424-48A6-9531-8DFE31FD90E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92.31</c:v>
                </c:pt>
                <c:pt idx="1">
                  <c:v>90</c:v>
                </c:pt>
              </c:numCache>
            </c:numRef>
          </c:val>
        </c:ser>
        <c:ser>
          <c:idx val="1"/>
          <c:order val="1"/>
          <c:tx>
            <c:strRef>
              <c:f>Sheet1!$C$1</c:f>
              <c:strCache>
                <c:ptCount val="1"/>
                <c:pt idx="0">
                  <c:v>Entități publice subordonate</c:v>
                </c:pt>
              </c:strCache>
            </c:strRef>
          </c:tx>
          <c:spPr>
            <a:solidFill>
              <a:srgbClr val="FF0000"/>
            </a:solidFill>
            <a:ln>
              <a:noFill/>
            </a:ln>
            <a:effectLst/>
          </c:spPr>
          <c:invertIfNegative val="0"/>
          <c:dLbls>
            <c:dLbl>
              <c:idx val="0"/>
              <c:tx>
                <c:rich>
                  <a:bodyPr/>
                  <a:lstStyle/>
                  <a:p>
                    <a:fld id="{A0554371-5CFD-463A-8603-45963B2AD4A9}"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D38AD47-323D-4F0B-8FB9-51B0808987A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94.55</c:v>
                </c:pt>
                <c:pt idx="1">
                  <c:v>95.72</c:v>
                </c:pt>
              </c:numCache>
            </c:numRef>
          </c:val>
        </c:ser>
        <c:ser>
          <c:idx val="2"/>
          <c:order val="2"/>
          <c:tx>
            <c:strRef>
              <c:f>Sheet1!$D$1</c:f>
              <c:strCache>
                <c:ptCount val="1"/>
                <c:pt idx="0">
                  <c:v>Crestere</c:v>
                </c:pt>
              </c:strCache>
            </c:strRef>
          </c:tx>
          <c:spPr>
            <a:solidFill>
              <a:srgbClr val="00B050"/>
            </a:solidFill>
            <a:ln>
              <a:noFill/>
            </a:ln>
            <a:effectLst/>
          </c:spPr>
          <c:invertIfNegative val="0"/>
          <c:dLbls>
            <c:dLbl>
              <c:idx val="0"/>
              <c:tx>
                <c:rich>
                  <a:bodyPr/>
                  <a:lstStyle/>
                  <a:p>
                    <a:fld id="{0A5B3621-5F45-4F9F-9A36-9BF414B3627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B6EE8E2-1044-49BA-A378-4866F687E0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2.2400000000000002</c:v>
                </c:pt>
                <c:pt idx="1">
                  <c:v>5.72</c:v>
                </c:pt>
              </c:numCache>
            </c:numRef>
          </c:val>
        </c:ser>
        <c:dLbls>
          <c:showLegendKey val="0"/>
          <c:showVal val="0"/>
          <c:showCatName val="0"/>
          <c:showSerName val="0"/>
          <c:showPercent val="0"/>
          <c:showBubbleSize val="0"/>
        </c:dLbls>
        <c:gapWidth val="219"/>
        <c:overlap val="-27"/>
        <c:axId val="437281872"/>
        <c:axId val="437282264"/>
      </c:barChart>
      <c:catAx>
        <c:axId val="437281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82264"/>
        <c:crosses val="autoZero"/>
        <c:auto val="1"/>
        <c:lblAlgn val="ctr"/>
        <c:lblOffset val="100"/>
        <c:noMultiLvlLbl val="0"/>
      </c:catAx>
      <c:valAx>
        <c:axId val="437282264"/>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818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00B050"/>
            </a:solidFill>
            <a:ln>
              <a:noFill/>
            </a:ln>
            <a:effectLst/>
          </c:spPr>
          <c:invertIfNegative val="0"/>
          <c:dLbls>
            <c:dLbl>
              <c:idx val="0"/>
              <c:tx>
                <c:rich>
                  <a:bodyPr/>
                  <a:lstStyle/>
                  <a:p>
                    <a:fld id="{CDDACF60-D618-4F3D-B5C3-29ABCCC92A5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A374911-F424-48A6-9531-8DFE31FD90E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86.54</c:v>
                </c:pt>
                <c:pt idx="1">
                  <c:v>80</c:v>
                </c:pt>
              </c:numCache>
            </c:numRef>
          </c:val>
        </c:ser>
        <c:ser>
          <c:idx val="1"/>
          <c:order val="1"/>
          <c:tx>
            <c:strRef>
              <c:f>Sheet1!$C$1</c:f>
              <c:strCache>
                <c:ptCount val="1"/>
                <c:pt idx="0">
                  <c:v>Entități publice subordonate</c:v>
                </c:pt>
              </c:strCache>
            </c:strRef>
          </c:tx>
          <c:spPr>
            <a:solidFill>
              <a:schemeClr val="accent4">
                <a:lumMod val="40000"/>
                <a:lumOff val="60000"/>
              </a:schemeClr>
            </a:solidFill>
            <a:ln>
              <a:noFill/>
            </a:ln>
            <a:effectLst/>
          </c:spPr>
          <c:invertIfNegative val="0"/>
          <c:dLbls>
            <c:dLbl>
              <c:idx val="0"/>
              <c:tx>
                <c:rich>
                  <a:bodyPr/>
                  <a:lstStyle/>
                  <a:p>
                    <a:fld id="{A0554371-5CFD-463A-8603-45963B2AD4A9}"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D38AD47-323D-4F0B-8FB9-51B0808987A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92.59</c:v>
                </c:pt>
                <c:pt idx="1">
                  <c:v>92.69</c:v>
                </c:pt>
              </c:numCache>
            </c:numRef>
          </c:val>
        </c:ser>
        <c:ser>
          <c:idx val="2"/>
          <c:order val="2"/>
          <c:tx>
            <c:strRef>
              <c:f>Sheet1!$D$1</c:f>
              <c:strCache>
                <c:ptCount val="1"/>
                <c:pt idx="0">
                  <c:v>Crestere</c:v>
                </c:pt>
              </c:strCache>
            </c:strRef>
          </c:tx>
          <c:spPr>
            <a:solidFill>
              <a:srgbClr val="002060"/>
            </a:solidFill>
            <a:ln>
              <a:noFill/>
            </a:ln>
            <a:effectLst/>
          </c:spPr>
          <c:invertIfNegative val="0"/>
          <c:dLbls>
            <c:dLbl>
              <c:idx val="0"/>
              <c:tx>
                <c:rich>
                  <a:bodyPr/>
                  <a:lstStyle/>
                  <a:p>
                    <a:fld id="{0A5B3621-5F45-4F9F-9A36-9BF414B3627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B6EE8E2-1044-49BA-A378-4866F687E0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6.05</c:v>
                </c:pt>
                <c:pt idx="1">
                  <c:v>12.69</c:v>
                </c:pt>
              </c:numCache>
            </c:numRef>
          </c:val>
        </c:ser>
        <c:dLbls>
          <c:showLegendKey val="0"/>
          <c:showVal val="0"/>
          <c:showCatName val="0"/>
          <c:showSerName val="0"/>
          <c:showPercent val="0"/>
          <c:showBubbleSize val="0"/>
        </c:dLbls>
        <c:gapWidth val="219"/>
        <c:overlap val="-27"/>
        <c:axId val="437283048"/>
        <c:axId val="437283440"/>
      </c:barChart>
      <c:catAx>
        <c:axId val="437283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83440"/>
        <c:crosses val="autoZero"/>
        <c:auto val="1"/>
        <c:lblAlgn val="ctr"/>
        <c:lblOffset val="100"/>
        <c:noMultiLvlLbl val="0"/>
      </c:catAx>
      <c:valAx>
        <c:axId val="437283440"/>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83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00B050"/>
            </a:solidFill>
            <a:ln>
              <a:noFill/>
            </a:ln>
            <a:effectLst/>
          </c:spPr>
          <c:invertIfNegative val="0"/>
          <c:dLbls>
            <c:dLbl>
              <c:idx val="0"/>
              <c:tx>
                <c:rich>
                  <a:bodyPr/>
                  <a:lstStyle/>
                  <a:p>
                    <a:fld id="{CDDACF60-D618-4F3D-B5C3-29ABCCC92A5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A374911-F424-48A6-9531-8DFE31FD90E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84.62</c:v>
                </c:pt>
                <c:pt idx="1">
                  <c:v>82</c:v>
                </c:pt>
              </c:numCache>
            </c:numRef>
          </c:val>
        </c:ser>
        <c:ser>
          <c:idx val="1"/>
          <c:order val="1"/>
          <c:tx>
            <c:strRef>
              <c:f>Sheet1!$C$1</c:f>
              <c:strCache>
                <c:ptCount val="1"/>
                <c:pt idx="0">
                  <c:v>Entități publice subordonate</c:v>
                </c:pt>
              </c:strCache>
            </c:strRef>
          </c:tx>
          <c:spPr>
            <a:solidFill>
              <a:schemeClr val="accent4">
                <a:lumMod val="40000"/>
                <a:lumOff val="60000"/>
              </a:schemeClr>
            </a:solidFill>
            <a:ln>
              <a:noFill/>
            </a:ln>
            <a:effectLst/>
          </c:spPr>
          <c:invertIfNegative val="0"/>
          <c:dLbls>
            <c:dLbl>
              <c:idx val="0"/>
              <c:tx>
                <c:rich>
                  <a:bodyPr/>
                  <a:lstStyle/>
                  <a:p>
                    <a:fld id="{A0554371-5CFD-463A-8603-45963B2AD4A9}"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D38AD47-323D-4F0B-8FB9-51B0808987A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94.1</c:v>
                </c:pt>
                <c:pt idx="1">
                  <c:v>95.51</c:v>
                </c:pt>
              </c:numCache>
            </c:numRef>
          </c:val>
        </c:ser>
        <c:ser>
          <c:idx val="2"/>
          <c:order val="2"/>
          <c:tx>
            <c:strRef>
              <c:f>Sheet1!$D$1</c:f>
              <c:strCache>
                <c:ptCount val="1"/>
                <c:pt idx="0">
                  <c:v>Crestere</c:v>
                </c:pt>
              </c:strCache>
            </c:strRef>
          </c:tx>
          <c:spPr>
            <a:solidFill>
              <a:srgbClr val="002060"/>
            </a:solidFill>
            <a:ln>
              <a:noFill/>
            </a:ln>
            <a:effectLst/>
          </c:spPr>
          <c:invertIfNegative val="0"/>
          <c:dLbls>
            <c:dLbl>
              <c:idx val="0"/>
              <c:tx>
                <c:rich>
                  <a:bodyPr/>
                  <a:lstStyle/>
                  <a:p>
                    <a:fld id="{0A5B3621-5F45-4F9F-9A36-9BF414B3627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B6EE8E2-1044-49BA-A378-4866F687E0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9.48</c:v>
                </c:pt>
                <c:pt idx="1">
                  <c:v>13.51</c:v>
                </c:pt>
              </c:numCache>
            </c:numRef>
          </c:val>
        </c:ser>
        <c:dLbls>
          <c:showLegendKey val="0"/>
          <c:showVal val="0"/>
          <c:showCatName val="0"/>
          <c:showSerName val="0"/>
          <c:showPercent val="0"/>
          <c:showBubbleSize val="0"/>
        </c:dLbls>
        <c:gapWidth val="219"/>
        <c:overlap val="-27"/>
        <c:axId val="437284224"/>
        <c:axId val="437284616"/>
      </c:barChart>
      <c:catAx>
        <c:axId val="437284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84616"/>
        <c:crosses val="autoZero"/>
        <c:auto val="1"/>
        <c:lblAlgn val="ctr"/>
        <c:lblOffset val="100"/>
        <c:noMultiLvlLbl val="0"/>
      </c:catAx>
      <c:valAx>
        <c:axId val="43728461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842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00B050"/>
            </a:solidFill>
            <a:ln>
              <a:noFill/>
            </a:ln>
            <a:effectLst/>
          </c:spPr>
          <c:invertIfNegative val="0"/>
          <c:dLbls>
            <c:dLbl>
              <c:idx val="0"/>
              <c:tx>
                <c:rich>
                  <a:bodyPr/>
                  <a:lstStyle/>
                  <a:p>
                    <a:fld id="{CDDACF60-D618-4F3D-B5C3-29ABCCC92A5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A374911-F424-48A6-9531-8DFE31FD90E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75</c:v>
                </c:pt>
                <c:pt idx="1">
                  <c:v>78</c:v>
                </c:pt>
              </c:numCache>
            </c:numRef>
          </c:val>
        </c:ser>
        <c:ser>
          <c:idx val="1"/>
          <c:order val="1"/>
          <c:tx>
            <c:strRef>
              <c:f>Sheet1!$C$1</c:f>
              <c:strCache>
                <c:ptCount val="1"/>
                <c:pt idx="0">
                  <c:v>Entități publice subordonate</c:v>
                </c:pt>
              </c:strCache>
            </c:strRef>
          </c:tx>
          <c:spPr>
            <a:solidFill>
              <a:schemeClr val="accent4">
                <a:lumMod val="40000"/>
                <a:lumOff val="60000"/>
              </a:schemeClr>
            </a:solidFill>
            <a:ln>
              <a:noFill/>
            </a:ln>
            <a:effectLst/>
          </c:spPr>
          <c:invertIfNegative val="0"/>
          <c:dLbls>
            <c:dLbl>
              <c:idx val="0"/>
              <c:tx>
                <c:rich>
                  <a:bodyPr/>
                  <a:lstStyle/>
                  <a:p>
                    <a:fld id="{A0554371-5CFD-463A-8603-45963B2AD4A9}"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D38AD47-323D-4F0B-8FB9-51B0808987A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88.48</c:v>
                </c:pt>
                <c:pt idx="1">
                  <c:v>89.21</c:v>
                </c:pt>
              </c:numCache>
            </c:numRef>
          </c:val>
        </c:ser>
        <c:ser>
          <c:idx val="2"/>
          <c:order val="2"/>
          <c:tx>
            <c:strRef>
              <c:f>Sheet1!$D$1</c:f>
              <c:strCache>
                <c:ptCount val="1"/>
                <c:pt idx="0">
                  <c:v>Crestere</c:v>
                </c:pt>
              </c:strCache>
            </c:strRef>
          </c:tx>
          <c:spPr>
            <a:solidFill>
              <a:srgbClr val="002060"/>
            </a:solidFill>
            <a:ln>
              <a:noFill/>
            </a:ln>
            <a:effectLst/>
          </c:spPr>
          <c:invertIfNegative val="0"/>
          <c:dLbls>
            <c:dLbl>
              <c:idx val="0"/>
              <c:tx>
                <c:rich>
                  <a:bodyPr/>
                  <a:lstStyle/>
                  <a:p>
                    <a:fld id="{0A5B3621-5F45-4F9F-9A36-9BF414B3627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B6EE8E2-1044-49BA-A378-4866F687E0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13.48</c:v>
                </c:pt>
                <c:pt idx="1">
                  <c:v>11.21</c:v>
                </c:pt>
              </c:numCache>
            </c:numRef>
          </c:val>
        </c:ser>
        <c:dLbls>
          <c:showLegendKey val="0"/>
          <c:showVal val="0"/>
          <c:showCatName val="0"/>
          <c:showSerName val="0"/>
          <c:showPercent val="0"/>
          <c:showBubbleSize val="0"/>
        </c:dLbls>
        <c:gapWidth val="219"/>
        <c:overlap val="-27"/>
        <c:axId val="437285400"/>
        <c:axId val="437285792"/>
      </c:barChart>
      <c:catAx>
        <c:axId val="437285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85792"/>
        <c:crosses val="autoZero"/>
        <c:auto val="1"/>
        <c:lblAlgn val="ctr"/>
        <c:lblOffset val="100"/>
        <c:noMultiLvlLbl val="0"/>
      </c:catAx>
      <c:valAx>
        <c:axId val="43728579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85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00B050"/>
            </a:solidFill>
            <a:ln>
              <a:noFill/>
            </a:ln>
            <a:effectLst/>
          </c:spPr>
          <c:invertIfNegative val="0"/>
          <c:dLbls>
            <c:dLbl>
              <c:idx val="0"/>
              <c:tx>
                <c:rich>
                  <a:bodyPr/>
                  <a:lstStyle/>
                  <a:p>
                    <a:fld id="{CDDACF60-D618-4F3D-B5C3-29ABCCC92A5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A374911-F424-48A6-9531-8DFE31FD90E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69.23</c:v>
                </c:pt>
                <c:pt idx="1">
                  <c:v>70</c:v>
                </c:pt>
              </c:numCache>
            </c:numRef>
          </c:val>
        </c:ser>
        <c:ser>
          <c:idx val="1"/>
          <c:order val="1"/>
          <c:tx>
            <c:strRef>
              <c:f>Sheet1!$C$1</c:f>
              <c:strCache>
                <c:ptCount val="1"/>
                <c:pt idx="0">
                  <c:v>Entități publice subordonate</c:v>
                </c:pt>
              </c:strCache>
            </c:strRef>
          </c:tx>
          <c:spPr>
            <a:solidFill>
              <a:schemeClr val="accent4">
                <a:lumMod val="40000"/>
                <a:lumOff val="60000"/>
              </a:schemeClr>
            </a:solidFill>
            <a:ln>
              <a:noFill/>
            </a:ln>
            <a:effectLst/>
          </c:spPr>
          <c:invertIfNegative val="0"/>
          <c:dLbls>
            <c:dLbl>
              <c:idx val="0"/>
              <c:tx>
                <c:rich>
                  <a:bodyPr/>
                  <a:lstStyle/>
                  <a:p>
                    <a:fld id="{A0554371-5CFD-463A-8603-45963B2AD4A9}"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D38AD47-323D-4F0B-8FB9-51B0808987A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78.349999999999994</c:v>
                </c:pt>
                <c:pt idx="1">
                  <c:v>81.05</c:v>
                </c:pt>
              </c:numCache>
            </c:numRef>
          </c:val>
        </c:ser>
        <c:ser>
          <c:idx val="2"/>
          <c:order val="2"/>
          <c:tx>
            <c:strRef>
              <c:f>Sheet1!$D$1</c:f>
              <c:strCache>
                <c:ptCount val="1"/>
                <c:pt idx="0">
                  <c:v>Crestere</c:v>
                </c:pt>
              </c:strCache>
            </c:strRef>
          </c:tx>
          <c:spPr>
            <a:solidFill>
              <a:srgbClr val="002060"/>
            </a:solidFill>
            <a:ln>
              <a:noFill/>
            </a:ln>
            <a:effectLst/>
          </c:spPr>
          <c:invertIfNegative val="0"/>
          <c:dLbls>
            <c:dLbl>
              <c:idx val="0"/>
              <c:tx>
                <c:rich>
                  <a:bodyPr/>
                  <a:lstStyle/>
                  <a:p>
                    <a:fld id="{0A5B3621-5F45-4F9F-9A36-9BF414B3627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B6EE8E2-1044-49BA-A378-4866F687E0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9.1199999999999992</c:v>
                </c:pt>
                <c:pt idx="1">
                  <c:v>11.05</c:v>
                </c:pt>
              </c:numCache>
            </c:numRef>
          </c:val>
        </c:ser>
        <c:dLbls>
          <c:showLegendKey val="0"/>
          <c:showVal val="0"/>
          <c:showCatName val="0"/>
          <c:showSerName val="0"/>
          <c:showPercent val="0"/>
          <c:showBubbleSize val="0"/>
        </c:dLbls>
        <c:gapWidth val="219"/>
        <c:overlap val="-27"/>
        <c:axId val="437286576"/>
        <c:axId val="437286968"/>
      </c:barChart>
      <c:catAx>
        <c:axId val="437286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86968"/>
        <c:crosses val="autoZero"/>
        <c:auto val="1"/>
        <c:lblAlgn val="ctr"/>
        <c:lblOffset val="100"/>
        <c:noMultiLvlLbl val="0"/>
      </c:catAx>
      <c:valAx>
        <c:axId val="437286968"/>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86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200" b="0" i="0" u="none" strike="noStrike" baseline="0">
                <a:effectLst/>
              </a:rPr>
              <a:t>Gradul de implementare a standardelor de control intern managerial, la nivelul ordonatorilor principali de credite – aparat propriu, </a:t>
            </a:r>
            <a:r>
              <a:rPr lang="ro-RO" sz="1200" b="0" i="0" baseline="0">
                <a:effectLst/>
                <a:latin typeface="Times New Roman" panose="02020603050405020304" pitchFamily="18" charset="0"/>
                <a:cs typeface="Times New Roman" panose="02020603050405020304" pitchFamily="18" charset="0"/>
              </a:rPr>
              <a:t>în perioada 2015 - 2016</a:t>
            </a:r>
          </a:p>
          <a:p>
            <a:pPr>
              <a:defRPr sz="1200">
                <a:latin typeface="Times New Roman" panose="02020603050405020304" pitchFamily="18" charset="0"/>
                <a:cs typeface="Times New Roman" panose="02020603050405020304" pitchFamily="18" charset="0"/>
              </a:defRPr>
            </a:pPr>
            <a:endParaRPr lang="ro-RO" sz="1200" b="0" i="0" baseline="0">
              <a:effectLst/>
              <a:latin typeface="Times New Roman" panose="02020603050405020304" pitchFamily="18" charset="0"/>
              <a:cs typeface="Times New Roman" panose="02020603050405020304" pitchFamily="18" charset="0"/>
            </a:endParaRPr>
          </a:p>
          <a:p>
            <a:pPr>
              <a:defRPr sz="1200">
                <a:latin typeface="Times New Roman" panose="02020603050405020304" pitchFamily="18" charset="0"/>
                <a:cs typeface="Times New Roman" panose="02020603050405020304" pitchFamily="18" charset="0"/>
              </a:defRPr>
            </a:pPr>
            <a:r>
              <a:rPr lang="ro-RO" sz="1200" b="0" i="1" u="none" strike="noStrike" baseline="0">
                <a:effectLst/>
              </a:rPr>
              <a:t>Numarul de ordonatori principali de credite – aparat propriu, </a:t>
            </a:r>
          </a:p>
          <a:p>
            <a:pPr>
              <a:defRPr sz="1200">
                <a:latin typeface="Times New Roman" panose="02020603050405020304" pitchFamily="18" charset="0"/>
                <a:cs typeface="Times New Roman" panose="02020603050405020304" pitchFamily="18" charset="0"/>
              </a:defRPr>
            </a:pPr>
            <a:r>
              <a:rPr lang="ro-RO" sz="1200" b="0" i="1" u="none" strike="noStrike" baseline="0">
                <a:effectLst/>
              </a:rPr>
              <a:t>care au standardele </a:t>
            </a:r>
            <a:r>
              <a:rPr lang="ro-RO" sz="1200" b="0" i="1" baseline="0">
                <a:effectLst/>
                <a:latin typeface="Times New Roman" panose="02020603050405020304" pitchFamily="18" charset="0"/>
                <a:cs typeface="Times New Roman" panose="02020603050405020304" pitchFamily="18" charset="0"/>
              </a:rPr>
              <a:t>implementate (I)</a:t>
            </a:r>
            <a:endParaRPr lang="ro-RO" sz="1200" b="0">
              <a:effectLst/>
              <a:latin typeface="Times New Roman" panose="02020603050405020304" pitchFamily="18" charset="0"/>
              <a:cs typeface="Times New Roman" panose="02020603050405020304" pitchFamily="18" charset="0"/>
            </a:endParaRPr>
          </a:p>
        </c:rich>
      </c:tx>
      <c:layout>
        <c:manualLayout>
          <c:xMode val="edge"/>
          <c:yMode val="edge"/>
          <c:x val="0.11211752786220872"/>
          <c:y val="9.0293453724604959E-3"/>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General</c:formatCode>
                <c:ptCount val="16"/>
                <c:pt idx="0">
                  <c:v>47</c:v>
                </c:pt>
                <c:pt idx="1">
                  <c:v>30</c:v>
                </c:pt>
                <c:pt idx="2">
                  <c:v>46</c:v>
                </c:pt>
                <c:pt idx="3">
                  <c:v>48</c:v>
                </c:pt>
                <c:pt idx="4">
                  <c:v>45</c:v>
                </c:pt>
                <c:pt idx="5">
                  <c:v>44</c:v>
                </c:pt>
                <c:pt idx="6">
                  <c:v>39</c:v>
                </c:pt>
                <c:pt idx="7">
                  <c:v>36</c:v>
                </c:pt>
                <c:pt idx="8">
                  <c:v>33</c:v>
                </c:pt>
                <c:pt idx="9">
                  <c:v>40</c:v>
                </c:pt>
                <c:pt idx="10">
                  <c:v>35</c:v>
                </c:pt>
                <c:pt idx="11">
                  <c:v>49</c:v>
                </c:pt>
                <c:pt idx="12">
                  <c:v>38</c:v>
                </c:pt>
                <c:pt idx="13">
                  <c:v>47</c:v>
                </c:pt>
                <c:pt idx="14">
                  <c:v>47</c:v>
                </c:pt>
                <c:pt idx="15">
                  <c:v>47</c:v>
                </c:pt>
              </c:numCache>
            </c:numRef>
          </c:val>
        </c:ser>
        <c:ser>
          <c:idx val="1"/>
          <c:order val="1"/>
          <c:tx>
            <c:strRef>
              <c:f>Sheet1!$C$1</c:f>
              <c:strCache>
                <c:ptCount val="1"/>
                <c:pt idx="0">
                  <c:v>2016</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General</c:formatCode>
                <c:ptCount val="16"/>
                <c:pt idx="0">
                  <c:v>47</c:v>
                </c:pt>
                <c:pt idx="1">
                  <c:v>26</c:v>
                </c:pt>
                <c:pt idx="2">
                  <c:v>41</c:v>
                </c:pt>
                <c:pt idx="3">
                  <c:v>45</c:v>
                </c:pt>
                <c:pt idx="4">
                  <c:v>40</c:v>
                </c:pt>
                <c:pt idx="5">
                  <c:v>41</c:v>
                </c:pt>
                <c:pt idx="6">
                  <c:v>39</c:v>
                </c:pt>
                <c:pt idx="7">
                  <c:v>35</c:v>
                </c:pt>
                <c:pt idx="8">
                  <c:v>26</c:v>
                </c:pt>
                <c:pt idx="9">
                  <c:v>38</c:v>
                </c:pt>
                <c:pt idx="10">
                  <c:v>30</c:v>
                </c:pt>
                <c:pt idx="11">
                  <c:v>46</c:v>
                </c:pt>
                <c:pt idx="12">
                  <c:v>33</c:v>
                </c:pt>
                <c:pt idx="13">
                  <c:v>47</c:v>
                </c:pt>
                <c:pt idx="14">
                  <c:v>46</c:v>
                </c:pt>
                <c:pt idx="15">
                  <c:v>46</c:v>
                </c:pt>
              </c:numCache>
            </c:numRef>
          </c:val>
        </c:ser>
        <c:dLbls>
          <c:showLegendKey val="0"/>
          <c:showVal val="0"/>
          <c:showCatName val="0"/>
          <c:showSerName val="0"/>
          <c:showPercent val="0"/>
          <c:showBubbleSize val="0"/>
        </c:dLbls>
        <c:gapWidth val="182"/>
        <c:axId val="404644912"/>
        <c:axId val="404645304"/>
      </c:barChart>
      <c:catAx>
        <c:axId val="4046449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04645304"/>
        <c:crosses val="autoZero"/>
        <c:auto val="1"/>
        <c:lblAlgn val="ctr"/>
        <c:lblOffset val="100"/>
        <c:noMultiLvlLbl val="0"/>
      </c:catAx>
      <c:valAx>
        <c:axId val="40464530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4644912"/>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1379172991056167"/>
          <c:h val="2.51061788443594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7030A0"/>
            </a:solidFill>
            <a:ln>
              <a:noFill/>
            </a:ln>
            <a:effectLst/>
          </c:spPr>
          <c:invertIfNegative val="0"/>
          <c:dLbls>
            <c:dLbl>
              <c:idx val="0"/>
              <c:tx>
                <c:rich>
                  <a:bodyPr/>
                  <a:lstStyle/>
                  <a:p>
                    <a:fld id="{CDDACF60-D618-4F3D-B5C3-29ABCCC92A5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A374911-F424-48A6-9531-8DFE31FD90E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63.49</c:v>
                </c:pt>
                <c:pt idx="1">
                  <c:v>52</c:v>
                </c:pt>
              </c:numCache>
            </c:numRef>
          </c:val>
        </c:ser>
        <c:ser>
          <c:idx val="1"/>
          <c:order val="1"/>
          <c:tx>
            <c:strRef>
              <c:f>Sheet1!$C$1</c:f>
              <c:strCache>
                <c:ptCount val="1"/>
                <c:pt idx="0">
                  <c:v>Entități publice subordonate</c:v>
                </c:pt>
              </c:strCache>
            </c:strRef>
          </c:tx>
          <c:spPr>
            <a:solidFill>
              <a:schemeClr val="accent4">
                <a:lumMod val="40000"/>
                <a:lumOff val="60000"/>
              </a:schemeClr>
            </a:solidFill>
            <a:ln>
              <a:noFill/>
            </a:ln>
            <a:effectLst/>
          </c:spPr>
          <c:invertIfNegative val="0"/>
          <c:dLbls>
            <c:dLbl>
              <c:idx val="0"/>
              <c:tx>
                <c:rich>
                  <a:bodyPr/>
                  <a:lstStyle/>
                  <a:p>
                    <a:fld id="{A0554371-5CFD-463A-8603-45963B2AD4A9}"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D38AD47-323D-4F0B-8FB9-51B0808987A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81.55</c:v>
                </c:pt>
                <c:pt idx="1">
                  <c:v>82.91</c:v>
                </c:pt>
              </c:numCache>
            </c:numRef>
          </c:val>
        </c:ser>
        <c:ser>
          <c:idx val="2"/>
          <c:order val="2"/>
          <c:tx>
            <c:strRef>
              <c:f>Sheet1!$D$1</c:f>
              <c:strCache>
                <c:ptCount val="1"/>
                <c:pt idx="0">
                  <c:v>Crestere</c:v>
                </c:pt>
              </c:strCache>
            </c:strRef>
          </c:tx>
          <c:spPr>
            <a:solidFill>
              <a:schemeClr val="tx1"/>
            </a:solidFill>
            <a:ln>
              <a:noFill/>
            </a:ln>
            <a:effectLst/>
          </c:spPr>
          <c:invertIfNegative val="0"/>
          <c:dLbls>
            <c:dLbl>
              <c:idx val="0"/>
              <c:tx>
                <c:rich>
                  <a:bodyPr/>
                  <a:lstStyle/>
                  <a:p>
                    <a:fld id="{0A5B3621-5F45-4F9F-9A36-9BF414B3627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B6EE8E2-1044-49BA-A378-4866F687E0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18.09</c:v>
                </c:pt>
                <c:pt idx="1">
                  <c:v>30.91</c:v>
                </c:pt>
              </c:numCache>
            </c:numRef>
          </c:val>
        </c:ser>
        <c:dLbls>
          <c:showLegendKey val="0"/>
          <c:showVal val="0"/>
          <c:showCatName val="0"/>
          <c:showSerName val="0"/>
          <c:showPercent val="0"/>
          <c:showBubbleSize val="0"/>
        </c:dLbls>
        <c:gapWidth val="219"/>
        <c:overlap val="-27"/>
        <c:axId val="437287752"/>
        <c:axId val="437288144"/>
      </c:barChart>
      <c:catAx>
        <c:axId val="437287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88144"/>
        <c:crosses val="autoZero"/>
        <c:auto val="1"/>
        <c:lblAlgn val="ctr"/>
        <c:lblOffset val="100"/>
        <c:noMultiLvlLbl val="0"/>
      </c:catAx>
      <c:valAx>
        <c:axId val="437288144"/>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877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7030A0"/>
            </a:solidFill>
            <a:ln>
              <a:noFill/>
            </a:ln>
            <a:effectLst/>
          </c:spPr>
          <c:invertIfNegative val="0"/>
          <c:dLbls>
            <c:dLbl>
              <c:idx val="0"/>
              <c:tx>
                <c:rich>
                  <a:bodyPr/>
                  <a:lstStyle/>
                  <a:p>
                    <a:fld id="{CDDACF60-D618-4F3D-B5C3-29ABCCC92A5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A374911-F424-48A6-9531-8DFE31FD90E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76.92</c:v>
                </c:pt>
                <c:pt idx="1">
                  <c:v>76</c:v>
                </c:pt>
              </c:numCache>
            </c:numRef>
          </c:val>
        </c:ser>
        <c:ser>
          <c:idx val="1"/>
          <c:order val="1"/>
          <c:tx>
            <c:strRef>
              <c:f>Sheet1!$C$1</c:f>
              <c:strCache>
                <c:ptCount val="1"/>
                <c:pt idx="0">
                  <c:v>Entități publice subordonate</c:v>
                </c:pt>
              </c:strCache>
            </c:strRef>
          </c:tx>
          <c:spPr>
            <a:solidFill>
              <a:schemeClr val="accent4">
                <a:lumMod val="40000"/>
                <a:lumOff val="60000"/>
              </a:schemeClr>
            </a:solidFill>
            <a:ln>
              <a:noFill/>
            </a:ln>
            <a:effectLst/>
          </c:spPr>
          <c:invertIfNegative val="0"/>
          <c:dLbls>
            <c:dLbl>
              <c:idx val="0"/>
              <c:tx>
                <c:rich>
                  <a:bodyPr/>
                  <a:lstStyle/>
                  <a:p>
                    <a:fld id="{A0554371-5CFD-463A-8603-45963B2AD4A9}"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D38AD47-323D-4F0B-8FB9-51B0808987A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87.42</c:v>
                </c:pt>
                <c:pt idx="1">
                  <c:v>89.77</c:v>
                </c:pt>
              </c:numCache>
            </c:numRef>
          </c:val>
        </c:ser>
        <c:ser>
          <c:idx val="2"/>
          <c:order val="2"/>
          <c:tx>
            <c:strRef>
              <c:f>Sheet1!$D$1</c:f>
              <c:strCache>
                <c:ptCount val="1"/>
                <c:pt idx="0">
                  <c:v>Crestere</c:v>
                </c:pt>
              </c:strCache>
            </c:strRef>
          </c:tx>
          <c:spPr>
            <a:solidFill>
              <a:schemeClr val="tx1"/>
            </a:solidFill>
            <a:ln>
              <a:noFill/>
            </a:ln>
            <a:effectLst/>
          </c:spPr>
          <c:invertIfNegative val="0"/>
          <c:dLbls>
            <c:dLbl>
              <c:idx val="0"/>
              <c:tx>
                <c:rich>
                  <a:bodyPr/>
                  <a:lstStyle/>
                  <a:p>
                    <a:fld id="{0A5B3621-5F45-4F9F-9A36-9BF414B3627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B6EE8E2-1044-49BA-A378-4866F687E0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10.49</c:v>
                </c:pt>
                <c:pt idx="1">
                  <c:v>13.77</c:v>
                </c:pt>
              </c:numCache>
            </c:numRef>
          </c:val>
        </c:ser>
        <c:dLbls>
          <c:showLegendKey val="0"/>
          <c:showVal val="0"/>
          <c:showCatName val="0"/>
          <c:showSerName val="0"/>
          <c:showPercent val="0"/>
          <c:showBubbleSize val="0"/>
        </c:dLbls>
        <c:gapWidth val="219"/>
        <c:overlap val="-27"/>
        <c:axId val="437288928"/>
        <c:axId val="437289320"/>
      </c:barChart>
      <c:catAx>
        <c:axId val="437288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89320"/>
        <c:crosses val="autoZero"/>
        <c:auto val="1"/>
        <c:lblAlgn val="ctr"/>
        <c:lblOffset val="100"/>
        <c:noMultiLvlLbl val="0"/>
      </c:catAx>
      <c:valAx>
        <c:axId val="437289320"/>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88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7030A0"/>
            </a:solidFill>
            <a:ln>
              <a:noFill/>
            </a:ln>
            <a:effectLst/>
          </c:spPr>
          <c:invertIfNegative val="0"/>
          <c:dLbls>
            <c:dLbl>
              <c:idx val="0"/>
              <c:tx>
                <c:rich>
                  <a:bodyPr/>
                  <a:lstStyle/>
                  <a:p>
                    <a:fld id="{CDDACF60-D618-4F3D-B5C3-29ABCCC92A5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A374911-F424-48A6-9531-8DFE31FD90E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67.31</c:v>
                </c:pt>
                <c:pt idx="1">
                  <c:v>60</c:v>
                </c:pt>
              </c:numCache>
            </c:numRef>
          </c:val>
        </c:ser>
        <c:ser>
          <c:idx val="1"/>
          <c:order val="1"/>
          <c:tx>
            <c:strRef>
              <c:f>Sheet1!$C$1</c:f>
              <c:strCache>
                <c:ptCount val="1"/>
                <c:pt idx="0">
                  <c:v>Entități publice subordonate</c:v>
                </c:pt>
              </c:strCache>
            </c:strRef>
          </c:tx>
          <c:spPr>
            <a:solidFill>
              <a:schemeClr val="accent4">
                <a:lumMod val="40000"/>
                <a:lumOff val="60000"/>
              </a:schemeClr>
            </a:solidFill>
            <a:ln>
              <a:noFill/>
            </a:ln>
            <a:effectLst/>
          </c:spPr>
          <c:invertIfNegative val="0"/>
          <c:dLbls>
            <c:dLbl>
              <c:idx val="0"/>
              <c:tx>
                <c:rich>
                  <a:bodyPr/>
                  <a:lstStyle/>
                  <a:p>
                    <a:fld id="{A0554371-5CFD-463A-8603-45963B2AD4A9}"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D38AD47-323D-4F0B-8FB9-51B0808987A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88.67</c:v>
                </c:pt>
                <c:pt idx="1">
                  <c:v>89.36</c:v>
                </c:pt>
              </c:numCache>
            </c:numRef>
          </c:val>
        </c:ser>
        <c:ser>
          <c:idx val="2"/>
          <c:order val="2"/>
          <c:tx>
            <c:strRef>
              <c:f>Sheet1!$D$1</c:f>
              <c:strCache>
                <c:ptCount val="1"/>
                <c:pt idx="0">
                  <c:v>Crestere</c:v>
                </c:pt>
              </c:strCache>
            </c:strRef>
          </c:tx>
          <c:spPr>
            <a:solidFill>
              <a:schemeClr val="tx1"/>
            </a:solidFill>
            <a:ln>
              <a:noFill/>
            </a:ln>
            <a:effectLst/>
          </c:spPr>
          <c:invertIfNegative val="0"/>
          <c:dLbls>
            <c:dLbl>
              <c:idx val="0"/>
              <c:tx>
                <c:rich>
                  <a:bodyPr/>
                  <a:lstStyle/>
                  <a:p>
                    <a:fld id="{0A5B3621-5F45-4F9F-9A36-9BF414B3627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B6EE8E2-1044-49BA-A378-4866F687E0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21.36</c:v>
                </c:pt>
                <c:pt idx="1">
                  <c:v>29.36</c:v>
                </c:pt>
              </c:numCache>
            </c:numRef>
          </c:val>
        </c:ser>
        <c:dLbls>
          <c:showLegendKey val="0"/>
          <c:showVal val="0"/>
          <c:showCatName val="0"/>
          <c:showSerName val="0"/>
          <c:showPercent val="0"/>
          <c:showBubbleSize val="0"/>
        </c:dLbls>
        <c:gapWidth val="219"/>
        <c:overlap val="-27"/>
        <c:axId val="437290104"/>
        <c:axId val="437290496"/>
      </c:barChart>
      <c:catAx>
        <c:axId val="437290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0496"/>
        <c:crosses val="autoZero"/>
        <c:auto val="1"/>
        <c:lblAlgn val="ctr"/>
        <c:lblOffset val="100"/>
        <c:noMultiLvlLbl val="0"/>
      </c:catAx>
      <c:valAx>
        <c:axId val="43729049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0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0070C0"/>
            </a:solidFill>
            <a:ln>
              <a:noFill/>
            </a:ln>
            <a:effectLst/>
          </c:spPr>
          <c:invertIfNegative val="0"/>
          <c:dLbls>
            <c:dLbl>
              <c:idx val="0"/>
              <c:tx>
                <c:rich>
                  <a:bodyPr/>
                  <a:lstStyle/>
                  <a:p>
                    <a:fld id="{CDDACF60-D618-4F3D-B5C3-29ABCCC92A5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A374911-F424-48A6-9531-8DFE31FD90E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94.23</c:v>
                </c:pt>
                <c:pt idx="1">
                  <c:v>92</c:v>
                </c:pt>
              </c:numCache>
            </c:numRef>
          </c:val>
        </c:ser>
        <c:ser>
          <c:idx val="1"/>
          <c:order val="1"/>
          <c:tx>
            <c:strRef>
              <c:f>Sheet1!$C$1</c:f>
              <c:strCache>
                <c:ptCount val="1"/>
                <c:pt idx="0">
                  <c:v>Entități publice subordonate</c:v>
                </c:pt>
              </c:strCache>
            </c:strRef>
          </c:tx>
          <c:spPr>
            <a:solidFill>
              <a:schemeClr val="accent6">
                <a:lumMod val="40000"/>
                <a:lumOff val="60000"/>
              </a:schemeClr>
            </a:solidFill>
            <a:ln>
              <a:noFill/>
            </a:ln>
            <a:effectLst/>
          </c:spPr>
          <c:invertIfNegative val="0"/>
          <c:dLbls>
            <c:dLbl>
              <c:idx val="0"/>
              <c:tx>
                <c:rich>
                  <a:bodyPr/>
                  <a:lstStyle/>
                  <a:p>
                    <a:fld id="{A0554371-5CFD-463A-8603-45963B2AD4A9}"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D38AD47-323D-4F0B-8FB9-51B0808987A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94.89</c:v>
                </c:pt>
                <c:pt idx="1">
                  <c:v>95.92</c:v>
                </c:pt>
              </c:numCache>
            </c:numRef>
          </c:val>
        </c:ser>
        <c:ser>
          <c:idx val="2"/>
          <c:order val="2"/>
          <c:tx>
            <c:strRef>
              <c:f>Sheet1!$D$1</c:f>
              <c:strCache>
                <c:ptCount val="1"/>
                <c:pt idx="0">
                  <c:v>Crestere</c:v>
                </c:pt>
              </c:strCache>
            </c:strRef>
          </c:tx>
          <c:spPr>
            <a:solidFill>
              <a:schemeClr val="accent4">
                <a:lumMod val="60000"/>
                <a:lumOff val="40000"/>
              </a:schemeClr>
            </a:solidFill>
            <a:ln>
              <a:noFill/>
            </a:ln>
            <a:effectLst/>
          </c:spPr>
          <c:invertIfNegative val="0"/>
          <c:dLbls>
            <c:dLbl>
              <c:idx val="0"/>
              <c:tx>
                <c:rich>
                  <a:bodyPr/>
                  <a:lstStyle/>
                  <a:p>
                    <a:fld id="{0A5B3621-5F45-4F9F-9A36-9BF414B3627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B6EE8E2-1044-49BA-A378-4866F687E0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0.65</c:v>
                </c:pt>
                <c:pt idx="1">
                  <c:v>3.92</c:v>
                </c:pt>
              </c:numCache>
            </c:numRef>
          </c:val>
        </c:ser>
        <c:dLbls>
          <c:showLegendKey val="0"/>
          <c:showVal val="0"/>
          <c:showCatName val="0"/>
          <c:showSerName val="0"/>
          <c:showPercent val="0"/>
          <c:showBubbleSize val="0"/>
        </c:dLbls>
        <c:gapWidth val="219"/>
        <c:overlap val="-27"/>
        <c:axId val="437291280"/>
        <c:axId val="437291672"/>
      </c:barChart>
      <c:catAx>
        <c:axId val="437291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1672"/>
        <c:crosses val="autoZero"/>
        <c:auto val="1"/>
        <c:lblAlgn val="ctr"/>
        <c:lblOffset val="100"/>
        <c:noMultiLvlLbl val="0"/>
      </c:catAx>
      <c:valAx>
        <c:axId val="43729167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1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0070C0"/>
            </a:solidFill>
            <a:ln>
              <a:noFill/>
            </a:ln>
            <a:effectLst/>
          </c:spPr>
          <c:invertIfNegative val="0"/>
          <c:dLbls>
            <c:dLbl>
              <c:idx val="0"/>
              <c:tx>
                <c:rich>
                  <a:bodyPr/>
                  <a:lstStyle/>
                  <a:p>
                    <a:fld id="{CDDACF60-D618-4F3D-B5C3-29ABCCC92A5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A374911-F424-48A6-9531-8DFE31FD90E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73.08</c:v>
                </c:pt>
                <c:pt idx="1">
                  <c:v>66</c:v>
                </c:pt>
              </c:numCache>
            </c:numRef>
          </c:val>
        </c:ser>
        <c:ser>
          <c:idx val="1"/>
          <c:order val="1"/>
          <c:tx>
            <c:strRef>
              <c:f>Sheet1!$C$1</c:f>
              <c:strCache>
                <c:ptCount val="1"/>
                <c:pt idx="0">
                  <c:v>Entități publice subordonate</c:v>
                </c:pt>
              </c:strCache>
            </c:strRef>
          </c:tx>
          <c:spPr>
            <a:solidFill>
              <a:schemeClr val="accent6">
                <a:lumMod val="40000"/>
                <a:lumOff val="60000"/>
              </a:schemeClr>
            </a:solidFill>
            <a:ln>
              <a:noFill/>
            </a:ln>
            <a:effectLst/>
          </c:spPr>
          <c:invertIfNegative val="0"/>
          <c:dLbls>
            <c:dLbl>
              <c:idx val="0"/>
              <c:tx>
                <c:rich>
                  <a:bodyPr/>
                  <a:lstStyle/>
                  <a:p>
                    <a:fld id="{A0554371-5CFD-463A-8603-45963B2AD4A9}"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D38AD47-323D-4F0B-8FB9-51B0808987A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90.34</c:v>
                </c:pt>
                <c:pt idx="1">
                  <c:v>91.58</c:v>
                </c:pt>
              </c:numCache>
            </c:numRef>
          </c:val>
        </c:ser>
        <c:ser>
          <c:idx val="2"/>
          <c:order val="2"/>
          <c:tx>
            <c:strRef>
              <c:f>Sheet1!$D$1</c:f>
              <c:strCache>
                <c:ptCount val="1"/>
                <c:pt idx="0">
                  <c:v>Crestere</c:v>
                </c:pt>
              </c:strCache>
            </c:strRef>
          </c:tx>
          <c:spPr>
            <a:solidFill>
              <a:schemeClr val="accent4">
                <a:lumMod val="60000"/>
                <a:lumOff val="40000"/>
              </a:schemeClr>
            </a:solidFill>
            <a:ln>
              <a:noFill/>
            </a:ln>
            <a:effectLst/>
          </c:spPr>
          <c:invertIfNegative val="0"/>
          <c:dLbls>
            <c:dLbl>
              <c:idx val="0"/>
              <c:tx>
                <c:rich>
                  <a:bodyPr/>
                  <a:lstStyle/>
                  <a:p>
                    <a:fld id="{0A5B3621-5F45-4F9F-9A36-9BF414B3627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B6EE8E2-1044-49BA-A378-4866F687E0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17.27</c:v>
                </c:pt>
                <c:pt idx="1">
                  <c:v>25.58</c:v>
                </c:pt>
              </c:numCache>
            </c:numRef>
          </c:val>
        </c:ser>
        <c:dLbls>
          <c:showLegendKey val="0"/>
          <c:showVal val="0"/>
          <c:showCatName val="0"/>
          <c:showSerName val="0"/>
          <c:showPercent val="0"/>
          <c:showBubbleSize val="0"/>
        </c:dLbls>
        <c:gapWidth val="219"/>
        <c:overlap val="-27"/>
        <c:axId val="437292456"/>
        <c:axId val="437292848"/>
      </c:barChart>
      <c:catAx>
        <c:axId val="437292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2848"/>
        <c:crosses val="autoZero"/>
        <c:auto val="1"/>
        <c:lblAlgn val="ctr"/>
        <c:lblOffset val="100"/>
        <c:noMultiLvlLbl val="0"/>
      </c:catAx>
      <c:valAx>
        <c:axId val="437292848"/>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24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0070C0"/>
            </a:solidFill>
            <a:ln>
              <a:noFill/>
            </a:ln>
            <a:effectLst/>
          </c:spPr>
          <c:invertIfNegative val="0"/>
          <c:dLbls>
            <c:dLbl>
              <c:idx val="0"/>
              <c:tx>
                <c:rich>
                  <a:bodyPr/>
                  <a:lstStyle/>
                  <a:p>
                    <a:fld id="{CDDACF60-D618-4F3D-B5C3-29ABCCC92A5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A374911-F424-48A6-9531-8DFE31FD90E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90.38</c:v>
                </c:pt>
                <c:pt idx="1">
                  <c:v>94</c:v>
                </c:pt>
              </c:numCache>
            </c:numRef>
          </c:val>
        </c:ser>
        <c:ser>
          <c:idx val="1"/>
          <c:order val="1"/>
          <c:tx>
            <c:strRef>
              <c:f>Sheet1!$C$1</c:f>
              <c:strCache>
                <c:ptCount val="1"/>
                <c:pt idx="0">
                  <c:v>Entități publice subordonate</c:v>
                </c:pt>
              </c:strCache>
            </c:strRef>
          </c:tx>
          <c:spPr>
            <a:solidFill>
              <a:schemeClr val="accent6">
                <a:lumMod val="40000"/>
                <a:lumOff val="60000"/>
              </a:schemeClr>
            </a:solidFill>
            <a:ln>
              <a:noFill/>
            </a:ln>
            <a:effectLst/>
          </c:spPr>
          <c:invertIfNegative val="0"/>
          <c:dLbls>
            <c:dLbl>
              <c:idx val="0"/>
              <c:tx>
                <c:rich>
                  <a:bodyPr/>
                  <a:lstStyle/>
                  <a:p>
                    <a:fld id="{A0554371-5CFD-463A-8603-45963B2AD4A9}"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D38AD47-323D-4F0B-8FB9-51B0808987A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94.94</c:v>
                </c:pt>
                <c:pt idx="1">
                  <c:v>95.97</c:v>
                </c:pt>
              </c:numCache>
            </c:numRef>
          </c:val>
        </c:ser>
        <c:ser>
          <c:idx val="2"/>
          <c:order val="2"/>
          <c:tx>
            <c:strRef>
              <c:f>Sheet1!$D$1</c:f>
              <c:strCache>
                <c:ptCount val="1"/>
                <c:pt idx="0">
                  <c:v>Crestere</c:v>
                </c:pt>
              </c:strCache>
            </c:strRef>
          </c:tx>
          <c:spPr>
            <a:solidFill>
              <a:schemeClr val="accent4">
                <a:lumMod val="60000"/>
                <a:lumOff val="40000"/>
              </a:schemeClr>
            </a:solidFill>
            <a:ln>
              <a:noFill/>
            </a:ln>
            <a:effectLst/>
          </c:spPr>
          <c:invertIfNegative val="0"/>
          <c:dLbls>
            <c:dLbl>
              <c:idx val="0"/>
              <c:tx>
                <c:rich>
                  <a:bodyPr/>
                  <a:lstStyle/>
                  <a:p>
                    <a:fld id="{0A5B3621-5F45-4F9F-9A36-9BF414B3627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B6EE8E2-1044-49BA-A378-4866F687E0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4.55</c:v>
                </c:pt>
                <c:pt idx="1">
                  <c:v>1.97</c:v>
                </c:pt>
              </c:numCache>
            </c:numRef>
          </c:val>
        </c:ser>
        <c:dLbls>
          <c:showLegendKey val="0"/>
          <c:showVal val="0"/>
          <c:showCatName val="0"/>
          <c:showSerName val="0"/>
          <c:showPercent val="0"/>
          <c:showBubbleSize val="0"/>
        </c:dLbls>
        <c:gapWidth val="219"/>
        <c:overlap val="-27"/>
        <c:axId val="437293632"/>
        <c:axId val="437294024"/>
      </c:barChart>
      <c:catAx>
        <c:axId val="437293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4024"/>
        <c:crosses val="autoZero"/>
        <c:auto val="1"/>
        <c:lblAlgn val="ctr"/>
        <c:lblOffset val="100"/>
        <c:noMultiLvlLbl val="0"/>
      </c:catAx>
      <c:valAx>
        <c:axId val="437294024"/>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36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chemeClr val="accent1">
                <a:lumMod val="75000"/>
              </a:schemeClr>
            </a:solidFill>
            <a:ln>
              <a:noFill/>
            </a:ln>
            <a:effectLst/>
          </c:spPr>
          <c:invertIfNegative val="0"/>
          <c:dLbls>
            <c:dLbl>
              <c:idx val="0"/>
              <c:tx>
                <c:rich>
                  <a:bodyPr/>
                  <a:lstStyle/>
                  <a:p>
                    <a:fld id="{CDDACF60-D618-4F3D-B5C3-29ABCCC92A5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A374911-F424-48A6-9531-8DFE31FD90E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90.38</c:v>
                </c:pt>
                <c:pt idx="1">
                  <c:v>92</c:v>
                </c:pt>
              </c:numCache>
            </c:numRef>
          </c:val>
        </c:ser>
        <c:ser>
          <c:idx val="1"/>
          <c:order val="1"/>
          <c:tx>
            <c:strRef>
              <c:f>Sheet1!$C$1</c:f>
              <c:strCache>
                <c:ptCount val="1"/>
                <c:pt idx="0">
                  <c:v>Entități publice subordonate</c:v>
                </c:pt>
              </c:strCache>
            </c:strRef>
          </c:tx>
          <c:spPr>
            <a:solidFill>
              <a:srgbClr val="FF0000"/>
            </a:solidFill>
            <a:ln>
              <a:noFill/>
            </a:ln>
            <a:effectLst/>
          </c:spPr>
          <c:invertIfNegative val="0"/>
          <c:dLbls>
            <c:dLbl>
              <c:idx val="0"/>
              <c:tx>
                <c:rich>
                  <a:bodyPr/>
                  <a:lstStyle/>
                  <a:p>
                    <a:fld id="{A0554371-5CFD-463A-8603-45963B2AD4A9}"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D38AD47-323D-4F0B-8FB9-51B0808987A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91.3</c:v>
                </c:pt>
                <c:pt idx="1">
                  <c:v>92.99</c:v>
                </c:pt>
              </c:numCache>
            </c:numRef>
          </c:val>
        </c:ser>
        <c:ser>
          <c:idx val="2"/>
          <c:order val="2"/>
          <c:tx>
            <c:strRef>
              <c:f>Sheet1!$D$1</c:f>
              <c:strCache>
                <c:ptCount val="1"/>
                <c:pt idx="0">
                  <c:v>Crestere</c:v>
                </c:pt>
              </c:strCache>
            </c:strRef>
          </c:tx>
          <c:spPr>
            <a:solidFill>
              <a:srgbClr val="00B050"/>
            </a:solidFill>
            <a:ln>
              <a:noFill/>
            </a:ln>
            <a:effectLst/>
          </c:spPr>
          <c:invertIfNegative val="0"/>
          <c:dLbls>
            <c:dLbl>
              <c:idx val="0"/>
              <c:tx>
                <c:rich>
                  <a:bodyPr/>
                  <a:lstStyle/>
                  <a:p>
                    <a:fld id="{0A5B3621-5F45-4F9F-9A36-9BF414B3627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B6EE8E2-1044-49BA-A378-4866F687E0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0.92</c:v>
                </c:pt>
                <c:pt idx="1">
                  <c:v>0.99</c:v>
                </c:pt>
              </c:numCache>
            </c:numRef>
          </c:val>
        </c:ser>
        <c:dLbls>
          <c:showLegendKey val="0"/>
          <c:showVal val="0"/>
          <c:showCatName val="0"/>
          <c:showSerName val="0"/>
          <c:showPercent val="0"/>
          <c:showBubbleSize val="0"/>
        </c:dLbls>
        <c:gapWidth val="219"/>
        <c:overlap val="-27"/>
        <c:axId val="437294808"/>
        <c:axId val="437295200"/>
      </c:barChart>
      <c:catAx>
        <c:axId val="437294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5200"/>
        <c:crosses val="autoZero"/>
        <c:auto val="1"/>
        <c:lblAlgn val="ctr"/>
        <c:lblOffset val="100"/>
        <c:noMultiLvlLbl val="0"/>
      </c:catAx>
      <c:valAx>
        <c:axId val="437295200"/>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4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chemeClr val="accent1">
                <a:lumMod val="75000"/>
              </a:schemeClr>
            </a:solidFill>
            <a:ln>
              <a:noFill/>
            </a:ln>
            <a:effectLst/>
          </c:spPr>
          <c:invertIfNegative val="0"/>
          <c:dLbls>
            <c:dLbl>
              <c:idx val="0"/>
              <c:tx>
                <c:rich>
                  <a:bodyPr/>
                  <a:lstStyle/>
                  <a:p>
                    <a:fld id="{CDDACF60-D618-4F3D-B5C3-29ABCCC92A5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A374911-F424-48A6-9531-8DFE31FD90E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90.38</c:v>
                </c:pt>
                <c:pt idx="1">
                  <c:v>92</c:v>
                </c:pt>
              </c:numCache>
            </c:numRef>
          </c:val>
        </c:ser>
        <c:ser>
          <c:idx val="1"/>
          <c:order val="1"/>
          <c:tx>
            <c:strRef>
              <c:f>Sheet1!$C$1</c:f>
              <c:strCache>
                <c:ptCount val="1"/>
                <c:pt idx="0">
                  <c:v>Entități publice subordonate</c:v>
                </c:pt>
              </c:strCache>
            </c:strRef>
          </c:tx>
          <c:spPr>
            <a:solidFill>
              <a:srgbClr val="FF0000"/>
            </a:solidFill>
            <a:ln>
              <a:noFill/>
            </a:ln>
            <a:effectLst/>
          </c:spPr>
          <c:invertIfNegative val="0"/>
          <c:dLbls>
            <c:dLbl>
              <c:idx val="0"/>
              <c:tx>
                <c:rich>
                  <a:bodyPr/>
                  <a:lstStyle/>
                  <a:p>
                    <a:fld id="{A0554371-5CFD-463A-8603-45963B2AD4A9}"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D38AD47-323D-4F0B-8FB9-51B0808987A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67.349999999999994</c:v>
                </c:pt>
                <c:pt idx="1">
                  <c:v>68.27</c:v>
                </c:pt>
              </c:numCache>
            </c:numRef>
          </c:val>
        </c:ser>
        <c:ser>
          <c:idx val="2"/>
          <c:order val="2"/>
          <c:tx>
            <c:strRef>
              <c:f>Sheet1!$D$1</c:f>
              <c:strCache>
                <c:ptCount val="1"/>
                <c:pt idx="0">
                  <c:v>Crestere</c:v>
                </c:pt>
              </c:strCache>
            </c:strRef>
          </c:tx>
          <c:spPr>
            <a:solidFill>
              <a:srgbClr val="00B050"/>
            </a:solidFill>
            <a:ln>
              <a:noFill/>
            </a:ln>
            <a:effectLst/>
          </c:spPr>
          <c:invertIfNegative val="0"/>
          <c:dLbls>
            <c:dLbl>
              <c:idx val="0"/>
              <c:tx>
                <c:rich>
                  <a:bodyPr/>
                  <a:lstStyle/>
                  <a:p>
                    <a:fld id="{0A5B3621-5F45-4F9F-9A36-9BF414B3627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B6EE8E2-1044-49BA-A378-4866F687E09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-23.04</c:v>
                </c:pt>
                <c:pt idx="1">
                  <c:v>-23.73</c:v>
                </c:pt>
              </c:numCache>
            </c:numRef>
          </c:val>
        </c:ser>
        <c:dLbls>
          <c:showLegendKey val="0"/>
          <c:showVal val="0"/>
          <c:showCatName val="0"/>
          <c:showSerName val="0"/>
          <c:showPercent val="0"/>
          <c:showBubbleSize val="0"/>
        </c:dLbls>
        <c:gapWidth val="219"/>
        <c:overlap val="-27"/>
        <c:axId val="437295984"/>
        <c:axId val="437296376"/>
      </c:barChart>
      <c:catAx>
        <c:axId val="437295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6376"/>
        <c:crosses val="autoZero"/>
        <c:auto val="1"/>
        <c:lblAlgn val="ctr"/>
        <c:lblOffset val="100"/>
        <c:noMultiLvlLbl val="0"/>
      </c:catAx>
      <c:valAx>
        <c:axId val="43729637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59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Gradul mediu de implementare a SCIM din aparatul propriu și entități publice subordonate, în perioada 2015-2016</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Aparat propriu</c:v>
                </c:pt>
              </c:strCache>
            </c:strRef>
          </c:tx>
          <c:spPr>
            <a:solidFill>
              <a:srgbClr val="00B0F0"/>
            </a:solidFill>
            <a:ln>
              <a:noFill/>
            </a:ln>
            <a:effectLst/>
          </c:spPr>
          <c:invertIfNegative val="0"/>
          <c:dPt>
            <c:idx val="1"/>
            <c:invertIfNegative val="0"/>
            <c:bubble3D val="0"/>
            <c:spPr>
              <a:solidFill>
                <a:srgbClr val="00B0F0"/>
              </a:solidFill>
              <a:ln>
                <a:noFill/>
              </a:ln>
              <a:effectLst/>
            </c:spPr>
          </c:dPt>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2015</c:v>
                </c:pt>
                <c:pt idx="1">
                  <c:v>2016</c:v>
                </c:pt>
                <c:pt idx="2">
                  <c:v>Creștere absoluta 2016-2015</c:v>
                </c:pt>
              </c:strCache>
            </c:strRef>
          </c:cat>
          <c:val>
            <c:numRef>
              <c:f>Sheet1!$B$2:$B$4</c:f>
              <c:numCache>
                <c:formatCode>0.00</c:formatCode>
                <c:ptCount val="3"/>
                <c:pt idx="0">
                  <c:v>80.650000000000006</c:v>
                </c:pt>
                <c:pt idx="1">
                  <c:v>78.25</c:v>
                </c:pt>
              </c:numCache>
            </c:numRef>
          </c:val>
        </c:ser>
        <c:ser>
          <c:idx val="1"/>
          <c:order val="1"/>
          <c:tx>
            <c:strRef>
              <c:f>Sheet1!$C$1</c:f>
              <c:strCache>
                <c:ptCount val="1"/>
                <c:pt idx="0">
                  <c:v>Entități publice subordonate</c:v>
                </c:pt>
              </c:strCache>
            </c:strRef>
          </c:tx>
          <c:spPr>
            <a:solidFill>
              <a:schemeClr val="accent4">
                <a:lumMod val="60000"/>
                <a:lumOff val="40000"/>
              </a:schemeClr>
            </a:solidFill>
            <a:ln>
              <a:noFill/>
            </a:ln>
            <a:effectLst/>
          </c:spPr>
          <c:invertIfNegative val="0"/>
          <c:dLbls>
            <c:dLbl>
              <c:idx val="0"/>
              <c:tx>
                <c:rich>
                  <a:bodyPr/>
                  <a:lstStyle/>
                  <a:p>
                    <a:fld id="{D60B26D2-06D5-46EF-A9D9-7C4EE5B4924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3155318-F2AE-4C5E-A464-D8E92D927A7F}"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2015</c:v>
                </c:pt>
                <c:pt idx="1">
                  <c:v>2016</c:v>
                </c:pt>
                <c:pt idx="2">
                  <c:v>Creștere absoluta 2016-2015</c:v>
                </c:pt>
              </c:strCache>
            </c:strRef>
          </c:cat>
          <c:val>
            <c:numRef>
              <c:f>Sheet1!$C$2:$C$4</c:f>
              <c:numCache>
                <c:formatCode>General</c:formatCode>
                <c:ptCount val="3"/>
                <c:pt idx="0">
                  <c:v>88.94</c:v>
                </c:pt>
                <c:pt idx="1">
                  <c:v>90.14</c:v>
                </c:pt>
              </c:numCache>
            </c:numRef>
          </c:val>
        </c:ser>
        <c:ser>
          <c:idx val="2"/>
          <c:order val="2"/>
          <c:tx>
            <c:strRef>
              <c:f>Sheet1!$D$1</c:f>
              <c:strCache>
                <c:ptCount val="1"/>
                <c:pt idx="0">
                  <c:v>Creștere</c:v>
                </c:pt>
              </c:strCache>
            </c:strRef>
          </c:tx>
          <c:spPr>
            <a:solidFill>
              <a:srgbClr val="002060"/>
            </a:solidFill>
            <a:ln>
              <a:noFill/>
            </a:ln>
            <a:effectLst/>
          </c:spPr>
          <c:invertIfNegative val="0"/>
          <c:dPt>
            <c:idx val="2"/>
            <c:invertIfNegative val="0"/>
            <c:bubble3D val="0"/>
            <c:spPr>
              <a:solidFill>
                <a:srgbClr val="FF0000"/>
              </a:solidFill>
              <a:ln>
                <a:noFill/>
              </a:ln>
              <a:effectLst/>
            </c:spPr>
          </c:dPt>
          <c:dLbls>
            <c:dLbl>
              <c:idx val="0"/>
              <c:tx>
                <c:rich>
                  <a:bodyPr/>
                  <a:lstStyle/>
                  <a:p>
                    <a:fld id="{3053C329-EAD7-439F-9853-A1DCE873545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BC0F2D0A-C0F1-4A78-97EF-3F7919235A87}"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tx>
                <c:rich>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fld id="{69A2DA4A-6CE1-40ED-A392-48500A17F3B9}" type="VALUE">
                      <a:rPr lang="en-US" sz="1200" b="1"/>
                      <a:pPr>
                        <a:defRPr sz="1200" b="1"/>
                      </a:pPr>
                      <a:t>[VALUE]</a:t>
                    </a:fld>
                    <a:r>
                      <a:rPr lang="en-US" sz="1200" b="1"/>
                      <a:t>%</a:t>
                    </a:r>
                  </a:p>
                </c:rich>
              </c:tx>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2015</c:v>
                </c:pt>
                <c:pt idx="1">
                  <c:v>2016</c:v>
                </c:pt>
                <c:pt idx="2">
                  <c:v>Creștere absoluta 2016-2015</c:v>
                </c:pt>
              </c:strCache>
            </c:strRef>
          </c:cat>
          <c:val>
            <c:numRef>
              <c:f>Sheet1!$D$2:$D$4</c:f>
              <c:numCache>
                <c:formatCode>General</c:formatCode>
                <c:ptCount val="3"/>
                <c:pt idx="0">
                  <c:v>8.2899999999999991</c:v>
                </c:pt>
                <c:pt idx="1">
                  <c:v>11.89</c:v>
                </c:pt>
                <c:pt idx="2">
                  <c:v>3.6</c:v>
                </c:pt>
              </c:numCache>
            </c:numRef>
          </c:val>
        </c:ser>
        <c:dLbls>
          <c:showLegendKey val="0"/>
          <c:showVal val="0"/>
          <c:showCatName val="0"/>
          <c:showSerName val="0"/>
          <c:showPercent val="0"/>
          <c:showBubbleSize val="0"/>
        </c:dLbls>
        <c:gapWidth val="219"/>
        <c:overlap val="-27"/>
        <c:axId val="437297160"/>
        <c:axId val="437297552"/>
      </c:barChart>
      <c:catAx>
        <c:axId val="437297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7552"/>
        <c:crossesAt val="0"/>
        <c:auto val="1"/>
        <c:lblAlgn val="ctr"/>
        <c:lblOffset val="100"/>
        <c:noMultiLvlLbl val="0"/>
      </c:catAx>
      <c:valAx>
        <c:axId val="437297552"/>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7160"/>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Numărul ordonatorilor principali de credite cu SCIM conform, parțial conform, neconform, în perioada 2014-2016</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Conform</c:v>
                </c:pt>
              </c:strCache>
            </c:strRef>
          </c:tx>
          <c:spPr>
            <a:solidFill>
              <a:srgbClr val="00B0F0"/>
            </a:solidFill>
            <a:ln>
              <a:noFill/>
            </a:ln>
            <a:effectLst/>
          </c:spPr>
          <c:invertIfNegative val="0"/>
          <c:dPt>
            <c:idx val="1"/>
            <c:invertIfNegative val="0"/>
            <c:bubble3D val="0"/>
            <c:spPr>
              <a:solidFill>
                <a:srgbClr val="00B0F0"/>
              </a:solidFill>
              <a:ln>
                <a:noFill/>
              </a:ln>
              <a:effectLst/>
            </c:spPr>
          </c:dPt>
          <c:dLbls>
            <c:dLbl>
              <c:idx val="0"/>
              <c:tx>
                <c:rich>
                  <a:bodyPr/>
                  <a:lstStyle/>
                  <a:p>
                    <a:fld id="{2EFAB282-6A27-4B79-BCFD-AABFFC695906}" type="VALUE">
                      <a:rPr lang="en-US"/>
                      <a:pPr/>
                      <a:t>[VALUE]</a:t>
                    </a:fld>
                    <a:endParaRPr lang="ro-RO"/>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r>
                      <a:rPr lang="en-US"/>
                      <a:t>15</a:t>
                    </a:r>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12</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2014</c:v>
                </c:pt>
                <c:pt idx="1">
                  <c:v>2015</c:v>
                </c:pt>
                <c:pt idx="2">
                  <c:v>2016</c:v>
                </c:pt>
              </c:numCache>
            </c:numRef>
          </c:cat>
          <c:val>
            <c:numRef>
              <c:f>Sheet1!$B$2:$B$4</c:f>
              <c:numCache>
                <c:formatCode>0</c:formatCode>
                <c:ptCount val="3"/>
                <c:pt idx="0">
                  <c:v>13</c:v>
                </c:pt>
                <c:pt idx="1">
                  <c:v>15</c:v>
                </c:pt>
                <c:pt idx="2">
                  <c:v>12</c:v>
                </c:pt>
              </c:numCache>
            </c:numRef>
          </c:val>
        </c:ser>
        <c:ser>
          <c:idx val="1"/>
          <c:order val="1"/>
          <c:tx>
            <c:strRef>
              <c:f>Sheet1!$C$1</c:f>
              <c:strCache>
                <c:ptCount val="1"/>
                <c:pt idx="0">
                  <c:v>Parțial conform</c:v>
                </c:pt>
              </c:strCache>
            </c:strRef>
          </c:tx>
          <c:spPr>
            <a:solidFill>
              <a:schemeClr val="accent4">
                <a:lumMod val="60000"/>
                <a:lumOff val="40000"/>
              </a:schemeClr>
            </a:solidFill>
            <a:ln>
              <a:noFill/>
            </a:ln>
            <a:effectLst/>
          </c:spPr>
          <c:invertIfNegative val="0"/>
          <c:dLbls>
            <c:dLbl>
              <c:idx val="0"/>
              <c:tx>
                <c:rich>
                  <a:bodyPr/>
                  <a:lstStyle/>
                  <a:p>
                    <a:r>
                      <a:rPr lang="en-US"/>
                      <a:t>41</a:t>
                    </a:r>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t>37</a:t>
                    </a:r>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38</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2014</c:v>
                </c:pt>
                <c:pt idx="1">
                  <c:v>2015</c:v>
                </c:pt>
                <c:pt idx="2">
                  <c:v>2016</c:v>
                </c:pt>
              </c:numCache>
            </c:numRef>
          </c:cat>
          <c:val>
            <c:numRef>
              <c:f>Sheet1!$C$2:$C$4</c:f>
              <c:numCache>
                <c:formatCode>0</c:formatCode>
                <c:ptCount val="3"/>
                <c:pt idx="0">
                  <c:v>41</c:v>
                </c:pt>
                <c:pt idx="1">
                  <c:v>37</c:v>
                </c:pt>
                <c:pt idx="2">
                  <c:v>38</c:v>
                </c:pt>
              </c:numCache>
            </c:numRef>
          </c:val>
        </c:ser>
        <c:ser>
          <c:idx val="2"/>
          <c:order val="2"/>
          <c:tx>
            <c:strRef>
              <c:f>Sheet1!$D$1</c:f>
              <c:strCache>
                <c:ptCount val="1"/>
                <c:pt idx="0">
                  <c:v>Neconform</c:v>
                </c:pt>
              </c:strCache>
            </c:strRef>
          </c:tx>
          <c:spPr>
            <a:solidFill>
              <a:srgbClr val="002060"/>
            </a:solidFill>
            <a:ln>
              <a:noFill/>
            </a:ln>
            <a:effectLst/>
          </c:spPr>
          <c:invertIfNegative val="0"/>
          <c:dLbls>
            <c:dLbl>
              <c:idx val="0"/>
              <c:tx>
                <c:rich>
                  <a:bodyPr/>
                  <a:lstStyle/>
                  <a:p>
                    <a:r>
                      <a:rPr lang="en-US"/>
                      <a:t>0</a:t>
                    </a:r>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t>0</a:t>
                    </a:r>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0</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2014</c:v>
                </c:pt>
                <c:pt idx="1">
                  <c:v>2015</c:v>
                </c:pt>
                <c:pt idx="2">
                  <c:v>2016</c:v>
                </c:pt>
              </c:numCache>
            </c:numRef>
          </c:cat>
          <c:val>
            <c:numRef>
              <c:f>Sheet1!$D$2:$D$4</c:f>
              <c:numCache>
                <c:formatCode>0</c:formatCode>
                <c:ptCount val="3"/>
                <c:pt idx="0">
                  <c:v>0</c:v>
                </c:pt>
                <c:pt idx="1">
                  <c:v>0</c:v>
                </c:pt>
                <c:pt idx="2">
                  <c:v>0</c:v>
                </c:pt>
              </c:numCache>
            </c:numRef>
          </c:val>
        </c:ser>
        <c:dLbls>
          <c:showLegendKey val="0"/>
          <c:showVal val="0"/>
          <c:showCatName val="0"/>
          <c:showSerName val="0"/>
          <c:showPercent val="0"/>
          <c:showBubbleSize val="0"/>
        </c:dLbls>
        <c:gapWidth val="219"/>
        <c:overlap val="-27"/>
        <c:axId val="437298336"/>
        <c:axId val="437298728"/>
      </c:barChart>
      <c:catAx>
        <c:axId val="437298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8728"/>
        <c:crossesAt val="0"/>
        <c:auto val="1"/>
        <c:lblAlgn val="ctr"/>
        <c:lblOffset val="100"/>
        <c:noMultiLvlLbl val="0"/>
      </c:catAx>
      <c:valAx>
        <c:axId val="437298728"/>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8336"/>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0" i="0" u="none" strike="noStrike" baseline="0">
                <a:effectLst/>
              </a:rPr>
              <a:t>Gradul de implementare a standardelor de control intern managerial, la nivelul ordonatorilor principali de credite (OPC) – aparat propriu, </a:t>
            </a:r>
            <a:r>
              <a:rPr lang="ro-RO" sz="1100" b="0" i="0" baseline="0">
                <a:effectLst/>
                <a:latin typeface="Times New Roman" panose="02020603050405020304" pitchFamily="18" charset="0"/>
                <a:cs typeface="Times New Roman" panose="02020603050405020304" pitchFamily="18" charset="0"/>
              </a:rPr>
              <a:t>în perioada 2015-2016</a:t>
            </a:r>
          </a:p>
          <a:p>
            <a:pPr>
              <a:defRPr sz="1100">
                <a:latin typeface="Times New Roman" panose="02020603050405020304" pitchFamily="18" charset="0"/>
                <a:cs typeface="Times New Roman" panose="02020603050405020304" pitchFamily="18" charset="0"/>
              </a:defRPr>
            </a:pPr>
            <a:endParaRPr lang="ro-RO" sz="1100" b="0" i="0" baseline="0">
              <a:effectLst/>
              <a:latin typeface="Times New Roman" panose="02020603050405020304" pitchFamily="18" charset="0"/>
              <a:cs typeface="Times New Roman" panose="02020603050405020304" pitchFamily="18" charset="0"/>
            </a:endParaRPr>
          </a:p>
          <a:p>
            <a:pPr>
              <a:defRPr sz="1100">
                <a:latin typeface="Times New Roman" panose="02020603050405020304" pitchFamily="18" charset="0"/>
                <a:cs typeface="Times New Roman" panose="02020603050405020304" pitchFamily="18" charset="0"/>
              </a:defRPr>
            </a:pPr>
            <a:r>
              <a:rPr lang="ro-RO" sz="1100" b="0" i="1" u="none" strike="noStrike" baseline="0">
                <a:effectLst/>
              </a:rPr>
              <a:t>Numarul OPC– aparat propriu, care au standardele parțial </a:t>
            </a:r>
            <a:r>
              <a:rPr lang="ro-RO" sz="1100" b="0" i="1" baseline="0">
                <a:effectLst/>
                <a:latin typeface="Times New Roman" panose="02020603050405020304" pitchFamily="18" charset="0"/>
                <a:cs typeface="Times New Roman" panose="02020603050405020304" pitchFamily="18" charset="0"/>
              </a:rPr>
              <a:t>implementate (PI)</a:t>
            </a:r>
            <a:endParaRPr lang="ro-RO" sz="1100" b="0">
              <a:effectLst/>
              <a:latin typeface="Times New Roman" panose="02020603050405020304" pitchFamily="18" charset="0"/>
              <a:cs typeface="Times New Roman" panose="02020603050405020304" pitchFamily="18" charset="0"/>
            </a:endParaRPr>
          </a:p>
        </c:rich>
      </c:tx>
      <c:layout>
        <c:manualLayout>
          <c:xMode val="edge"/>
          <c:yMode val="edge"/>
          <c:x val="0.11211752786220872"/>
          <c:y val="9.0293453724604959E-3"/>
        </c:manualLayout>
      </c:layout>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General</c:formatCode>
                <c:ptCount val="16"/>
                <c:pt idx="0">
                  <c:v>5</c:v>
                </c:pt>
                <c:pt idx="1">
                  <c:v>18</c:v>
                </c:pt>
                <c:pt idx="2">
                  <c:v>5</c:v>
                </c:pt>
                <c:pt idx="3">
                  <c:v>3</c:v>
                </c:pt>
                <c:pt idx="4">
                  <c:v>6</c:v>
                </c:pt>
                <c:pt idx="5">
                  <c:v>8</c:v>
                </c:pt>
                <c:pt idx="6">
                  <c:v>10</c:v>
                </c:pt>
                <c:pt idx="7">
                  <c:v>11</c:v>
                </c:pt>
                <c:pt idx="8">
                  <c:v>18</c:v>
                </c:pt>
                <c:pt idx="9">
                  <c:v>10</c:v>
                </c:pt>
                <c:pt idx="10">
                  <c:v>14</c:v>
                </c:pt>
                <c:pt idx="11">
                  <c:v>2</c:v>
                </c:pt>
                <c:pt idx="12">
                  <c:v>14</c:v>
                </c:pt>
                <c:pt idx="13">
                  <c:v>5</c:v>
                </c:pt>
                <c:pt idx="14">
                  <c:v>5</c:v>
                </c:pt>
                <c:pt idx="15">
                  <c:v>4</c:v>
                </c:pt>
              </c:numCache>
            </c:numRef>
          </c:val>
        </c:ser>
        <c:ser>
          <c:idx val="1"/>
          <c:order val="1"/>
          <c:tx>
            <c:strRef>
              <c:f>Sheet1!$C$1</c:f>
              <c:strCache>
                <c:ptCount val="1"/>
                <c:pt idx="0">
                  <c:v>2016</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General</c:formatCode>
                <c:ptCount val="16"/>
                <c:pt idx="0">
                  <c:v>3</c:v>
                </c:pt>
                <c:pt idx="1">
                  <c:v>19</c:v>
                </c:pt>
                <c:pt idx="2">
                  <c:v>7</c:v>
                </c:pt>
                <c:pt idx="3">
                  <c:v>5</c:v>
                </c:pt>
                <c:pt idx="4">
                  <c:v>9</c:v>
                </c:pt>
                <c:pt idx="5">
                  <c:v>9</c:v>
                </c:pt>
                <c:pt idx="6">
                  <c:v>10</c:v>
                </c:pt>
                <c:pt idx="7">
                  <c:v>14</c:v>
                </c:pt>
                <c:pt idx="8">
                  <c:v>21</c:v>
                </c:pt>
                <c:pt idx="9">
                  <c:v>12</c:v>
                </c:pt>
                <c:pt idx="10">
                  <c:v>18</c:v>
                </c:pt>
                <c:pt idx="11">
                  <c:v>4</c:v>
                </c:pt>
                <c:pt idx="12">
                  <c:v>16</c:v>
                </c:pt>
                <c:pt idx="13">
                  <c:v>3</c:v>
                </c:pt>
                <c:pt idx="14">
                  <c:v>4</c:v>
                </c:pt>
                <c:pt idx="15">
                  <c:v>3</c:v>
                </c:pt>
              </c:numCache>
            </c:numRef>
          </c:val>
        </c:ser>
        <c:dLbls>
          <c:showLegendKey val="0"/>
          <c:showVal val="0"/>
          <c:showCatName val="0"/>
          <c:showSerName val="0"/>
          <c:showPercent val="0"/>
          <c:showBubbleSize val="0"/>
        </c:dLbls>
        <c:gapWidth val="182"/>
        <c:axId val="259411320"/>
        <c:axId val="259411712"/>
      </c:barChart>
      <c:catAx>
        <c:axId val="2594113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259411712"/>
        <c:crosses val="autoZero"/>
        <c:auto val="1"/>
        <c:lblAlgn val="ctr"/>
        <c:lblOffset val="100"/>
        <c:noMultiLvlLbl val="0"/>
      </c:catAx>
      <c:valAx>
        <c:axId val="2594117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11320"/>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1379172991056167"/>
          <c:h val="2.51061788443594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Gradul de conformitate a SCIM la ordonatorii principali de credite, în perioada 2014-2016</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Conform</c:v>
                </c:pt>
              </c:strCache>
            </c:strRef>
          </c:tx>
          <c:spPr>
            <a:solidFill>
              <a:srgbClr val="00B0F0"/>
            </a:solidFill>
            <a:ln>
              <a:noFill/>
            </a:ln>
            <a:effectLst/>
          </c:spPr>
          <c:invertIfNegative val="0"/>
          <c:dPt>
            <c:idx val="1"/>
            <c:invertIfNegative val="0"/>
            <c:bubble3D val="0"/>
            <c:spPr>
              <a:solidFill>
                <a:srgbClr val="00B0F0"/>
              </a:solidFill>
              <a:ln>
                <a:noFill/>
              </a:ln>
              <a:effectLst/>
            </c:spPr>
          </c:dPt>
          <c:dLbls>
            <c:dLbl>
              <c:idx val="0"/>
              <c:tx>
                <c:rich>
                  <a:bodyPr/>
                  <a:lstStyle/>
                  <a:p>
                    <a:fld id="{2EFAB282-6A27-4B79-BCFD-AABFFC69590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tx>
                <c:rich>
                  <a:bodyPr/>
                  <a:lstStyle/>
                  <a:p>
                    <a:fld id="{9F2189AB-DE48-4F94-891C-B2393A0D5CF2}"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2014</c:v>
                </c:pt>
                <c:pt idx="1">
                  <c:v>2015</c:v>
                </c:pt>
                <c:pt idx="2">
                  <c:v>2016</c:v>
                </c:pt>
              </c:numCache>
            </c:numRef>
          </c:cat>
          <c:val>
            <c:numRef>
              <c:f>Sheet1!$B$2:$B$4</c:f>
              <c:numCache>
                <c:formatCode>0.00</c:formatCode>
                <c:ptCount val="3"/>
                <c:pt idx="0">
                  <c:v>24.07</c:v>
                </c:pt>
                <c:pt idx="1">
                  <c:v>28.85</c:v>
                </c:pt>
                <c:pt idx="2">
                  <c:v>24</c:v>
                </c:pt>
              </c:numCache>
            </c:numRef>
          </c:val>
        </c:ser>
        <c:ser>
          <c:idx val="1"/>
          <c:order val="1"/>
          <c:tx>
            <c:strRef>
              <c:f>Sheet1!$C$1</c:f>
              <c:strCache>
                <c:ptCount val="1"/>
                <c:pt idx="0">
                  <c:v>Parțial conform</c:v>
                </c:pt>
              </c:strCache>
            </c:strRef>
          </c:tx>
          <c:spPr>
            <a:solidFill>
              <a:schemeClr val="accent4">
                <a:lumMod val="60000"/>
                <a:lumOff val="40000"/>
              </a:schemeClr>
            </a:solidFill>
            <a:ln>
              <a:noFill/>
            </a:ln>
            <a:effectLst/>
          </c:spPr>
          <c:invertIfNegative val="0"/>
          <c:dLbls>
            <c:dLbl>
              <c:idx val="0"/>
              <c:tx>
                <c:rich>
                  <a:bodyPr/>
                  <a:lstStyle/>
                  <a:p>
                    <a:fld id="{D60B26D2-06D5-46EF-A9D9-7C4EE5B4924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3155318-F2AE-4C5E-A464-D8E92D927A7F}"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tx>
                <c:rich>
                  <a:bodyPr/>
                  <a:lstStyle/>
                  <a:p>
                    <a:fld id="{4B4C0D0A-6502-4D8F-9975-454DCC90294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2014</c:v>
                </c:pt>
                <c:pt idx="1">
                  <c:v>2015</c:v>
                </c:pt>
                <c:pt idx="2">
                  <c:v>2016</c:v>
                </c:pt>
              </c:numCache>
            </c:numRef>
          </c:cat>
          <c:val>
            <c:numRef>
              <c:f>Sheet1!$C$2:$C$4</c:f>
              <c:numCache>
                <c:formatCode>0.00</c:formatCode>
                <c:ptCount val="3"/>
                <c:pt idx="0">
                  <c:v>75.930000000000007</c:v>
                </c:pt>
                <c:pt idx="1">
                  <c:v>71.150000000000006</c:v>
                </c:pt>
                <c:pt idx="2">
                  <c:v>76</c:v>
                </c:pt>
              </c:numCache>
            </c:numRef>
          </c:val>
        </c:ser>
        <c:ser>
          <c:idx val="2"/>
          <c:order val="2"/>
          <c:tx>
            <c:strRef>
              <c:f>Sheet1!$D$1</c:f>
              <c:strCache>
                <c:ptCount val="1"/>
                <c:pt idx="0">
                  <c:v>Neconform</c:v>
                </c:pt>
              </c:strCache>
            </c:strRef>
          </c:tx>
          <c:spPr>
            <a:solidFill>
              <a:srgbClr val="002060"/>
            </a:solidFill>
            <a:ln>
              <a:noFill/>
            </a:ln>
            <a:effectLst/>
          </c:spPr>
          <c:invertIfNegative val="0"/>
          <c:dLbls>
            <c:dLbl>
              <c:idx val="0"/>
              <c:tx>
                <c:rich>
                  <a:bodyPr/>
                  <a:lstStyle/>
                  <a:p>
                    <a:fld id="{3053C329-EAD7-439F-9853-A1DCE873545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BC0F2D0A-C0F1-4A78-97EF-3F7919235A87}"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tx>
                <c:rich>
                  <a:bodyPr/>
                  <a:lstStyle/>
                  <a:p>
                    <a:fld id="{77E955D1-6ACD-4584-89D4-E4EB4534E9AA}"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2014</c:v>
                </c:pt>
                <c:pt idx="1">
                  <c:v>2015</c:v>
                </c:pt>
                <c:pt idx="2">
                  <c:v>2016</c:v>
                </c:pt>
              </c:numCache>
            </c:numRef>
          </c:cat>
          <c:val>
            <c:numRef>
              <c:f>Sheet1!$D$2:$D$4</c:f>
              <c:numCache>
                <c:formatCode>0.00</c:formatCode>
                <c:ptCount val="3"/>
                <c:pt idx="0">
                  <c:v>0</c:v>
                </c:pt>
                <c:pt idx="1">
                  <c:v>0</c:v>
                </c:pt>
                <c:pt idx="2">
                  <c:v>0</c:v>
                </c:pt>
              </c:numCache>
            </c:numRef>
          </c:val>
        </c:ser>
        <c:dLbls>
          <c:showLegendKey val="0"/>
          <c:showVal val="0"/>
          <c:showCatName val="0"/>
          <c:showSerName val="0"/>
          <c:showPercent val="0"/>
          <c:showBubbleSize val="0"/>
        </c:dLbls>
        <c:gapWidth val="219"/>
        <c:overlap val="-27"/>
        <c:axId val="437299512"/>
        <c:axId val="437299904"/>
      </c:barChart>
      <c:catAx>
        <c:axId val="437299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9904"/>
        <c:crossesAt val="0"/>
        <c:auto val="1"/>
        <c:lblAlgn val="ctr"/>
        <c:lblOffset val="100"/>
        <c:noMultiLvlLbl val="0"/>
      </c:catAx>
      <c:valAx>
        <c:axId val="437299904"/>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299512"/>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Entități publice subordonate sau aflate în coordonare cu SCIM conform,               parțial conform, neconform, în perioada 2015-2016</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Conform</c:v>
                </c:pt>
              </c:strCache>
            </c:strRef>
          </c:tx>
          <c:spPr>
            <a:solidFill>
              <a:srgbClr val="00B0F0"/>
            </a:solidFill>
            <a:ln>
              <a:noFill/>
            </a:ln>
            <a:effectLst/>
          </c:spPr>
          <c:invertIfNegative val="0"/>
          <c:dPt>
            <c:idx val="0"/>
            <c:invertIfNegative val="0"/>
            <c:bubble3D val="0"/>
            <c:spPr>
              <a:solidFill>
                <a:srgbClr val="00B0F0"/>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c:formatCode>
                <c:ptCount val="2"/>
                <c:pt idx="0">
                  <c:v>1090</c:v>
                </c:pt>
                <c:pt idx="1">
                  <c:v>1003</c:v>
                </c:pt>
              </c:numCache>
            </c:numRef>
          </c:val>
        </c:ser>
        <c:ser>
          <c:idx val="1"/>
          <c:order val="1"/>
          <c:tx>
            <c:strRef>
              <c:f>Sheet1!$C$1</c:f>
              <c:strCache>
                <c:ptCount val="1"/>
                <c:pt idx="0">
                  <c:v>Parțial conform</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c:formatCode>
                <c:ptCount val="2"/>
                <c:pt idx="0">
                  <c:v>958</c:v>
                </c:pt>
                <c:pt idx="1">
                  <c:v>979</c:v>
                </c:pt>
              </c:numCache>
            </c:numRef>
          </c:val>
        </c:ser>
        <c:ser>
          <c:idx val="2"/>
          <c:order val="2"/>
          <c:tx>
            <c:strRef>
              <c:f>Sheet1!$D$1</c:f>
              <c:strCache>
                <c:ptCount val="1"/>
                <c:pt idx="0">
                  <c:v>Neconform</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c:formatCode>
                <c:ptCount val="2"/>
                <c:pt idx="0">
                  <c:v>51</c:v>
                </c:pt>
                <c:pt idx="1">
                  <c:v>15</c:v>
                </c:pt>
              </c:numCache>
            </c:numRef>
          </c:val>
        </c:ser>
        <c:dLbls>
          <c:showLegendKey val="0"/>
          <c:showVal val="0"/>
          <c:showCatName val="0"/>
          <c:showSerName val="0"/>
          <c:showPercent val="0"/>
          <c:showBubbleSize val="0"/>
        </c:dLbls>
        <c:gapWidth val="219"/>
        <c:overlap val="-27"/>
        <c:axId val="437300688"/>
        <c:axId val="437301080"/>
      </c:barChart>
      <c:catAx>
        <c:axId val="437300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301080"/>
        <c:crossesAt val="0"/>
        <c:auto val="1"/>
        <c:lblAlgn val="ctr"/>
        <c:lblOffset val="100"/>
        <c:noMultiLvlLbl val="0"/>
      </c:catAx>
      <c:valAx>
        <c:axId val="437301080"/>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300688"/>
        <c:crosses val="autoZero"/>
        <c:crossBetween val="between"/>
        <c:majorUnit val="20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Gradul de conformitate a SCIM la </a:t>
            </a:r>
            <a:r>
              <a:rPr lang="ro-RO" sz="1050" b="1" i="1" u="none" strike="noStrike" baseline="0">
                <a:effectLst/>
              </a:rPr>
              <a:t>entitățile publice subordonate sau aflate în coordonare </a:t>
            </a:r>
            <a:r>
              <a:rPr lang="ro-RO" sz="1050" b="1" i="1" baseline="0">
                <a:effectLst/>
              </a:rPr>
              <a:t>, în perioada 2015-2016</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Conform</c:v>
                </c:pt>
              </c:strCache>
            </c:strRef>
          </c:tx>
          <c:spPr>
            <a:solidFill>
              <a:srgbClr val="00B0F0"/>
            </a:solidFill>
            <a:ln>
              <a:noFill/>
            </a:ln>
            <a:effectLst/>
          </c:spPr>
          <c:invertIfNegative val="0"/>
          <c:dPt>
            <c:idx val="0"/>
            <c:invertIfNegative val="0"/>
            <c:bubble3D val="0"/>
            <c:spPr>
              <a:solidFill>
                <a:srgbClr val="00B0F0"/>
              </a:solidFill>
              <a:ln>
                <a:noFill/>
              </a:ln>
              <a:effectLst/>
            </c:spPr>
          </c:dPt>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F2189AB-DE48-4F94-891C-B2393A0D5CF2}"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51.93</c:v>
                </c:pt>
                <c:pt idx="1">
                  <c:v>50.23</c:v>
                </c:pt>
              </c:numCache>
            </c:numRef>
          </c:val>
        </c:ser>
        <c:ser>
          <c:idx val="1"/>
          <c:order val="1"/>
          <c:tx>
            <c:strRef>
              <c:f>Sheet1!$C$1</c:f>
              <c:strCache>
                <c:ptCount val="1"/>
                <c:pt idx="0">
                  <c:v>Parțial conform</c:v>
                </c:pt>
              </c:strCache>
            </c:strRef>
          </c:tx>
          <c:spPr>
            <a:solidFill>
              <a:schemeClr val="accent4">
                <a:lumMod val="60000"/>
                <a:lumOff val="40000"/>
              </a:schemeClr>
            </a:solidFill>
            <a:ln>
              <a:noFill/>
            </a:ln>
            <a:effectLst/>
          </c:spPr>
          <c:invertIfNegative val="0"/>
          <c:dLbls>
            <c:dLbl>
              <c:idx val="0"/>
              <c:tx>
                <c:rich>
                  <a:bodyPr/>
                  <a:lstStyle/>
                  <a:p>
                    <a:fld id="{73155318-F2AE-4C5E-A464-D8E92D927A7F}"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B4C0D0A-6502-4D8F-9975-454DCC90294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General</c:formatCode>
                <c:ptCount val="2"/>
                <c:pt idx="0">
                  <c:v>45.64</c:v>
                </c:pt>
                <c:pt idx="1">
                  <c:v>49.02</c:v>
                </c:pt>
              </c:numCache>
            </c:numRef>
          </c:val>
        </c:ser>
        <c:ser>
          <c:idx val="2"/>
          <c:order val="2"/>
          <c:tx>
            <c:strRef>
              <c:f>Sheet1!$D$1</c:f>
              <c:strCache>
                <c:ptCount val="1"/>
                <c:pt idx="0">
                  <c:v>Neconform</c:v>
                </c:pt>
              </c:strCache>
            </c:strRef>
          </c:tx>
          <c:spPr>
            <a:solidFill>
              <a:srgbClr val="002060"/>
            </a:solidFill>
            <a:ln>
              <a:noFill/>
            </a:ln>
            <a:effectLst/>
          </c:spPr>
          <c:invertIfNegative val="0"/>
          <c:dLbls>
            <c:dLbl>
              <c:idx val="0"/>
              <c:tx>
                <c:rich>
                  <a:bodyPr/>
                  <a:lstStyle/>
                  <a:p>
                    <a:fld id="{BC0F2D0A-C0F1-4A78-97EF-3F7919235A87}"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7E955D1-6ACD-4584-89D4-E4EB4534E9AA}"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General</c:formatCode>
                <c:ptCount val="2"/>
                <c:pt idx="0">
                  <c:v>2.4300000000000002</c:v>
                </c:pt>
                <c:pt idx="1">
                  <c:v>0.75</c:v>
                </c:pt>
              </c:numCache>
            </c:numRef>
          </c:val>
        </c:ser>
        <c:dLbls>
          <c:showLegendKey val="0"/>
          <c:showVal val="0"/>
          <c:showCatName val="0"/>
          <c:showSerName val="0"/>
          <c:showPercent val="0"/>
          <c:showBubbleSize val="0"/>
        </c:dLbls>
        <c:gapWidth val="219"/>
        <c:overlap val="-27"/>
        <c:axId val="437301864"/>
        <c:axId val="437302256"/>
      </c:barChart>
      <c:catAx>
        <c:axId val="437301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302256"/>
        <c:crossesAt val="0"/>
        <c:auto val="1"/>
        <c:lblAlgn val="ctr"/>
        <c:lblOffset val="100"/>
        <c:noMultiLvlLbl val="0"/>
      </c:catAx>
      <c:valAx>
        <c:axId val="437302256"/>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301864"/>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Număr ordonatori principali de credite</a:t>
            </a:r>
          </a:p>
          <a:p>
            <a:pPr>
              <a:defRPr sz="1050">
                <a:latin typeface="Times New Roman" panose="02020603050405020304" pitchFamily="18" charset="0"/>
                <a:cs typeface="Times New Roman" panose="02020603050405020304" pitchFamily="18" charset="0"/>
              </a:defRPr>
            </a:pPr>
            <a:r>
              <a:rPr lang="ro-RO" sz="1050" b="1" i="1" baseline="0">
                <a:effectLst/>
              </a:rPr>
              <a:t>SCIM furnizează o asigurare rezonabilă</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Permit conducerii </c:v>
                </c:pt>
              </c:strCache>
            </c:strRef>
          </c:tx>
          <c:spPr>
            <a:solidFill>
              <a:srgbClr val="00B0F0"/>
            </a:solidFill>
            <a:ln>
              <a:noFill/>
            </a:ln>
            <a:effectLst/>
          </c:spPr>
          <c:invertIfNegative val="0"/>
          <c:dPt>
            <c:idx val="0"/>
            <c:invertIfNegative val="0"/>
            <c:bubble3D val="0"/>
            <c:spPr>
              <a:solidFill>
                <a:srgbClr val="00B0F0"/>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c:formatCode>
                <c:ptCount val="2"/>
                <c:pt idx="0">
                  <c:v>30</c:v>
                </c:pt>
                <c:pt idx="1">
                  <c:v>26</c:v>
                </c:pt>
              </c:numCache>
            </c:numRef>
          </c:val>
        </c:ser>
        <c:ser>
          <c:idx val="1"/>
          <c:order val="1"/>
          <c:tx>
            <c:strRef>
              <c:f>Sheet1!$C$1</c:f>
              <c:strCache>
                <c:ptCount val="1"/>
                <c:pt idx="0">
                  <c:v>Permit parțial conducerii</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c:formatCode>
                <c:ptCount val="2"/>
                <c:pt idx="0">
                  <c:v>22</c:v>
                </c:pt>
                <c:pt idx="1">
                  <c:v>24</c:v>
                </c:pt>
              </c:numCache>
            </c:numRef>
          </c:val>
        </c:ser>
        <c:ser>
          <c:idx val="2"/>
          <c:order val="2"/>
          <c:tx>
            <c:strRef>
              <c:f>Sheet1!$D$1</c:f>
              <c:strCache>
                <c:ptCount val="1"/>
                <c:pt idx="0">
                  <c:v>Nu permit conducerii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c:formatCode>
                <c:ptCount val="2"/>
                <c:pt idx="0">
                  <c:v>0</c:v>
                </c:pt>
                <c:pt idx="1">
                  <c:v>0</c:v>
                </c:pt>
              </c:numCache>
            </c:numRef>
          </c:val>
        </c:ser>
        <c:dLbls>
          <c:showLegendKey val="0"/>
          <c:showVal val="0"/>
          <c:showCatName val="0"/>
          <c:showSerName val="0"/>
          <c:showPercent val="0"/>
          <c:showBubbleSize val="0"/>
        </c:dLbls>
        <c:gapWidth val="219"/>
        <c:overlap val="-27"/>
        <c:axId val="437303040"/>
        <c:axId val="437303432"/>
      </c:barChart>
      <c:catAx>
        <c:axId val="437303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303432"/>
        <c:crossesAt val="0"/>
        <c:auto val="1"/>
        <c:lblAlgn val="ctr"/>
        <c:lblOffset val="100"/>
        <c:noMultiLvlLbl val="0"/>
      </c:catAx>
      <c:valAx>
        <c:axId val="4373034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303040"/>
        <c:crosses val="autoZero"/>
        <c:crossBetween val="between"/>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1" i="1" baseline="0">
                <a:effectLst/>
              </a:rPr>
              <a:t>Ponderea ordonatorilor principali de credite</a:t>
            </a:r>
          </a:p>
          <a:p>
            <a:pPr>
              <a:defRPr sz="1100">
                <a:latin typeface="Times New Roman" panose="02020603050405020304" pitchFamily="18" charset="0"/>
                <a:cs typeface="Times New Roman" panose="02020603050405020304" pitchFamily="18" charset="0"/>
              </a:defRPr>
            </a:pPr>
            <a:r>
              <a:rPr lang="ro-RO" sz="1100" b="1" i="1" baseline="0">
                <a:effectLst/>
              </a:rPr>
              <a:t>SCIM furnizează o asigurare rezonabilă</a:t>
            </a:r>
            <a:endParaRPr lang="ro-RO" sz="1100">
              <a:effectLst/>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stacked"/>
        <c:varyColors val="0"/>
        <c:ser>
          <c:idx val="0"/>
          <c:order val="0"/>
          <c:tx>
            <c:strRef>
              <c:f>Sheet1!$B$1</c:f>
              <c:strCache>
                <c:ptCount val="1"/>
                <c:pt idx="0">
                  <c:v>Permit conducerii</c:v>
                </c:pt>
              </c:strCache>
            </c:strRef>
          </c:tx>
          <c:spPr>
            <a:solidFill>
              <a:srgbClr val="00B0F0"/>
            </a:solidFill>
            <a:ln>
              <a:noFill/>
            </a:ln>
            <a:effectLst/>
          </c:spPr>
          <c:invertIfNegative val="0"/>
          <c:dPt>
            <c:idx val="0"/>
            <c:invertIfNegative val="0"/>
            <c:bubble3D val="0"/>
            <c:spPr>
              <a:solidFill>
                <a:srgbClr val="00B0F0"/>
              </a:solidFill>
              <a:ln>
                <a:noFill/>
              </a:ln>
              <a:effectLst/>
            </c:spPr>
          </c:dPt>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F2189AB-DE48-4F94-891C-B2393A0D5CF2}"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57.69</c:v>
                </c:pt>
                <c:pt idx="1">
                  <c:v>52</c:v>
                </c:pt>
              </c:numCache>
            </c:numRef>
          </c:val>
        </c:ser>
        <c:ser>
          <c:idx val="1"/>
          <c:order val="1"/>
          <c:tx>
            <c:strRef>
              <c:f>Sheet1!$C$1</c:f>
              <c:strCache>
                <c:ptCount val="1"/>
                <c:pt idx="0">
                  <c:v>Permit parțial conducerii</c:v>
                </c:pt>
              </c:strCache>
            </c:strRef>
          </c:tx>
          <c:spPr>
            <a:solidFill>
              <a:schemeClr val="accent4">
                <a:lumMod val="60000"/>
                <a:lumOff val="40000"/>
              </a:schemeClr>
            </a:solidFill>
            <a:ln>
              <a:noFill/>
            </a:ln>
            <a:effectLst/>
          </c:spPr>
          <c:invertIfNegative val="0"/>
          <c:dLbls>
            <c:dLbl>
              <c:idx val="0"/>
              <c:tx>
                <c:rich>
                  <a:bodyPr/>
                  <a:lstStyle/>
                  <a:p>
                    <a:fld id="{73155318-F2AE-4C5E-A464-D8E92D927A7F}"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B4C0D0A-6502-4D8F-9975-454DCC90294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42.31</c:v>
                </c:pt>
                <c:pt idx="1">
                  <c:v>48</c:v>
                </c:pt>
              </c:numCache>
            </c:numRef>
          </c:val>
        </c:ser>
        <c:ser>
          <c:idx val="2"/>
          <c:order val="2"/>
          <c:tx>
            <c:strRef>
              <c:f>Sheet1!$D$1</c:f>
              <c:strCache>
                <c:ptCount val="1"/>
                <c:pt idx="0">
                  <c:v>Nu permit conducerii</c:v>
                </c:pt>
              </c:strCache>
            </c:strRef>
          </c:tx>
          <c:spPr>
            <a:solidFill>
              <a:srgbClr val="002060"/>
            </a:solidFill>
            <a:ln>
              <a:noFill/>
            </a:ln>
            <a:effectLst/>
          </c:spPr>
          <c:invertIfNegative val="0"/>
          <c:dLbls>
            <c:dLbl>
              <c:idx val="0"/>
              <c:tx>
                <c:rich>
                  <a:bodyPr/>
                  <a:lstStyle/>
                  <a:p>
                    <a:fld id="{BC0F2D0A-C0F1-4A78-97EF-3F7919235A87}" type="VALUE">
                      <a:rPr lang="en-US"/>
                      <a:pPr/>
                      <a:t>[VALUE]</a:t>
                    </a:fld>
                    <a:r>
                      <a:rPr lang="en-US"/>
                      <a:t>%</a:t>
                    </a:r>
                  </a:p>
                </c:rich>
              </c:tx>
              <c:dLblPos val="inBase"/>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7E955D1-6ACD-4584-89D4-E4EB4534E9AA}" type="VALUE">
                      <a:rPr lang="en-US"/>
                      <a:pPr/>
                      <a:t>[VALUE]</a:t>
                    </a:fld>
                    <a:r>
                      <a:rPr lang="en-US"/>
                      <a:t>%</a:t>
                    </a:r>
                  </a:p>
                </c:rich>
              </c:tx>
              <c:dLblPos val="inBase"/>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0</c:v>
                </c:pt>
                <c:pt idx="1">
                  <c:v>0</c:v>
                </c:pt>
              </c:numCache>
            </c:numRef>
          </c:val>
        </c:ser>
        <c:dLbls>
          <c:showLegendKey val="0"/>
          <c:showVal val="0"/>
          <c:showCatName val="0"/>
          <c:showSerName val="0"/>
          <c:showPercent val="0"/>
          <c:showBubbleSize val="0"/>
        </c:dLbls>
        <c:gapWidth val="219"/>
        <c:overlap val="100"/>
        <c:axId val="437304216"/>
        <c:axId val="437304608"/>
      </c:barChart>
      <c:catAx>
        <c:axId val="437304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304608"/>
        <c:crossesAt val="0"/>
        <c:auto val="1"/>
        <c:lblAlgn val="ctr"/>
        <c:lblOffset val="100"/>
        <c:noMultiLvlLbl val="0"/>
      </c:catAx>
      <c:valAx>
        <c:axId val="437304608"/>
        <c:scaling>
          <c:orientation val="minMax"/>
          <c:max val="12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7304216"/>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Număr ordonatori principali de credite</a:t>
            </a:r>
          </a:p>
          <a:p>
            <a:pPr>
              <a:defRPr sz="1050">
                <a:latin typeface="Times New Roman" panose="02020603050405020304" pitchFamily="18" charset="0"/>
                <a:cs typeface="Times New Roman" panose="02020603050405020304" pitchFamily="18" charset="0"/>
              </a:defRPr>
            </a:pPr>
            <a:r>
              <a:rPr lang="ro-RO" sz="1050" b="1" i="1" baseline="0">
                <a:effectLst/>
              </a:rPr>
              <a:t>SCIM cuprinde mecanisme de control</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Cuprinde</c:v>
                </c:pt>
              </c:strCache>
            </c:strRef>
          </c:tx>
          <c:spPr>
            <a:solidFill>
              <a:srgbClr val="00B0F0"/>
            </a:solidFill>
            <a:ln>
              <a:noFill/>
            </a:ln>
            <a:effectLst/>
          </c:spPr>
          <c:invertIfNegative val="0"/>
          <c:dPt>
            <c:idx val="0"/>
            <c:invertIfNegative val="0"/>
            <c:bubble3D val="0"/>
            <c:spPr>
              <a:solidFill>
                <a:srgbClr val="00B0F0"/>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c:formatCode>
                <c:ptCount val="2"/>
                <c:pt idx="0">
                  <c:v>31</c:v>
                </c:pt>
                <c:pt idx="1">
                  <c:v>27</c:v>
                </c:pt>
              </c:numCache>
            </c:numRef>
          </c:val>
        </c:ser>
        <c:ser>
          <c:idx val="1"/>
          <c:order val="1"/>
          <c:tx>
            <c:strRef>
              <c:f>Sheet1!$C$1</c:f>
              <c:strCache>
                <c:ptCount val="1"/>
                <c:pt idx="0">
                  <c:v>Cuprinde parțial</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c:formatCode>
                <c:ptCount val="2"/>
                <c:pt idx="0">
                  <c:v>21</c:v>
                </c:pt>
                <c:pt idx="1">
                  <c:v>23</c:v>
                </c:pt>
              </c:numCache>
            </c:numRef>
          </c:val>
        </c:ser>
        <c:ser>
          <c:idx val="2"/>
          <c:order val="2"/>
          <c:tx>
            <c:strRef>
              <c:f>Sheet1!$D$1</c:f>
              <c:strCache>
                <c:ptCount val="1"/>
                <c:pt idx="0">
                  <c:v>Nu cuprinde</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c:formatCode>
                <c:ptCount val="2"/>
                <c:pt idx="0">
                  <c:v>0</c:v>
                </c:pt>
                <c:pt idx="1">
                  <c:v>0</c:v>
                </c:pt>
              </c:numCache>
            </c:numRef>
          </c:val>
        </c:ser>
        <c:dLbls>
          <c:showLegendKey val="0"/>
          <c:showVal val="0"/>
          <c:showCatName val="0"/>
          <c:showSerName val="0"/>
          <c:showPercent val="0"/>
          <c:showBubbleSize val="0"/>
        </c:dLbls>
        <c:gapWidth val="219"/>
        <c:overlap val="-27"/>
        <c:axId val="468508584"/>
        <c:axId val="468508976"/>
      </c:barChart>
      <c:catAx>
        <c:axId val="468508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08976"/>
        <c:crossesAt val="0"/>
        <c:auto val="1"/>
        <c:lblAlgn val="ctr"/>
        <c:lblOffset val="100"/>
        <c:noMultiLvlLbl val="0"/>
      </c:catAx>
      <c:valAx>
        <c:axId val="468508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08584"/>
        <c:crosses val="autoZero"/>
        <c:crossBetween val="between"/>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Ponderea ordonatorilor principali de credite</a:t>
            </a:r>
          </a:p>
          <a:p>
            <a:pPr>
              <a:defRPr sz="1050">
                <a:latin typeface="Times New Roman" panose="02020603050405020304" pitchFamily="18" charset="0"/>
                <a:cs typeface="Times New Roman" panose="02020603050405020304" pitchFamily="18" charset="0"/>
              </a:defRPr>
            </a:pPr>
            <a:r>
              <a:rPr lang="ro-RO" sz="1050" b="1" i="1" baseline="0">
                <a:effectLst/>
              </a:rPr>
              <a:t>SCIM cuprinde mecanisme de control</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stacked"/>
        <c:varyColors val="0"/>
        <c:ser>
          <c:idx val="0"/>
          <c:order val="0"/>
          <c:tx>
            <c:strRef>
              <c:f>Sheet1!$B$1</c:f>
              <c:strCache>
                <c:ptCount val="1"/>
                <c:pt idx="0">
                  <c:v>Cuprinde</c:v>
                </c:pt>
              </c:strCache>
            </c:strRef>
          </c:tx>
          <c:spPr>
            <a:solidFill>
              <a:srgbClr val="00B0F0"/>
            </a:solidFill>
            <a:ln>
              <a:noFill/>
            </a:ln>
            <a:effectLst/>
          </c:spPr>
          <c:invertIfNegative val="0"/>
          <c:dPt>
            <c:idx val="0"/>
            <c:invertIfNegative val="0"/>
            <c:bubble3D val="0"/>
            <c:spPr>
              <a:solidFill>
                <a:srgbClr val="00B0F0"/>
              </a:solidFill>
              <a:ln>
                <a:noFill/>
              </a:ln>
              <a:effectLst/>
            </c:spPr>
          </c:dPt>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F2189AB-DE48-4F94-891C-B2393A0D5CF2}"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59.62</c:v>
                </c:pt>
                <c:pt idx="1">
                  <c:v>54</c:v>
                </c:pt>
              </c:numCache>
            </c:numRef>
          </c:val>
        </c:ser>
        <c:ser>
          <c:idx val="1"/>
          <c:order val="1"/>
          <c:tx>
            <c:strRef>
              <c:f>Sheet1!$C$1</c:f>
              <c:strCache>
                <c:ptCount val="1"/>
                <c:pt idx="0">
                  <c:v>Cuprinde parțial</c:v>
                </c:pt>
              </c:strCache>
            </c:strRef>
          </c:tx>
          <c:spPr>
            <a:solidFill>
              <a:schemeClr val="accent4">
                <a:lumMod val="60000"/>
                <a:lumOff val="40000"/>
              </a:schemeClr>
            </a:solidFill>
            <a:ln>
              <a:noFill/>
            </a:ln>
            <a:effectLst/>
          </c:spPr>
          <c:invertIfNegative val="0"/>
          <c:dLbls>
            <c:dLbl>
              <c:idx val="0"/>
              <c:tx>
                <c:rich>
                  <a:bodyPr/>
                  <a:lstStyle/>
                  <a:p>
                    <a:fld id="{73155318-F2AE-4C5E-A464-D8E92D927A7F}"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B4C0D0A-6502-4D8F-9975-454DCC90294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40.380000000000003</c:v>
                </c:pt>
                <c:pt idx="1">
                  <c:v>46</c:v>
                </c:pt>
              </c:numCache>
            </c:numRef>
          </c:val>
        </c:ser>
        <c:ser>
          <c:idx val="2"/>
          <c:order val="2"/>
          <c:tx>
            <c:strRef>
              <c:f>Sheet1!$D$1</c:f>
              <c:strCache>
                <c:ptCount val="1"/>
                <c:pt idx="0">
                  <c:v>Nu cuprinde</c:v>
                </c:pt>
              </c:strCache>
            </c:strRef>
          </c:tx>
          <c:spPr>
            <a:solidFill>
              <a:srgbClr val="002060"/>
            </a:solidFill>
            <a:ln>
              <a:noFill/>
            </a:ln>
            <a:effectLst/>
          </c:spPr>
          <c:invertIfNegative val="0"/>
          <c:dLbls>
            <c:dLbl>
              <c:idx val="0"/>
              <c:tx>
                <c:rich>
                  <a:bodyPr/>
                  <a:lstStyle/>
                  <a:p>
                    <a:fld id="{BC0F2D0A-C0F1-4A78-97EF-3F7919235A87}" type="VALUE">
                      <a:rPr lang="en-US"/>
                      <a:pPr/>
                      <a:t>[VALUE]</a:t>
                    </a:fld>
                    <a:r>
                      <a:rPr lang="en-US"/>
                      <a:t>%</a:t>
                    </a:r>
                  </a:p>
                </c:rich>
              </c:tx>
              <c:dLblPos val="inBase"/>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7E955D1-6ACD-4584-89D4-E4EB4534E9AA}" type="VALUE">
                      <a:rPr lang="en-US"/>
                      <a:pPr/>
                      <a:t>[VALUE]</a:t>
                    </a:fld>
                    <a:r>
                      <a:rPr lang="en-US"/>
                      <a:t>%</a:t>
                    </a:r>
                  </a:p>
                </c:rich>
              </c:tx>
              <c:dLblPos val="inBase"/>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Sheet1!$D$2:$D$3</c:f>
              <c:numCache>
                <c:formatCode>0.00</c:formatCode>
                <c:ptCount val="2"/>
                <c:pt idx="0">
                  <c:v>0</c:v>
                </c:pt>
                <c:pt idx="1">
                  <c:v>0</c:v>
                </c:pt>
              </c:numCache>
            </c:numRef>
          </c:val>
        </c:ser>
        <c:dLbls>
          <c:showLegendKey val="0"/>
          <c:showVal val="0"/>
          <c:showCatName val="0"/>
          <c:showSerName val="0"/>
          <c:showPercent val="0"/>
          <c:showBubbleSize val="0"/>
        </c:dLbls>
        <c:gapWidth val="219"/>
        <c:overlap val="100"/>
        <c:axId val="468509760"/>
        <c:axId val="468510152"/>
      </c:barChart>
      <c:catAx>
        <c:axId val="468509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0152"/>
        <c:crossesAt val="0"/>
        <c:auto val="1"/>
        <c:lblAlgn val="ctr"/>
        <c:lblOffset val="100"/>
        <c:noMultiLvlLbl val="0"/>
      </c:catAx>
      <c:valAx>
        <c:axId val="468510152"/>
        <c:scaling>
          <c:orientation val="minMax"/>
          <c:max val="12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09760"/>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lgn="just">
        <a:defRPr/>
      </a:pPr>
      <a:endParaRPr lang="ro-RO"/>
    </a:p>
  </c:txPr>
  <c:externalData r:id="rId3">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Număr ordonatori principali de credite pentru care</a:t>
            </a:r>
          </a:p>
          <a:p>
            <a:pPr>
              <a:defRPr sz="1050">
                <a:latin typeface="Times New Roman" panose="02020603050405020304" pitchFamily="18" charset="0"/>
                <a:cs typeface="Times New Roman" panose="02020603050405020304" pitchFamily="18" charset="0"/>
              </a:defRPr>
            </a:pPr>
            <a:r>
              <a:rPr lang="ro-RO" sz="1050" b="1" i="1" baseline="0">
                <a:effectLst/>
              </a:rPr>
              <a:t>creșterea eficacității SCIM are la bază evaluarea riscurilor</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Da</c:v>
                </c:pt>
              </c:strCache>
            </c:strRef>
          </c:tx>
          <c:spPr>
            <a:solidFill>
              <a:srgbClr val="00B0F0"/>
            </a:solidFill>
            <a:ln>
              <a:noFill/>
            </a:ln>
            <a:effectLst/>
          </c:spPr>
          <c:invertIfNegative val="0"/>
          <c:dPt>
            <c:idx val="0"/>
            <c:invertIfNegative val="0"/>
            <c:bubble3D val="0"/>
            <c:spPr>
              <a:solidFill>
                <a:srgbClr val="00B0F0"/>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c:formatCode>
                <c:ptCount val="2"/>
                <c:pt idx="0">
                  <c:v>49</c:v>
                </c:pt>
                <c:pt idx="1">
                  <c:v>48</c:v>
                </c:pt>
              </c:numCache>
            </c:numRef>
          </c:val>
        </c:ser>
        <c:ser>
          <c:idx val="1"/>
          <c:order val="1"/>
          <c:tx>
            <c:strRef>
              <c:f>Sheet1!$C$1</c:f>
              <c:strCache>
                <c:ptCount val="1"/>
                <c:pt idx="0">
                  <c:v>Nu</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c:formatCode>
                <c:ptCount val="2"/>
                <c:pt idx="0">
                  <c:v>3</c:v>
                </c:pt>
                <c:pt idx="1">
                  <c:v>2</c:v>
                </c:pt>
              </c:numCache>
            </c:numRef>
          </c:val>
        </c:ser>
        <c:dLbls>
          <c:showLegendKey val="0"/>
          <c:showVal val="0"/>
          <c:showCatName val="0"/>
          <c:showSerName val="0"/>
          <c:showPercent val="0"/>
          <c:showBubbleSize val="0"/>
        </c:dLbls>
        <c:gapWidth val="219"/>
        <c:overlap val="-27"/>
        <c:axId val="468510936"/>
        <c:axId val="468511328"/>
      </c:barChart>
      <c:catAx>
        <c:axId val="468510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1328"/>
        <c:crossesAt val="0"/>
        <c:auto val="1"/>
        <c:lblAlgn val="ctr"/>
        <c:lblOffset val="100"/>
        <c:noMultiLvlLbl val="0"/>
      </c:catAx>
      <c:valAx>
        <c:axId val="4685113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0936"/>
        <c:crosses val="autoZero"/>
        <c:crossBetween val="between"/>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Ponderea ordonatorilor principali de credite pentru care</a:t>
            </a:r>
          </a:p>
          <a:p>
            <a:pPr>
              <a:defRPr sz="1050">
                <a:latin typeface="Times New Roman" panose="02020603050405020304" pitchFamily="18" charset="0"/>
                <a:cs typeface="Times New Roman" panose="02020603050405020304" pitchFamily="18" charset="0"/>
              </a:defRPr>
            </a:pPr>
            <a:r>
              <a:rPr lang="ro-RO" sz="1050" b="1" i="1" baseline="0">
                <a:effectLst/>
              </a:rPr>
              <a:t>creșterea eficacității SCIM are la bază evaluarea riscurilor</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stacked"/>
        <c:varyColors val="0"/>
        <c:ser>
          <c:idx val="0"/>
          <c:order val="0"/>
          <c:tx>
            <c:strRef>
              <c:f>Sheet1!$B$1</c:f>
              <c:strCache>
                <c:ptCount val="1"/>
                <c:pt idx="0">
                  <c:v>Da</c:v>
                </c:pt>
              </c:strCache>
            </c:strRef>
          </c:tx>
          <c:spPr>
            <a:solidFill>
              <a:srgbClr val="00B0F0"/>
            </a:solidFill>
            <a:ln>
              <a:noFill/>
            </a:ln>
            <a:effectLst/>
          </c:spPr>
          <c:invertIfNegative val="0"/>
          <c:dPt>
            <c:idx val="0"/>
            <c:invertIfNegative val="0"/>
            <c:bubble3D val="0"/>
            <c:spPr>
              <a:solidFill>
                <a:srgbClr val="00B0F0"/>
              </a:solidFill>
              <a:ln>
                <a:noFill/>
              </a:ln>
              <a:effectLst/>
            </c:spPr>
          </c:dPt>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F2189AB-DE48-4F94-891C-B2393A0D5CF2}"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94.23</c:v>
                </c:pt>
                <c:pt idx="1">
                  <c:v>96</c:v>
                </c:pt>
              </c:numCache>
            </c:numRef>
          </c:val>
        </c:ser>
        <c:ser>
          <c:idx val="1"/>
          <c:order val="1"/>
          <c:tx>
            <c:strRef>
              <c:f>Sheet1!$C$1</c:f>
              <c:strCache>
                <c:ptCount val="1"/>
                <c:pt idx="0">
                  <c:v>Nu</c:v>
                </c:pt>
              </c:strCache>
            </c:strRef>
          </c:tx>
          <c:spPr>
            <a:solidFill>
              <a:schemeClr val="accent4">
                <a:lumMod val="60000"/>
                <a:lumOff val="40000"/>
              </a:schemeClr>
            </a:solidFill>
            <a:ln>
              <a:noFill/>
            </a:ln>
            <a:effectLst/>
          </c:spPr>
          <c:invertIfNegative val="0"/>
          <c:dLbls>
            <c:dLbl>
              <c:idx val="0"/>
              <c:tx>
                <c:rich>
                  <a:bodyPr/>
                  <a:lstStyle/>
                  <a:p>
                    <a:fld id="{73155318-F2AE-4C5E-A464-D8E92D927A7F}"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B4C0D0A-6502-4D8F-9975-454DCC90294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5.77</c:v>
                </c:pt>
                <c:pt idx="1">
                  <c:v>4</c:v>
                </c:pt>
              </c:numCache>
            </c:numRef>
          </c:val>
        </c:ser>
        <c:dLbls>
          <c:showLegendKey val="0"/>
          <c:showVal val="0"/>
          <c:showCatName val="0"/>
          <c:showSerName val="0"/>
          <c:showPercent val="0"/>
          <c:showBubbleSize val="0"/>
        </c:dLbls>
        <c:gapWidth val="219"/>
        <c:overlap val="100"/>
        <c:axId val="468512112"/>
        <c:axId val="468512504"/>
      </c:barChart>
      <c:catAx>
        <c:axId val="468512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2504"/>
        <c:crossesAt val="0"/>
        <c:auto val="1"/>
        <c:lblAlgn val="ctr"/>
        <c:lblOffset val="100"/>
        <c:noMultiLvlLbl val="0"/>
      </c:catAx>
      <c:valAx>
        <c:axId val="468512504"/>
        <c:scaling>
          <c:orientation val="minMax"/>
          <c:max val="12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2112"/>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Număr ordonatori principali de credite care</a:t>
            </a:r>
          </a:p>
          <a:p>
            <a:pPr>
              <a:defRPr sz="1050">
                <a:latin typeface="Times New Roman" panose="02020603050405020304" pitchFamily="18" charset="0"/>
                <a:cs typeface="Times New Roman" panose="02020603050405020304" pitchFamily="18" charset="0"/>
              </a:defRPr>
            </a:pPr>
            <a:r>
              <a:rPr lang="ro-RO" sz="1050" b="1" i="1" baseline="0">
                <a:effectLst/>
              </a:rPr>
              <a:t>au actualizat Registrul de riscuri</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Da</c:v>
                </c:pt>
              </c:strCache>
            </c:strRef>
          </c:tx>
          <c:spPr>
            <a:solidFill>
              <a:srgbClr val="00B0F0"/>
            </a:solidFill>
            <a:ln>
              <a:noFill/>
            </a:ln>
            <a:effectLst/>
          </c:spPr>
          <c:invertIfNegative val="0"/>
          <c:dPt>
            <c:idx val="0"/>
            <c:invertIfNegative val="0"/>
            <c:bubble3D val="0"/>
            <c:spPr>
              <a:solidFill>
                <a:srgbClr val="00B0F0"/>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c:formatCode>
                <c:ptCount val="2"/>
                <c:pt idx="0">
                  <c:v>43</c:v>
                </c:pt>
                <c:pt idx="1">
                  <c:v>40</c:v>
                </c:pt>
              </c:numCache>
            </c:numRef>
          </c:val>
        </c:ser>
        <c:ser>
          <c:idx val="1"/>
          <c:order val="1"/>
          <c:tx>
            <c:strRef>
              <c:f>Sheet1!$C$1</c:f>
              <c:strCache>
                <c:ptCount val="1"/>
                <c:pt idx="0">
                  <c:v>Nu</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c:formatCode>
                <c:ptCount val="2"/>
                <c:pt idx="0">
                  <c:v>9</c:v>
                </c:pt>
                <c:pt idx="1">
                  <c:v>10</c:v>
                </c:pt>
              </c:numCache>
            </c:numRef>
          </c:val>
        </c:ser>
        <c:dLbls>
          <c:showLegendKey val="0"/>
          <c:showVal val="0"/>
          <c:showCatName val="0"/>
          <c:showSerName val="0"/>
          <c:showPercent val="0"/>
          <c:showBubbleSize val="0"/>
        </c:dLbls>
        <c:gapWidth val="219"/>
        <c:overlap val="-27"/>
        <c:axId val="468513288"/>
        <c:axId val="468513680"/>
      </c:barChart>
      <c:catAx>
        <c:axId val="468513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3680"/>
        <c:crossesAt val="0"/>
        <c:auto val="1"/>
        <c:lblAlgn val="ctr"/>
        <c:lblOffset val="100"/>
        <c:noMultiLvlLbl val="0"/>
      </c:catAx>
      <c:valAx>
        <c:axId val="4685136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3288"/>
        <c:crosses val="autoZero"/>
        <c:crossBetween val="between"/>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200" b="0" i="0" u="none" strike="noStrike" baseline="0">
                <a:effectLst/>
              </a:rPr>
              <a:t>Gradul de implementare a standardelor de control intern managerial, la nivelul ordonatorilor principali de credite – aparat propriu, </a:t>
            </a:r>
            <a:r>
              <a:rPr lang="ro-RO" sz="1200" b="0" i="0" baseline="0">
                <a:effectLst/>
                <a:latin typeface="Times New Roman" panose="02020603050405020304" pitchFamily="18" charset="0"/>
                <a:cs typeface="Times New Roman" panose="02020603050405020304" pitchFamily="18" charset="0"/>
              </a:rPr>
              <a:t>în perioada 2015-2016</a:t>
            </a:r>
          </a:p>
          <a:p>
            <a:pPr>
              <a:defRPr sz="1200">
                <a:latin typeface="Times New Roman" panose="02020603050405020304" pitchFamily="18" charset="0"/>
                <a:cs typeface="Times New Roman" panose="02020603050405020304" pitchFamily="18" charset="0"/>
              </a:defRPr>
            </a:pPr>
            <a:endParaRPr lang="ro-RO" sz="1200" b="0" i="0" baseline="0">
              <a:effectLst/>
              <a:latin typeface="Times New Roman" panose="02020603050405020304" pitchFamily="18" charset="0"/>
              <a:cs typeface="Times New Roman" panose="02020603050405020304" pitchFamily="18" charset="0"/>
            </a:endParaRPr>
          </a:p>
          <a:p>
            <a:pPr>
              <a:defRPr sz="1200">
                <a:latin typeface="Times New Roman" panose="02020603050405020304" pitchFamily="18" charset="0"/>
                <a:cs typeface="Times New Roman" panose="02020603050405020304" pitchFamily="18" charset="0"/>
              </a:defRPr>
            </a:pPr>
            <a:r>
              <a:rPr lang="ro-RO" sz="1200" b="0" i="1" u="none" strike="noStrike" baseline="0">
                <a:effectLst/>
              </a:rPr>
              <a:t>Numarul OPC – aparat propriu, care au standardele ne</a:t>
            </a:r>
            <a:r>
              <a:rPr lang="ro-RO" sz="1200" b="0" i="1" baseline="0">
                <a:effectLst/>
                <a:latin typeface="Times New Roman" panose="02020603050405020304" pitchFamily="18" charset="0"/>
                <a:cs typeface="Times New Roman" panose="02020603050405020304" pitchFamily="18" charset="0"/>
              </a:rPr>
              <a:t>implementate (NI)</a:t>
            </a:r>
            <a:endParaRPr lang="ro-RO" sz="1200" b="0">
              <a:effectLst/>
              <a:latin typeface="Times New Roman" panose="02020603050405020304" pitchFamily="18" charset="0"/>
              <a:cs typeface="Times New Roman" panose="02020603050405020304" pitchFamily="18" charset="0"/>
            </a:endParaRPr>
          </a:p>
        </c:rich>
      </c:tx>
      <c:layout>
        <c:manualLayout>
          <c:xMode val="edge"/>
          <c:yMode val="edge"/>
          <c:x val="0.11211752786220872"/>
          <c:y val="9.0293453724604959E-3"/>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General</c:formatCode>
                <c:ptCount val="16"/>
                <c:pt idx="0">
                  <c:v>0</c:v>
                </c:pt>
                <c:pt idx="1">
                  <c:v>4</c:v>
                </c:pt>
                <c:pt idx="2">
                  <c:v>1</c:v>
                </c:pt>
                <c:pt idx="3">
                  <c:v>1</c:v>
                </c:pt>
                <c:pt idx="4">
                  <c:v>1</c:v>
                </c:pt>
                <c:pt idx="5">
                  <c:v>0</c:v>
                </c:pt>
                <c:pt idx="6">
                  <c:v>3</c:v>
                </c:pt>
                <c:pt idx="7">
                  <c:v>5</c:v>
                </c:pt>
                <c:pt idx="8">
                  <c:v>1</c:v>
                </c:pt>
                <c:pt idx="9">
                  <c:v>2</c:v>
                </c:pt>
                <c:pt idx="10">
                  <c:v>3</c:v>
                </c:pt>
                <c:pt idx="11">
                  <c:v>1</c:v>
                </c:pt>
                <c:pt idx="12">
                  <c:v>0</c:v>
                </c:pt>
                <c:pt idx="13">
                  <c:v>0</c:v>
                </c:pt>
                <c:pt idx="14">
                  <c:v>0</c:v>
                </c:pt>
                <c:pt idx="15">
                  <c:v>1</c:v>
                </c:pt>
              </c:numCache>
            </c:numRef>
          </c:val>
        </c:ser>
        <c:ser>
          <c:idx val="1"/>
          <c:order val="1"/>
          <c:tx>
            <c:strRef>
              <c:f>Sheet1!$C$1</c:f>
              <c:strCache>
                <c:ptCount val="1"/>
                <c:pt idx="0">
                  <c:v>2016</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General</c:formatCode>
                <c:ptCount val="16"/>
                <c:pt idx="0">
                  <c:v>0</c:v>
                </c:pt>
                <c:pt idx="1">
                  <c:v>5</c:v>
                </c:pt>
                <c:pt idx="2">
                  <c:v>2</c:v>
                </c:pt>
                <c:pt idx="3">
                  <c:v>0</c:v>
                </c:pt>
                <c:pt idx="4">
                  <c:v>1</c:v>
                </c:pt>
                <c:pt idx="5">
                  <c:v>0</c:v>
                </c:pt>
                <c:pt idx="6">
                  <c:v>1</c:v>
                </c:pt>
                <c:pt idx="7">
                  <c:v>1</c:v>
                </c:pt>
                <c:pt idx="8">
                  <c:v>3</c:v>
                </c:pt>
                <c:pt idx="9">
                  <c:v>0</c:v>
                </c:pt>
                <c:pt idx="10">
                  <c:v>2</c:v>
                </c:pt>
                <c:pt idx="11">
                  <c:v>0</c:v>
                </c:pt>
                <c:pt idx="12">
                  <c:v>1</c:v>
                </c:pt>
                <c:pt idx="13">
                  <c:v>0</c:v>
                </c:pt>
                <c:pt idx="14">
                  <c:v>0</c:v>
                </c:pt>
                <c:pt idx="15">
                  <c:v>1</c:v>
                </c:pt>
              </c:numCache>
            </c:numRef>
          </c:val>
        </c:ser>
        <c:dLbls>
          <c:showLegendKey val="0"/>
          <c:showVal val="0"/>
          <c:showCatName val="0"/>
          <c:showSerName val="0"/>
          <c:showPercent val="0"/>
          <c:showBubbleSize val="0"/>
        </c:dLbls>
        <c:gapWidth val="182"/>
        <c:axId val="259412496"/>
        <c:axId val="259412888"/>
      </c:barChart>
      <c:catAx>
        <c:axId val="2594124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259412888"/>
        <c:crosses val="autoZero"/>
        <c:auto val="1"/>
        <c:lblAlgn val="ctr"/>
        <c:lblOffset val="100"/>
        <c:noMultiLvlLbl val="0"/>
      </c:catAx>
      <c:valAx>
        <c:axId val="2594128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12496"/>
        <c:crosses val="autoZero"/>
        <c:crossBetween val="between"/>
        <c:majorUnit val="10"/>
      </c:valAx>
      <c:spPr>
        <a:noFill/>
        <a:ln>
          <a:solidFill>
            <a:schemeClr val="accent1"/>
          </a:solidFill>
        </a:ln>
        <a:effectLst/>
      </c:spPr>
    </c:plotArea>
    <c:legend>
      <c:legendPos val="b"/>
      <c:layout>
        <c:manualLayout>
          <c:xMode val="edge"/>
          <c:yMode val="edge"/>
          <c:x val="0.61538091526484406"/>
          <c:y val="0.97450346735658711"/>
          <c:w val="0.1379172991056167"/>
          <c:h val="2.51061788443594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1" i="1" baseline="0">
                <a:effectLst/>
              </a:rPr>
              <a:t>Ponderea ordonatorilor principali de credite care</a:t>
            </a:r>
            <a:endParaRPr lang="ro-RO" sz="1100">
              <a:effectLst/>
            </a:endParaRPr>
          </a:p>
          <a:p>
            <a:pPr>
              <a:defRPr sz="1100">
                <a:latin typeface="Times New Roman" panose="02020603050405020304" pitchFamily="18" charset="0"/>
                <a:cs typeface="Times New Roman" panose="02020603050405020304" pitchFamily="18" charset="0"/>
              </a:defRPr>
            </a:pPr>
            <a:r>
              <a:rPr lang="ro-RO" sz="1100" b="1" i="1" baseline="0">
                <a:effectLst/>
              </a:rPr>
              <a:t>au actualizat Registrul de riscuri</a:t>
            </a:r>
            <a:endParaRPr lang="ro-RO" sz="1100">
              <a:effectLst/>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stacked"/>
        <c:varyColors val="0"/>
        <c:ser>
          <c:idx val="0"/>
          <c:order val="0"/>
          <c:tx>
            <c:strRef>
              <c:f>Sheet1!$B$1</c:f>
              <c:strCache>
                <c:ptCount val="1"/>
                <c:pt idx="0">
                  <c:v>Da</c:v>
                </c:pt>
              </c:strCache>
            </c:strRef>
          </c:tx>
          <c:spPr>
            <a:solidFill>
              <a:srgbClr val="00B0F0"/>
            </a:solidFill>
            <a:ln>
              <a:noFill/>
            </a:ln>
            <a:effectLst/>
          </c:spPr>
          <c:invertIfNegative val="0"/>
          <c:dPt>
            <c:idx val="0"/>
            <c:invertIfNegative val="0"/>
            <c:bubble3D val="0"/>
            <c:spPr>
              <a:solidFill>
                <a:srgbClr val="00B0F0"/>
              </a:solidFill>
              <a:ln>
                <a:noFill/>
              </a:ln>
              <a:effectLst/>
            </c:spPr>
          </c:dPt>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F2189AB-DE48-4F94-891C-B2393A0D5CF2}"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82.69</c:v>
                </c:pt>
                <c:pt idx="1">
                  <c:v>80</c:v>
                </c:pt>
              </c:numCache>
            </c:numRef>
          </c:val>
        </c:ser>
        <c:ser>
          <c:idx val="1"/>
          <c:order val="1"/>
          <c:tx>
            <c:strRef>
              <c:f>Sheet1!$C$1</c:f>
              <c:strCache>
                <c:ptCount val="1"/>
                <c:pt idx="0">
                  <c:v>Nu</c:v>
                </c:pt>
              </c:strCache>
            </c:strRef>
          </c:tx>
          <c:spPr>
            <a:solidFill>
              <a:schemeClr val="accent4">
                <a:lumMod val="60000"/>
                <a:lumOff val="40000"/>
              </a:schemeClr>
            </a:solidFill>
            <a:ln>
              <a:noFill/>
            </a:ln>
            <a:effectLst/>
          </c:spPr>
          <c:invertIfNegative val="0"/>
          <c:dLbls>
            <c:dLbl>
              <c:idx val="0"/>
              <c:tx>
                <c:rich>
                  <a:bodyPr/>
                  <a:lstStyle/>
                  <a:p>
                    <a:fld id="{73155318-F2AE-4C5E-A464-D8E92D927A7F}"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4B4C0D0A-6502-4D8F-9975-454DCC90294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17.309999999999999</c:v>
                </c:pt>
                <c:pt idx="1">
                  <c:v>20</c:v>
                </c:pt>
              </c:numCache>
            </c:numRef>
          </c:val>
        </c:ser>
        <c:dLbls>
          <c:showLegendKey val="0"/>
          <c:showVal val="0"/>
          <c:showCatName val="0"/>
          <c:showSerName val="0"/>
          <c:showPercent val="0"/>
          <c:showBubbleSize val="0"/>
        </c:dLbls>
        <c:gapWidth val="219"/>
        <c:overlap val="100"/>
        <c:axId val="468514464"/>
        <c:axId val="468514856"/>
      </c:barChart>
      <c:catAx>
        <c:axId val="468514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4856"/>
        <c:crossesAt val="0"/>
        <c:auto val="1"/>
        <c:lblAlgn val="ctr"/>
        <c:lblOffset val="100"/>
        <c:noMultiLvlLbl val="0"/>
      </c:catAx>
      <c:valAx>
        <c:axId val="468514856"/>
        <c:scaling>
          <c:orientation val="minMax"/>
          <c:max val="12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4464"/>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Număr ordonatori principali de credite care</a:t>
            </a:r>
          </a:p>
          <a:p>
            <a:pPr>
              <a:defRPr sz="1050">
                <a:latin typeface="Times New Roman" panose="02020603050405020304" pitchFamily="18" charset="0"/>
                <a:cs typeface="Times New Roman" panose="02020603050405020304" pitchFamily="18" charset="0"/>
              </a:defRPr>
            </a:pPr>
            <a:r>
              <a:rPr lang="ro-RO" sz="1050" b="1" i="1" baseline="0">
                <a:effectLst/>
              </a:rPr>
              <a:t>au actualizate Procedurile</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Da</c:v>
                </c:pt>
              </c:strCache>
            </c:strRef>
          </c:tx>
          <c:spPr>
            <a:solidFill>
              <a:srgbClr val="00B0F0"/>
            </a:solidFill>
            <a:ln>
              <a:noFill/>
            </a:ln>
            <a:effectLst/>
          </c:spPr>
          <c:invertIfNegative val="0"/>
          <c:dPt>
            <c:idx val="0"/>
            <c:invertIfNegative val="0"/>
            <c:bubble3D val="0"/>
            <c:spPr>
              <a:solidFill>
                <a:srgbClr val="00B0F0"/>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c:formatCode>
                <c:ptCount val="2"/>
                <c:pt idx="0">
                  <c:v>47</c:v>
                </c:pt>
                <c:pt idx="1">
                  <c:v>50</c:v>
                </c:pt>
              </c:numCache>
            </c:numRef>
          </c:val>
        </c:ser>
        <c:ser>
          <c:idx val="1"/>
          <c:order val="1"/>
          <c:tx>
            <c:strRef>
              <c:f>Sheet1!$C$1</c:f>
              <c:strCache>
                <c:ptCount val="1"/>
                <c:pt idx="0">
                  <c:v>Nu</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c:formatCode>
                <c:ptCount val="2"/>
                <c:pt idx="0">
                  <c:v>5</c:v>
                </c:pt>
                <c:pt idx="1">
                  <c:v>0</c:v>
                </c:pt>
              </c:numCache>
            </c:numRef>
          </c:val>
        </c:ser>
        <c:dLbls>
          <c:showLegendKey val="0"/>
          <c:showVal val="0"/>
          <c:showCatName val="0"/>
          <c:showSerName val="0"/>
          <c:showPercent val="0"/>
          <c:showBubbleSize val="0"/>
        </c:dLbls>
        <c:gapWidth val="219"/>
        <c:overlap val="-27"/>
        <c:axId val="468515640"/>
        <c:axId val="468516032"/>
      </c:barChart>
      <c:catAx>
        <c:axId val="468515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6032"/>
        <c:crossesAt val="0"/>
        <c:auto val="1"/>
        <c:lblAlgn val="ctr"/>
        <c:lblOffset val="100"/>
        <c:noMultiLvlLbl val="0"/>
      </c:catAx>
      <c:valAx>
        <c:axId val="4685160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5640"/>
        <c:crosses val="autoZero"/>
        <c:crossBetween val="between"/>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1" i="1" baseline="0">
                <a:effectLst/>
              </a:rPr>
              <a:t>Ponderea ordonatorilor principali de credite care</a:t>
            </a:r>
            <a:endParaRPr lang="ro-RO" sz="1100">
              <a:effectLst/>
            </a:endParaRPr>
          </a:p>
          <a:p>
            <a:pPr>
              <a:defRPr sz="1100">
                <a:latin typeface="Times New Roman" panose="02020603050405020304" pitchFamily="18" charset="0"/>
                <a:cs typeface="Times New Roman" panose="02020603050405020304" pitchFamily="18" charset="0"/>
              </a:defRPr>
            </a:pPr>
            <a:r>
              <a:rPr lang="ro-RO" sz="1100" b="1" i="1" baseline="0">
                <a:effectLst/>
              </a:rPr>
              <a:t>au actualizate Procedurile</a:t>
            </a:r>
            <a:endParaRPr lang="ro-RO" sz="1100">
              <a:effectLst/>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stacked"/>
        <c:varyColors val="0"/>
        <c:ser>
          <c:idx val="0"/>
          <c:order val="0"/>
          <c:tx>
            <c:strRef>
              <c:f>Sheet1!$B$1</c:f>
              <c:strCache>
                <c:ptCount val="1"/>
                <c:pt idx="0">
                  <c:v>Da</c:v>
                </c:pt>
              </c:strCache>
            </c:strRef>
          </c:tx>
          <c:spPr>
            <a:solidFill>
              <a:srgbClr val="00B0F0"/>
            </a:solidFill>
            <a:ln>
              <a:noFill/>
            </a:ln>
            <a:effectLst/>
          </c:spPr>
          <c:invertIfNegative val="0"/>
          <c:dPt>
            <c:idx val="0"/>
            <c:invertIfNegative val="0"/>
            <c:bubble3D val="0"/>
            <c:spPr>
              <a:solidFill>
                <a:srgbClr val="00B0F0"/>
              </a:solidFill>
              <a:ln>
                <a:noFill/>
              </a:ln>
              <a:effectLst/>
            </c:spPr>
          </c:dPt>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F2189AB-DE48-4F94-891C-B2393A0D5CF2}"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90.38</c:v>
                </c:pt>
                <c:pt idx="1">
                  <c:v>100</c:v>
                </c:pt>
              </c:numCache>
            </c:numRef>
          </c:val>
        </c:ser>
        <c:ser>
          <c:idx val="1"/>
          <c:order val="1"/>
          <c:tx>
            <c:strRef>
              <c:f>Sheet1!$C$1</c:f>
              <c:strCache>
                <c:ptCount val="1"/>
                <c:pt idx="0">
                  <c:v>Nu</c:v>
                </c:pt>
              </c:strCache>
            </c:strRef>
          </c:tx>
          <c:spPr>
            <a:solidFill>
              <a:schemeClr val="accent4">
                <a:lumMod val="60000"/>
                <a:lumOff val="40000"/>
              </a:schemeClr>
            </a:solidFill>
            <a:ln>
              <a:noFill/>
            </a:ln>
            <a:effectLst/>
          </c:spPr>
          <c:invertIfNegative val="0"/>
          <c:dLbls>
            <c:dLbl>
              <c:idx val="0"/>
              <c:tx>
                <c:rich>
                  <a:bodyPr/>
                  <a:lstStyle/>
                  <a:p>
                    <a:fld id="{CF035BFF-72B0-46B5-8206-690DC42211E7}"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B0D8DD3A-5FA6-44B0-85C5-1FE27C5DA3B1}"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9.6199999999999992</c:v>
                </c:pt>
                <c:pt idx="1">
                  <c:v>0</c:v>
                </c:pt>
              </c:numCache>
            </c:numRef>
          </c:val>
        </c:ser>
        <c:dLbls>
          <c:showLegendKey val="0"/>
          <c:showVal val="0"/>
          <c:showCatName val="0"/>
          <c:showSerName val="0"/>
          <c:showPercent val="0"/>
          <c:showBubbleSize val="0"/>
        </c:dLbls>
        <c:gapWidth val="219"/>
        <c:overlap val="100"/>
        <c:axId val="468516816"/>
        <c:axId val="468517208"/>
      </c:barChart>
      <c:catAx>
        <c:axId val="468516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7208"/>
        <c:crossesAt val="0"/>
        <c:auto val="1"/>
        <c:lblAlgn val="ctr"/>
        <c:lblOffset val="100"/>
        <c:noMultiLvlLbl val="0"/>
      </c:catAx>
      <c:valAx>
        <c:axId val="468517208"/>
        <c:scaling>
          <c:orientation val="minMax"/>
          <c:max val="12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6816"/>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Număr ordonatori principali de credite la care Programul de dezvoltare SCIM include acțiuni de perfecționare profesională</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Da</c:v>
                </c:pt>
              </c:strCache>
            </c:strRef>
          </c:tx>
          <c:spPr>
            <a:solidFill>
              <a:srgbClr val="00B0F0"/>
            </a:solidFill>
            <a:ln>
              <a:noFill/>
            </a:ln>
            <a:effectLst/>
          </c:spPr>
          <c:invertIfNegative val="0"/>
          <c:dPt>
            <c:idx val="0"/>
            <c:invertIfNegative val="0"/>
            <c:bubble3D val="0"/>
            <c:spPr>
              <a:solidFill>
                <a:srgbClr val="00B0F0"/>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c:formatCode>
                <c:ptCount val="2"/>
                <c:pt idx="0">
                  <c:v>44</c:v>
                </c:pt>
                <c:pt idx="1">
                  <c:v>46</c:v>
                </c:pt>
              </c:numCache>
            </c:numRef>
          </c:val>
        </c:ser>
        <c:ser>
          <c:idx val="1"/>
          <c:order val="1"/>
          <c:tx>
            <c:strRef>
              <c:f>Sheet1!$C$1</c:f>
              <c:strCache>
                <c:ptCount val="1"/>
                <c:pt idx="0">
                  <c:v>Nu</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c:formatCode>
                <c:ptCount val="2"/>
                <c:pt idx="0">
                  <c:v>8</c:v>
                </c:pt>
                <c:pt idx="1">
                  <c:v>4</c:v>
                </c:pt>
              </c:numCache>
            </c:numRef>
          </c:val>
        </c:ser>
        <c:dLbls>
          <c:showLegendKey val="0"/>
          <c:showVal val="0"/>
          <c:showCatName val="0"/>
          <c:showSerName val="0"/>
          <c:showPercent val="0"/>
          <c:showBubbleSize val="0"/>
        </c:dLbls>
        <c:gapWidth val="219"/>
        <c:overlap val="-27"/>
        <c:axId val="468517992"/>
        <c:axId val="468518384"/>
      </c:barChart>
      <c:catAx>
        <c:axId val="468517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8384"/>
        <c:crossesAt val="0"/>
        <c:auto val="1"/>
        <c:lblAlgn val="ctr"/>
        <c:lblOffset val="100"/>
        <c:noMultiLvlLbl val="0"/>
      </c:catAx>
      <c:valAx>
        <c:axId val="4685183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7992"/>
        <c:crosses val="autoZero"/>
        <c:crossBetween val="between"/>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1" i="1" baseline="0">
                <a:effectLst/>
              </a:rPr>
              <a:t>Ponderea ordonatorilor principali de credite la care Programul de dezvoltare SCIM include acțiuni de perfecționare profesională</a:t>
            </a:r>
            <a:endParaRPr lang="ro-RO" sz="1100">
              <a:effectLst/>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stacked"/>
        <c:varyColors val="0"/>
        <c:ser>
          <c:idx val="0"/>
          <c:order val="0"/>
          <c:tx>
            <c:strRef>
              <c:f>Sheet1!$B$1</c:f>
              <c:strCache>
                <c:ptCount val="1"/>
                <c:pt idx="0">
                  <c:v>Da</c:v>
                </c:pt>
              </c:strCache>
            </c:strRef>
          </c:tx>
          <c:spPr>
            <a:solidFill>
              <a:srgbClr val="00B0F0"/>
            </a:solidFill>
            <a:ln>
              <a:noFill/>
            </a:ln>
            <a:effectLst/>
          </c:spPr>
          <c:invertIfNegative val="0"/>
          <c:dPt>
            <c:idx val="0"/>
            <c:invertIfNegative val="0"/>
            <c:bubble3D val="0"/>
            <c:spPr>
              <a:solidFill>
                <a:srgbClr val="00B0F0"/>
              </a:solidFill>
              <a:ln>
                <a:noFill/>
              </a:ln>
              <a:effectLst/>
            </c:spPr>
          </c:dPt>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F2189AB-DE48-4F94-891C-B2393A0D5CF2}"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84.62</c:v>
                </c:pt>
                <c:pt idx="1">
                  <c:v>92</c:v>
                </c:pt>
              </c:numCache>
            </c:numRef>
          </c:val>
        </c:ser>
        <c:ser>
          <c:idx val="1"/>
          <c:order val="1"/>
          <c:tx>
            <c:strRef>
              <c:f>Sheet1!$C$1</c:f>
              <c:strCache>
                <c:ptCount val="1"/>
                <c:pt idx="0">
                  <c:v>Nu</c:v>
                </c:pt>
              </c:strCache>
            </c:strRef>
          </c:tx>
          <c:spPr>
            <a:solidFill>
              <a:schemeClr val="accent4">
                <a:lumMod val="60000"/>
                <a:lumOff val="40000"/>
              </a:schemeClr>
            </a:solidFill>
            <a:ln>
              <a:noFill/>
            </a:ln>
            <a:effectLst/>
          </c:spPr>
          <c:invertIfNegative val="0"/>
          <c:dLbls>
            <c:dLbl>
              <c:idx val="0"/>
              <c:tx>
                <c:rich>
                  <a:bodyPr/>
                  <a:lstStyle/>
                  <a:p>
                    <a:fld id="{4A3D69FE-C1F5-4B44-BBF4-69AB025E948A}"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05D09F16-7CA5-4DBF-A484-CA261D4019E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15.38</c:v>
                </c:pt>
                <c:pt idx="1">
                  <c:v>8</c:v>
                </c:pt>
              </c:numCache>
            </c:numRef>
          </c:val>
        </c:ser>
        <c:dLbls>
          <c:showLegendKey val="0"/>
          <c:showVal val="0"/>
          <c:showCatName val="0"/>
          <c:showSerName val="0"/>
          <c:showPercent val="0"/>
          <c:showBubbleSize val="0"/>
        </c:dLbls>
        <c:gapWidth val="219"/>
        <c:overlap val="100"/>
        <c:axId val="468519168"/>
        <c:axId val="468519560"/>
      </c:barChart>
      <c:catAx>
        <c:axId val="468519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9560"/>
        <c:crossesAt val="0"/>
        <c:auto val="1"/>
        <c:lblAlgn val="ctr"/>
        <c:lblOffset val="100"/>
        <c:noMultiLvlLbl val="0"/>
      </c:catAx>
      <c:valAx>
        <c:axId val="468519560"/>
        <c:scaling>
          <c:orientation val="minMax"/>
          <c:max val="12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19168"/>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Număr ordonatori principali de credite  care au actualizat Programul de dezvoltare a sistemului de control intern managerial</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Da</c:v>
                </c:pt>
              </c:strCache>
            </c:strRef>
          </c:tx>
          <c:spPr>
            <a:solidFill>
              <a:srgbClr val="00B0F0"/>
            </a:solidFill>
            <a:ln>
              <a:noFill/>
            </a:ln>
            <a:effectLst/>
          </c:spPr>
          <c:invertIfNegative val="0"/>
          <c:dPt>
            <c:idx val="0"/>
            <c:invertIfNegative val="0"/>
            <c:bubble3D val="0"/>
            <c:spPr>
              <a:solidFill>
                <a:srgbClr val="00B0F0"/>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c:formatCode>
                <c:ptCount val="2"/>
                <c:pt idx="0">
                  <c:v>40</c:v>
                </c:pt>
                <c:pt idx="1">
                  <c:v>45</c:v>
                </c:pt>
              </c:numCache>
            </c:numRef>
          </c:val>
        </c:ser>
        <c:ser>
          <c:idx val="1"/>
          <c:order val="1"/>
          <c:tx>
            <c:strRef>
              <c:f>Sheet1!$C$1</c:f>
              <c:strCache>
                <c:ptCount val="1"/>
                <c:pt idx="0">
                  <c:v>Nu</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c:formatCode>
                <c:ptCount val="2"/>
                <c:pt idx="0">
                  <c:v>12</c:v>
                </c:pt>
                <c:pt idx="1">
                  <c:v>5</c:v>
                </c:pt>
              </c:numCache>
            </c:numRef>
          </c:val>
        </c:ser>
        <c:dLbls>
          <c:showLegendKey val="0"/>
          <c:showVal val="0"/>
          <c:showCatName val="0"/>
          <c:showSerName val="0"/>
          <c:showPercent val="0"/>
          <c:showBubbleSize val="0"/>
        </c:dLbls>
        <c:gapWidth val="219"/>
        <c:overlap val="-27"/>
        <c:axId val="468520344"/>
        <c:axId val="468520736"/>
      </c:barChart>
      <c:catAx>
        <c:axId val="468520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20736"/>
        <c:crossesAt val="0"/>
        <c:auto val="1"/>
        <c:lblAlgn val="ctr"/>
        <c:lblOffset val="100"/>
        <c:noMultiLvlLbl val="0"/>
      </c:catAx>
      <c:valAx>
        <c:axId val="4685207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20344"/>
        <c:crosses val="autoZero"/>
        <c:crossBetween val="between"/>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1" i="1" baseline="0">
                <a:effectLst/>
              </a:rPr>
              <a:t>Ponderea ordonatorilor principali de credite care au actualizat Programul de dezvoltare a sistemului de control intern managerial</a:t>
            </a:r>
            <a:endParaRPr lang="ro-RO" sz="1100">
              <a:effectLst/>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stacked"/>
        <c:varyColors val="0"/>
        <c:ser>
          <c:idx val="0"/>
          <c:order val="0"/>
          <c:tx>
            <c:strRef>
              <c:f>Sheet1!$B$1</c:f>
              <c:strCache>
                <c:ptCount val="1"/>
                <c:pt idx="0">
                  <c:v>Da</c:v>
                </c:pt>
              </c:strCache>
            </c:strRef>
          </c:tx>
          <c:spPr>
            <a:solidFill>
              <a:srgbClr val="00B0F0"/>
            </a:solidFill>
            <a:ln>
              <a:noFill/>
            </a:ln>
            <a:effectLst/>
          </c:spPr>
          <c:invertIfNegative val="0"/>
          <c:dPt>
            <c:idx val="0"/>
            <c:invertIfNegative val="0"/>
            <c:bubble3D val="0"/>
            <c:spPr>
              <a:solidFill>
                <a:srgbClr val="00B0F0"/>
              </a:solidFill>
              <a:ln>
                <a:noFill/>
              </a:ln>
              <a:effectLst/>
            </c:spPr>
          </c:dPt>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F2189AB-DE48-4F94-891C-B2393A0D5CF2}"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76.92</c:v>
                </c:pt>
                <c:pt idx="1">
                  <c:v>90</c:v>
                </c:pt>
              </c:numCache>
            </c:numRef>
          </c:val>
        </c:ser>
        <c:ser>
          <c:idx val="1"/>
          <c:order val="1"/>
          <c:tx>
            <c:strRef>
              <c:f>Sheet1!$C$1</c:f>
              <c:strCache>
                <c:ptCount val="1"/>
                <c:pt idx="0">
                  <c:v>Nu</c:v>
                </c:pt>
              </c:strCache>
            </c:strRef>
          </c:tx>
          <c:spPr>
            <a:solidFill>
              <a:schemeClr val="accent4">
                <a:lumMod val="60000"/>
                <a:lumOff val="40000"/>
              </a:schemeClr>
            </a:solidFill>
            <a:ln>
              <a:noFill/>
            </a:ln>
            <a:effectLst/>
          </c:spPr>
          <c:invertIfNegative val="0"/>
          <c:dLbls>
            <c:dLbl>
              <c:idx val="0"/>
              <c:tx>
                <c:rich>
                  <a:bodyPr/>
                  <a:lstStyle/>
                  <a:p>
                    <a:fld id="{7E892897-2A74-4638-AAA3-A51B80D4726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ABEA54A5-DF2D-4439-A1A7-7E4D97230247}"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23.08</c:v>
                </c:pt>
                <c:pt idx="1">
                  <c:v>10</c:v>
                </c:pt>
              </c:numCache>
            </c:numRef>
          </c:val>
        </c:ser>
        <c:dLbls>
          <c:showLegendKey val="0"/>
          <c:showVal val="0"/>
          <c:showCatName val="0"/>
          <c:showSerName val="0"/>
          <c:showPercent val="0"/>
          <c:showBubbleSize val="0"/>
        </c:dLbls>
        <c:gapWidth val="219"/>
        <c:overlap val="100"/>
        <c:axId val="468521520"/>
        <c:axId val="468521912"/>
      </c:barChart>
      <c:catAx>
        <c:axId val="468521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21912"/>
        <c:crossesAt val="0"/>
        <c:auto val="1"/>
        <c:lblAlgn val="ctr"/>
        <c:lblOffset val="100"/>
        <c:noMultiLvlLbl val="0"/>
      </c:catAx>
      <c:valAx>
        <c:axId val="468521912"/>
        <c:scaling>
          <c:orientation val="minMax"/>
          <c:max val="12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21520"/>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Număr ordonatori principali de credite la care există Compartimentul de audit </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Da</c:v>
                </c:pt>
              </c:strCache>
            </c:strRef>
          </c:tx>
          <c:spPr>
            <a:solidFill>
              <a:srgbClr val="00B0F0"/>
            </a:solidFill>
            <a:ln>
              <a:noFill/>
            </a:ln>
            <a:effectLst/>
          </c:spPr>
          <c:invertIfNegative val="0"/>
          <c:dPt>
            <c:idx val="0"/>
            <c:invertIfNegative val="0"/>
            <c:bubble3D val="0"/>
            <c:spPr>
              <a:solidFill>
                <a:srgbClr val="00B0F0"/>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c:formatCode>
                <c:ptCount val="2"/>
                <c:pt idx="0">
                  <c:v>50</c:v>
                </c:pt>
                <c:pt idx="1">
                  <c:v>48</c:v>
                </c:pt>
              </c:numCache>
            </c:numRef>
          </c:val>
        </c:ser>
        <c:ser>
          <c:idx val="1"/>
          <c:order val="1"/>
          <c:tx>
            <c:strRef>
              <c:f>Sheet1!$C$1</c:f>
              <c:strCache>
                <c:ptCount val="1"/>
                <c:pt idx="0">
                  <c:v>Nu</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c:formatCode>
                <c:ptCount val="2"/>
                <c:pt idx="0">
                  <c:v>2</c:v>
                </c:pt>
                <c:pt idx="1">
                  <c:v>2</c:v>
                </c:pt>
              </c:numCache>
            </c:numRef>
          </c:val>
        </c:ser>
        <c:dLbls>
          <c:showLegendKey val="0"/>
          <c:showVal val="0"/>
          <c:showCatName val="0"/>
          <c:showSerName val="0"/>
          <c:showPercent val="0"/>
          <c:showBubbleSize val="0"/>
        </c:dLbls>
        <c:gapWidth val="219"/>
        <c:overlap val="-27"/>
        <c:axId val="468522696"/>
        <c:axId val="468523088"/>
      </c:barChart>
      <c:catAx>
        <c:axId val="468522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23088"/>
        <c:crossesAt val="0"/>
        <c:auto val="1"/>
        <c:lblAlgn val="ctr"/>
        <c:lblOffset val="100"/>
        <c:noMultiLvlLbl val="0"/>
      </c:catAx>
      <c:valAx>
        <c:axId val="4685230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22696"/>
        <c:crosses val="autoZero"/>
        <c:crossBetween val="between"/>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1" i="1" baseline="0">
                <a:effectLst/>
              </a:rPr>
              <a:t>Ponderea ordonatorilor principali de credite la care Compartimentul de audit este funcțional</a:t>
            </a:r>
            <a:endParaRPr lang="ro-RO" sz="1100">
              <a:effectLst/>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stacked"/>
        <c:varyColors val="0"/>
        <c:ser>
          <c:idx val="0"/>
          <c:order val="0"/>
          <c:tx>
            <c:strRef>
              <c:f>Sheet1!$B$1</c:f>
              <c:strCache>
                <c:ptCount val="1"/>
                <c:pt idx="0">
                  <c:v>Da</c:v>
                </c:pt>
              </c:strCache>
            </c:strRef>
          </c:tx>
          <c:spPr>
            <a:solidFill>
              <a:srgbClr val="00B0F0"/>
            </a:solidFill>
            <a:ln>
              <a:noFill/>
            </a:ln>
            <a:effectLst/>
          </c:spPr>
          <c:invertIfNegative val="0"/>
          <c:dPt>
            <c:idx val="0"/>
            <c:invertIfNegative val="0"/>
            <c:bubble3D val="0"/>
            <c:spPr>
              <a:solidFill>
                <a:srgbClr val="00B0F0"/>
              </a:solidFill>
              <a:ln>
                <a:noFill/>
              </a:ln>
              <a:effectLst/>
            </c:spPr>
          </c:dPt>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F2189AB-DE48-4F94-891C-B2393A0D5CF2}"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96.15</c:v>
                </c:pt>
                <c:pt idx="1">
                  <c:v>96</c:v>
                </c:pt>
              </c:numCache>
            </c:numRef>
          </c:val>
        </c:ser>
        <c:ser>
          <c:idx val="1"/>
          <c:order val="1"/>
          <c:tx>
            <c:strRef>
              <c:f>Sheet1!$C$1</c:f>
              <c:strCache>
                <c:ptCount val="1"/>
                <c:pt idx="0">
                  <c:v>Nu</c:v>
                </c:pt>
              </c:strCache>
            </c:strRef>
          </c:tx>
          <c:spPr>
            <a:solidFill>
              <a:schemeClr val="accent4">
                <a:lumMod val="60000"/>
                <a:lumOff val="40000"/>
              </a:schemeClr>
            </a:solidFill>
            <a:ln>
              <a:noFill/>
            </a:ln>
            <a:effectLst/>
          </c:spPr>
          <c:invertIfNegative val="0"/>
          <c:dLbls>
            <c:dLbl>
              <c:idx val="0"/>
              <c:tx>
                <c:rich>
                  <a:bodyPr/>
                  <a:lstStyle/>
                  <a:p>
                    <a:fld id="{B10FDA99-2683-41B9-A405-4CB35231FC14}"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C03692BB-02F3-4E2C-950D-C188190EF52F}"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3.85</c:v>
                </c:pt>
                <c:pt idx="1">
                  <c:v>4</c:v>
                </c:pt>
              </c:numCache>
            </c:numRef>
          </c:val>
        </c:ser>
        <c:dLbls>
          <c:showLegendKey val="0"/>
          <c:showVal val="0"/>
          <c:showCatName val="0"/>
          <c:showSerName val="0"/>
          <c:showPercent val="0"/>
          <c:showBubbleSize val="0"/>
        </c:dLbls>
        <c:gapWidth val="219"/>
        <c:overlap val="100"/>
        <c:axId val="468523872"/>
        <c:axId val="468524264"/>
      </c:barChart>
      <c:catAx>
        <c:axId val="468523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24264"/>
        <c:crossesAt val="0"/>
        <c:auto val="1"/>
        <c:lblAlgn val="ctr"/>
        <c:lblOffset val="100"/>
        <c:noMultiLvlLbl val="0"/>
      </c:catAx>
      <c:valAx>
        <c:axId val="468524264"/>
        <c:scaling>
          <c:orientation val="minMax"/>
          <c:max val="12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23872"/>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Număr ordonatori principali de credite la care Compartimentul de audit  este format din minim 2 persoane</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Da</c:v>
                </c:pt>
              </c:strCache>
            </c:strRef>
          </c:tx>
          <c:spPr>
            <a:solidFill>
              <a:srgbClr val="00B0F0"/>
            </a:solidFill>
            <a:ln>
              <a:noFill/>
            </a:ln>
            <a:effectLst/>
          </c:spPr>
          <c:invertIfNegative val="0"/>
          <c:dPt>
            <c:idx val="0"/>
            <c:invertIfNegative val="0"/>
            <c:bubble3D val="0"/>
            <c:spPr>
              <a:solidFill>
                <a:srgbClr val="00B0F0"/>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c:formatCode>
                <c:ptCount val="2"/>
                <c:pt idx="0">
                  <c:v>39</c:v>
                </c:pt>
                <c:pt idx="1">
                  <c:v>38</c:v>
                </c:pt>
              </c:numCache>
            </c:numRef>
          </c:val>
        </c:ser>
        <c:ser>
          <c:idx val="1"/>
          <c:order val="1"/>
          <c:tx>
            <c:strRef>
              <c:f>Sheet1!$C$1</c:f>
              <c:strCache>
                <c:ptCount val="1"/>
                <c:pt idx="0">
                  <c:v>Nu</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c:formatCode>
                <c:ptCount val="2"/>
                <c:pt idx="0">
                  <c:v>13</c:v>
                </c:pt>
                <c:pt idx="1">
                  <c:v>12</c:v>
                </c:pt>
              </c:numCache>
            </c:numRef>
          </c:val>
        </c:ser>
        <c:dLbls>
          <c:showLegendKey val="0"/>
          <c:showVal val="0"/>
          <c:showCatName val="0"/>
          <c:showSerName val="0"/>
          <c:showPercent val="0"/>
          <c:showBubbleSize val="0"/>
        </c:dLbls>
        <c:gapWidth val="219"/>
        <c:overlap val="-27"/>
        <c:axId val="468525048"/>
        <c:axId val="468525440"/>
      </c:barChart>
      <c:catAx>
        <c:axId val="468525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25440"/>
        <c:crossesAt val="0"/>
        <c:auto val="1"/>
        <c:lblAlgn val="ctr"/>
        <c:lblOffset val="100"/>
        <c:noMultiLvlLbl val="0"/>
      </c:catAx>
      <c:valAx>
        <c:axId val="468525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25048"/>
        <c:crosses val="autoZero"/>
        <c:crossBetween val="between"/>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0" i="0" u="none" strike="noStrike" baseline="0">
                <a:effectLst/>
              </a:rPr>
              <a:t>Gradul de implementare a standardelor de control intern managerial, la nivelul ordonatorilor principali de credite – aparat propriu, </a:t>
            </a:r>
            <a:r>
              <a:rPr lang="ro-RO" sz="1100" b="0" i="0" baseline="0">
                <a:effectLst/>
                <a:latin typeface="Times New Roman" panose="02020603050405020304" pitchFamily="18" charset="0"/>
                <a:cs typeface="Times New Roman" panose="02020603050405020304" pitchFamily="18" charset="0"/>
              </a:rPr>
              <a:t>în perioada 2015 - 2016</a:t>
            </a:r>
          </a:p>
          <a:p>
            <a:pPr>
              <a:defRPr sz="1100">
                <a:latin typeface="Times New Roman" panose="02020603050405020304" pitchFamily="18" charset="0"/>
                <a:cs typeface="Times New Roman" panose="02020603050405020304" pitchFamily="18" charset="0"/>
              </a:defRPr>
            </a:pPr>
            <a:endParaRPr lang="ro-RO" sz="1100" b="0" i="0" baseline="0">
              <a:effectLst/>
              <a:latin typeface="Times New Roman" panose="02020603050405020304" pitchFamily="18" charset="0"/>
              <a:cs typeface="Times New Roman" panose="02020603050405020304" pitchFamily="18" charset="0"/>
            </a:endParaRPr>
          </a:p>
          <a:p>
            <a:pPr>
              <a:defRPr sz="1100">
                <a:latin typeface="Times New Roman" panose="02020603050405020304" pitchFamily="18" charset="0"/>
                <a:cs typeface="Times New Roman" panose="02020603050405020304" pitchFamily="18" charset="0"/>
              </a:defRPr>
            </a:pPr>
            <a:r>
              <a:rPr lang="ro-RO" sz="1100" b="0" i="1" u="none" strike="noStrike" baseline="0">
                <a:effectLst/>
              </a:rPr>
              <a:t>Implementate (I) (%)</a:t>
            </a:r>
            <a:endParaRPr lang="ro-RO" sz="1100" b="0" i="1">
              <a:effectLst/>
              <a:latin typeface="Times New Roman" panose="02020603050405020304" pitchFamily="18" charset="0"/>
              <a:cs typeface="Times New Roman" panose="02020603050405020304" pitchFamily="18" charset="0"/>
            </a:endParaRPr>
          </a:p>
        </c:rich>
      </c:tx>
      <c:layout>
        <c:manualLayout>
          <c:xMode val="edge"/>
          <c:yMode val="edge"/>
          <c:x val="0.11211752786220872"/>
          <c:y val="9.0293453724604959E-3"/>
        </c:manualLayout>
      </c:layout>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2015</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0.00</c:formatCode>
                <c:ptCount val="16"/>
                <c:pt idx="0">
                  <c:v>90.38</c:v>
                </c:pt>
                <c:pt idx="1">
                  <c:v>57.69</c:v>
                </c:pt>
                <c:pt idx="2">
                  <c:v>88.46</c:v>
                </c:pt>
                <c:pt idx="3">
                  <c:v>92.31</c:v>
                </c:pt>
                <c:pt idx="4">
                  <c:v>86.54</c:v>
                </c:pt>
                <c:pt idx="5">
                  <c:v>84.62</c:v>
                </c:pt>
                <c:pt idx="6">
                  <c:v>75</c:v>
                </c:pt>
                <c:pt idx="7">
                  <c:v>69.23</c:v>
                </c:pt>
                <c:pt idx="8">
                  <c:v>63.46</c:v>
                </c:pt>
                <c:pt idx="9">
                  <c:v>76.92</c:v>
                </c:pt>
                <c:pt idx="10">
                  <c:v>67.31</c:v>
                </c:pt>
                <c:pt idx="11">
                  <c:v>94.23</c:v>
                </c:pt>
                <c:pt idx="12">
                  <c:v>73.08</c:v>
                </c:pt>
                <c:pt idx="13">
                  <c:v>90.38</c:v>
                </c:pt>
                <c:pt idx="14">
                  <c:v>90.38</c:v>
                </c:pt>
                <c:pt idx="15">
                  <c:v>90.38</c:v>
                </c:pt>
              </c:numCache>
            </c:numRef>
          </c:val>
        </c:ser>
        <c:ser>
          <c:idx val="1"/>
          <c:order val="1"/>
          <c:tx>
            <c:strRef>
              <c:f>Sheet1!$C$1</c:f>
              <c:strCache>
                <c:ptCount val="1"/>
                <c:pt idx="0">
                  <c:v>2016</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0.00</c:formatCode>
                <c:ptCount val="16"/>
                <c:pt idx="0">
                  <c:v>94</c:v>
                </c:pt>
                <c:pt idx="1">
                  <c:v>52</c:v>
                </c:pt>
                <c:pt idx="2">
                  <c:v>82</c:v>
                </c:pt>
                <c:pt idx="3">
                  <c:v>90</c:v>
                </c:pt>
                <c:pt idx="4">
                  <c:v>80</c:v>
                </c:pt>
                <c:pt idx="5">
                  <c:v>82</c:v>
                </c:pt>
                <c:pt idx="6">
                  <c:v>78</c:v>
                </c:pt>
                <c:pt idx="7">
                  <c:v>70</c:v>
                </c:pt>
                <c:pt idx="8">
                  <c:v>52</c:v>
                </c:pt>
                <c:pt idx="9">
                  <c:v>76</c:v>
                </c:pt>
                <c:pt idx="10">
                  <c:v>60</c:v>
                </c:pt>
                <c:pt idx="11">
                  <c:v>92</c:v>
                </c:pt>
                <c:pt idx="12">
                  <c:v>66</c:v>
                </c:pt>
                <c:pt idx="13">
                  <c:v>94</c:v>
                </c:pt>
                <c:pt idx="14">
                  <c:v>92</c:v>
                </c:pt>
                <c:pt idx="15">
                  <c:v>92</c:v>
                </c:pt>
              </c:numCache>
            </c:numRef>
          </c:val>
        </c:ser>
        <c:dLbls>
          <c:showLegendKey val="0"/>
          <c:showVal val="0"/>
          <c:showCatName val="0"/>
          <c:showSerName val="0"/>
          <c:showPercent val="0"/>
          <c:showBubbleSize val="0"/>
        </c:dLbls>
        <c:gapWidth val="182"/>
        <c:axId val="259413672"/>
        <c:axId val="259414064"/>
      </c:barChart>
      <c:catAx>
        <c:axId val="2594136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259414064"/>
        <c:crosses val="autoZero"/>
        <c:auto val="1"/>
        <c:lblAlgn val="ctr"/>
        <c:lblOffset val="100"/>
        <c:noMultiLvlLbl val="0"/>
      </c:catAx>
      <c:valAx>
        <c:axId val="25941406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259413672"/>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1379172991056167"/>
          <c:h val="2.51061788443594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1" i="1" baseline="0">
                <a:effectLst/>
              </a:rPr>
              <a:t>Ponderea ordonatorilor principali de credite la care Compartimentul de audit este format din minim 2 persoane</a:t>
            </a:r>
            <a:endParaRPr lang="ro-RO" sz="1100">
              <a:effectLst/>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stacked"/>
        <c:varyColors val="0"/>
        <c:ser>
          <c:idx val="0"/>
          <c:order val="0"/>
          <c:tx>
            <c:strRef>
              <c:f>Sheet1!$B$1</c:f>
              <c:strCache>
                <c:ptCount val="1"/>
                <c:pt idx="0">
                  <c:v>Da</c:v>
                </c:pt>
              </c:strCache>
            </c:strRef>
          </c:tx>
          <c:spPr>
            <a:solidFill>
              <a:srgbClr val="00B0F0"/>
            </a:solidFill>
            <a:ln>
              <a:noFill/>
            </a:ln>
            <a:effectLst/>
          </c:spPr>
          <c:invertIfNegative val="0"/>
          <c:dPt>
            <c:idx val="0"/>
            <c:invertIfNegative val="0"/>
            <c:bubble3D val="0"/>
            <c:spPr>
              <a:solidFill>
                <a:srgbClr val="00B0F0"/>
              </a:solidFill>
              <a:ln>
                <a:noFill/>
              </a:ln>
              <a:effectLst/>
            </c:spPr>
          </c:dPt>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9F2189AB-DE48-4F94-891C-B2393A0D5CF2}"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Sheet1!$B$2:$B$3</c:f>
              <c:numCache>
                <c:formatCode>0.00</c:formatCode>
                <c:ptCount val="2"/>
                <c:pt idx="0">
                  <c:v>75</c:v>
                </c:pt>
                <c:pt idx="1">
                  <c:v>76</c:v>
                </c:pt>
              </c:numCache>
            </c:numRef>
          </c:val>
        </c:ser>
        <c:ser>
          <c:idx val="1"/>
          <c:order val="1"/>
          <c:tx>
            <c:strRef>
              <c:f>Sheet1!$C$1</c:f>
              <c:strCache>
                <c:ptCount val="1"/>
                <c:pt idx="0">
                  <c:v>Nu</c:v>
                </c:pt>
              </c:strCache>
            </c:strRef>
          </c:tx>
          <c:spPr>
            <a:solidFill>
              <a:schemeClr val="accent4">
                <a:lumMod val="60000"/>
                <a:lumOff val="40000"/>
              </a:schemeClr>
            </a:solidFill>
            <a:ln>
              <a:noFill/>
            </a:ln>
            <a:effectLst/>
          </c:spPr>
          <c:invertIfNegative val="0"/>
          <c:dLbls>
            <c:dLbl>
              <c:idx val="0"/>
              <c:tx>
                <c:rich>
                  <a:bodyPr/>
                  <a:lstStyle/>
                  <a:p>
                    <a:fld id="{AEDFBA8E-F5A5-4DDB-8378-848FD2355B2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C1BD2BAF-AB6B-426C-B889-35E6AB4501CA}"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2015</c:v>
                </c:pt>
                <c:pt idx="1">
                  <c:v>2016</c:v>
                </c:pt>
              </c:numCache>
            </c:numRef>
          </c:cat>
          <c:val>
            <c:numRef>
              <c:f>Sheet1!$C$2:$C$3</c:f>
              <c:numCache>
                <c:formatCode>0.00</c:formatCode>
                <c:ptCount val="2"/>
                <c:pt idx="0">
                  <c:v>25</c:v>
                </c:pt>
                <c:pt idx="1">
                  <c:v>24</c:v>
                </c:pt>
              </c:numCache>
            </c:numRef>
          </c:val>
        </c:ser>
        <c:dLbls>
          <c:showLegendKey val="0"/>
          <c:showVal val="0"/>
          <c:showCatName val="0"/>
          <c:showSerName val="0"/>
          <c:showPercent val="0"/>
          <c:showBubbleSize val="0"/>
        </c:dLbls>
        <c:gapWidth val="219"/>
        <c:overlap val="100"/>
        <c:axId val="468526224"/>
        <c:axId val="468526616"/>
      </c:barChart>
      <c:catAx>
        <c:axId val="468526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26616"/>
        <c:crossesAt val="0"/>
        <c:auto val="1"/>
        <c:lblAlgn val="ctr"/>
        <c:lblOffset val="100"/>
        <c:noMultiLvlLbl val="0"/>
      </c:catAx>
      <c:valAx>
        <c:axId val="468526616"/>
        <c:scaling>
          <c:orientation val="minMax"/>
          <c:max val="12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8526224"/>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lumMod val="85000"/>
      </a:schemeClr>
    </a:soli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8BD21-CC4C-420D-B954-537BBBFA9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1</Pages>
  <Words>19602</Words>
  <Characters>113694</Characters>
  <Application>Microsoft Office Word</Application>
  <DocSecurity>0</DocSecurity>
  <Lines>947</Lines>
  <Paragraphs>266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133030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Daniela Galca</dc:creator>
  <cp:keywords/>
  <dc:description/>
  <cp:lastModifiedBy>Daniela Galca</cp:lastModifiedBy>
  <cp:revision>152</cp:revision>
  <cp:lastPrinted>2017-07-27T12:04:00Z</cp:lastPrinted>
  <dcterms:created xsi:type="dcterms:W3CDTF">2017-06-26T06:24:00Z</dcterms:created>
  <dcterms:modified xsi:type="dcterms:W3CDTF">2017-07-27T13:25:00Z</dcterms:modified>
</cp:coreProperties>
</file>