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920" w:rsidRPr="00CF3DD4" w:rsidRDefault="005B7AF9" w:rsidP="0032080C">
      <w:pPr>
        <w:spacing w:after="0" w:line="240" w:lineRule="auto"/>
        <w:jc w:val="center"/>
        <w:rPr>
          <w:rFonts w:asciiTheme="majorHAnsi" w:hAnsiTheme="majorHAnsi" w:cstheme="majorHAnsi"/>
          <w:b/>
          <w:i/>
          <w:color w:val="7030A0"/>
          <w:sz w:val="28"/>
          <w:szCs w:val="28"/>
          <w:lang w:val="ro-RO"/>
        </w:rPr>
      </w:pPr>
      <w:r w:rsidRPr="00CF3DD4">
        <w:rPr>
          <w:rFonts w:asciiTheme="majorHAnsi" w:hAnsiTheme="majorHAnsi" w:cstheme="majorHAnsi"/>
          <w:b/>
          <w:noProof/>
          <w:sz w:val="32"/>
          <w:szCs w:val="32"/>
          <w:lang w:val="en-US"/>
        </w:rPr>
        <mc:AlternateContent>
          <mc:Choice Requires="wpg">
            <w:drawing>
              <wp:anchor distT="45720" distB="45720" distL="182880" distR="182880" simplePos="0" relativeHeight="251659264" behindDoc="0" locked="0" layoutInCell="1" allowOverlap="1">
                <wp:simplePos x="0" y="0"/>
                <wp:positionH relativeFrom="margin">
                  <wp:posOffset>3886200</wp:posOffset>
                </wp:positionH>
                <wp:positionV relativeFrom="margin">
                  <wp:posOffset>-742950</wp:posOffset>
                </wp:positionV>
                <wp:extent cx="5585460" cy="3990340"/>
                <wp:effectExtent l="0" t="0" r="0" b="10160"/>
                <wp:wrapSquare wrapText="bothSides"/>
                <wp:docPr id="198" name="Group 198"/>
                <wp:cNvGraphicFramePr/>
                <a:graphic xmlns:a="http://schemas.openxmlformats.org/drawingml/2006/main">
                  <a:graphicData uri="http://schemas.microsoft.com/office/word/2010/wordprocessingGroup">
                    <wpg:wgp>
                      <wpg:cNvGrpSpPr/>
                      <wpg:grpSpPr>
                        <a:xfrm flipH="1">
                          <a:off x="0" y="0"/>
                          <a:ext cx="5585460" cy="3990340"/>
                          <a:chOff x="2" y="-231757"/>
                          <a:chExt cx="3579657" cy="1331222"/>
                        </a:xfrm>
                      </wpg:grpSpPr>
                      <wps:wsp>
                        <wps:cNvPr id="199" name="Rectangle 199"/>
                        <wps:cNvSpPr/>
                        <wps:spPr>
                          <a:xfrm>
                            <a:off x="2" y="-231757"/>
                            <a:ext cx="3579657" cy="12520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B7AF9" w:rsidRPr="007E001A" w:rsidRDefault="000A6118">
                              <w:pPr>
                                <w:jc w:val="center"/>
                                <w:rPr>
                                  <w:rFonts w:asciiTheme="majorHAnsi" w:eastAsiaTheme="majorEastAsia" w:hAnsiTheme="majorHAnsi" w:cstheme="majorBidi"/>
                                  <w:b/>
                                  <w:color w:val="FF0000"/>
                                  <w:sz w:val="28"/>
                                  <w:szCs w:val="28"/>
                                  <w:lang w:val="ro-RO"/>
                                </w:rPr>
                              </w:pPr>
                              <w:r w:rsidRPr="007E001A">
                                <w:rPr>
                                  <w:rFonts w:asciiTheme="majorHAnsi" w:eastAsiaTheme="majorEastAsia" w:hAnsiTheme="majorHAnsi" w:cstheme="majorBidi"/>
                                  <w:b/>
                                  <w:color w:val="FF0000"/>
                                  <w:sz w:val="28"/>
                                  <w:szCs w:val="28"/>
                                  <w:lang w:val="ro-RO"/>
                                </w:rPr>
                                <w:t>ASEMĂNĂRI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2179" y="-85609"/>
                            <a:ext cx="3565269" cy="11850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Conceptul de societate civilă este definit în același mod, ca fiind ansamblul formelor de organizare care asigură o solidaritate și o capacitate de reacție spontană a indivizilor și a grupurilor de indivizi față de deciziile statului și, în general, față de tot ce se petrece în viața de zi cu zi a țării. Ea este formată din totalitatea organizațiilor și instituțiilor non-guvernamentale care exprimă interesele și voința cetățenilor, indivizii și organizațiile din societate independente de guvern.</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Toate statele care au făcut obiectul  analizei au structuri guvernamentale la nivel central responsabile de relația cu societatea civilă. Misiunea lor este aceea de a asigura cadrul juridic, instituțional și financiar pentru funcționarea asociațiilor și încurajarea dezvoltării unei societăți civile puternice și autonome ca partener indispensabil al statului în pregătirea și punerea în aplicare a politicilor publice.</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Domeniile în care organizațiile neguvernamentale acționează sunt aceleași: sănătate, servicii sociale; muncă și angajare; mediu; economie și finanțe; afaceri europene și internaționale; agricultură, pescuit și alimentație, educație, cultură și comunicare, voluntariat, artă și cultură, sport, tineret, etc.</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Gradul de inactivitate a organizațiilor din cadrul societății civile este semnificativ în fiecare dintre statele analizate, activitatea și implicarea cetățenilor în mediul asociativ variind, fiind dificilă evaluarea cu exactitate în timp real a numărului de organizații care sunt active sau nu.</w:t>
                              </w:r>
                            </w:p>
                            <w:p w:rsidR="00D2129F" w:rsidRPr="00D2129F" w:rsidRDefault="00DC46D8" w:rsidP="00D2129F">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 xml:space="preserve">Cadrul legislativ de bază cuprinde o serie de asemănări, respectiv: legi privind necesitatea și obligativitatea consultării societății civile în elaborarea politicilor publice, a strategiilor guvernamentale, a proiectelor de acte normative, precum și legislație privind constituirea asociațiilor, fundațiilor, organizațiilor societății civile; cadrul legal privind dialogul cu societatea civilă și modul de interacțiune cu acesta, platforme de consultare on-line, întâlniri, ședințe publice, legislație privind modul de finanțare a activităților organizațiilor societății civile din fonduri publice și din alte fonduri, etc. </w:t>
                              </w:r>
                            </w:p>
                            <w:p w:rsidR="00D2129F" w:rsidRPr="00D2129F" w:rsidRDefault="00D2129F" w:rsidP="00D2129F">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Toate structurile guvernamentale similare DGDRSC sunt finanțate de la bugetul național, dar și din alte instrumente financiare: fonduri europene nerambursabile, mecanismul norvegian de finanțare, programul de cooperare cu Elveția, etc.</w:t>
                              </w:r>
                            </w:p>
                            <w:p w:rsidR="000A6118" w:rsidRPr="00DC46D8" w:rsidRDefault="000A6118" w:rsidP="00D2129F">
                              <w:pPr>
                                <w:pStyle w:val="ListParagraph"/>
                                <w:spacing w:after="0" w:line="276" w:lineRule="auto"/>
                                <w:ind w:left="142"/>
                                <w:jc w:val="both"/>
                                <w:rPr>
                                  <w:rFonts w:ascii="Trebuchet MS" w:eastAsia="MS Mincho" w:hAnsi="Trebuchet MS" w:cs="Times New Roman"/>
                                  <w:color w:val="1F4E79" w:themeColor="accent1" w:themeShade="80"/>
                                  <w:sz w:val="16"/>
                                  <w:szCs w:val="16"/>
                                  <w:lang w:val="ro-RO"/>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98" o:spid="_x0000_s1026" style="position:absolute;left:0;text-align:left;margin-left:306pt;margin-top:-58.5pt;width:439.8pt;height:314.2pt;flip:x;z-index:251659264;mso-wrap-distance-left:14.4pt;mso-wrap-distance-top:3.6pt;mso-wrap-distance-right:14.4pt;mso-wrap-distance-bottom:3.6pt;mso-position-horizontal-relative:margin;mso-position-vertical-relative:margin;mso-width-relative:margin;mso-height-relative:margin" coordorigin=",-2317" coordsize="35796,13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">
                <v:rect id="Rectangle 199" o:spid="_x0000_s1027" style="position:absolute;top:-2317;width:35796;height:1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8+K8MA&#10;AADcAAAADwAAAGRycy9kb3ducmV2LnhtbERPTWvCQBC9F/wPywi91Y0KrUZXEUGQUgpGPXgbsmM2&#10;mp0N2TWm/fVdoeBtHu9z5svOVqKlxpeOFQwHCQji3OmSCwWH/eZtAsIHZI2VY1LwQx6Wi97LHFPt&#10;7ryjNguFiCHsU1RgQqhTKX1uyKIfuJo4cmfXWAwRNoXUDd5juK3kKEnepcWSY4PBmtaG8mt2swo+&#10;Lx/jzLSr9nf8TUfjjl+nzdor9drvVjMQgbrwFP+7tzrOn07h8U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8+K8MAAADcAAAADwAAAAAAAAAAAAAAAACYAgAAZHJzL2Rv&#10;d25yZXYueG1sUEsFBgAAAAAEAAQA9QAAAIgDAAAAAA==&#10;" fillcolor="#5b9bd5 [3204]" stroked="f" strokeweight="1pt">
                  <v:textbox>
                    <w:txbxContent>
                      <w:p w:rsidR="005B7AF9" w:rsidRPr="007E001A" w:rsidRDefault="000A6118">
                        <w:pPr>
                          <w:jc w:val="center"/>
                          <w:rPr>
                            <w:rFonts w:asciiTheme="majorHAnsi" w:eastAsiaTheme="majorEastAsia" w:hAnsiTheme="majorHAnsi" w:cstheme="majorBidi"/>
                            <w:b/>
                            <w:color w:val="FF0000"/>
                            <w:sz w:val="28"/>
                            <w:szCs w:val="28"/>
                            <w:lang w:val="ro-RO"/>
                          </w:rPr>
                        </w:pPr>
                        <w:r w:rsidRPr="007E001A">
                          <w:rPr>
                            <w:rFonts w:asciiTheme="majorHAnsi" w:eastAsiaTheme="majorEastAsia" w:hAnsiTheme="majorHAnsi" w:cstheme="majorBidi"/>
                            <w:b/>
                            <w:color w:val="FF0000"/>
                            <w:sz w:val="28"/>
                            <w:szCs w:val="28"/>
                            <w:lang w:val="ro-RO"/>
                          </w:rPr>
                          <w:t>ASEMĂNĂRI</w:t>
                        </w:r>
                      </w:p>
                    </w:txbxContent>
                  </v:textbox>
                </v:rect>
                <v:shapetype id="_x0000_t202" coordsize="21600,21600" o:spt="202" path="m,l,21600r21600,l21600,xe">
                  <v:stroke joinstyle="miter"/>
                  <v:path gradientshapeok="t" o:connecttype="rect"/>
                </v:shapetype>
                <v:shape id="Text Box 200" o:spid="_x0000_s1028" type="#_x0000_t202" style="position:absolute;left:21;top:-856;width:35653;height:11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ZEcEA&#10;AADcAAAADwAAAGRycy9kb3ducmV2LnhtbESPQYvCMBSE7wv+h/AEb5qquCvVKCIIgiK7VfT6aJ5t&#10;sXmpTdT6740g7HGYmW+Y6bwxpbhT7QrLCvq9CARxanXBmYLDftUdg3AeWWNpmRQ8ycF81vqaYqzt&#10;g//onvhMBAi7GBXk3lexlC7NyaDr2Yo4eGdbG/RB1pnUNT4C3JRyEEXf0mDBYSHHipY5pZfkZhT8&#10;bn72ZXH0Sx5isjtt3fXcjFCpTrtZTEB4avx/+NNeawWBCO8z4Qj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112RHBAAAA3AAAAA8AAAAAAAAAAAAAAAAAmAIAAGRycy9kb3du&#10;cmV2LnhtbFBLBQYAAAAABAAEAPUAAACGAwAAAAA=&#10;" filled="f" stroked="f" strokeweight=".5pt">
                  <v:textbox inset=",7.2pt,,0">
                    <w:txbxContent>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Conceptul de societate civilă este definit în același mod, ca fiind ansamblul formelor de organizare care asigură o solidaritate și o capacitate de reacție spontană a indivizilor și a grupurilor de indivizi față de deciziile statului și, în general, față de tot ce se petrece în viața de zi cu zi a țării. Ea este formată din totalitatea organizațiilor și instituțiilor non-guvernamentale care exprimă interesele și voința cetățenilor, indivizii și organizațiile din societate independente de guvern.</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Toate statele care au făcut obiectul  analizei au structuri guvernamentale la nivel central responsabile de relația cu societatea civilă. Misiunea lor este aceea de a asigura cadrul juridic, instituțional și financiar pentru funcționarea asociațiilor și încurajarea dezvoltării unei societăți civile puternice și autonome ca partener indispensabil al statului în pregătirea și punerea în aplicare a politicilor publice.</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Domeniile în care organizațiile neguvernamentale acționează sunt aceleași: sănătate, servicii sociale; muncă și angajare; mediu; economie și finanțe; afaceri europene și internaționale; agricultură, pescuit și alimentație, educație, cultură și comunicare, voluntariat, artă și cultură, sport, tineret, etc.</w:t>
                        </w:r>
                      </w:p>
                      <w:p w:rsidR="00DC46D8" w:rsidRPr="00D2129F"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Gradul de inactivitate a organizațiilor din cadrul societății civile este semnificativ în fiecare dintre statele analizate, activitatea și implicarea cetățenilor în mediul asociativ variind, fiind dificilă evaluarea cu exactitate în timp real a numărului de organizații care sunt active sau nu.</w:t>
                        </w:r>
                      </w:p>
                      <w:p w:rsidR="00D2129F" w:rsidRPr="00D2129F" w:rsidRDefault="00DC46D8" w:rsidP="00D2129F">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 xml:space="preserve">Cadrul legislativ de bază cuprinde o serie de asemănări, respectiv: legi privind necesitatea și obligativitatea consultării societății civile în elaborarea politicilor publice, a strategiilor guvernamentale, a proiectelor de acte normative, precum și legislație privind constituirea asociațiilor, fundațiilor, organizațiilor societății civile; cadrul legal privind dialogul cu societatea civilă și modul de interacțiune cu acesta, platforme de consultare on-line, întâlniri, ședințe publice, legislație privind modul de finanțare a activităților organizațiilor societății civile din fonduri publice și din alte fonduri, etc. </w:t>
                        </w:r>
                      </w:p>
                      <w:p w:rsidR="00D2129F" w:rsidRPr="00D2129F" w:rsidRDefault="00D2129F" w:rsidP="00D2129F">
                        <w:pPr>
                          <w:pStyle w:val="ListParagraph"/>
                          <w:numPr>
                            <w:ilvl w:val="0"/>
                            <w:numId w:val="2"/>
                          </w:numPr>
                          <w:spacing w:after="0" w:line="276" w:lineRule="auto"/>
                          <w:ind w:left="142" w:hanging="142"/>
                          <w:jc w:val="both"/>
                          <w:rPr>
                            <w:rFonts w:ascii="Trebuchet MS" w:eastAsia="MS Mincho" w:hAnsi="Trebuchet MS" w:cs="Times New Roman"/>
                            <w:color w:val="C00000"/>
                            <w:sz w:val="16"/>
                            <w:szCs w:val="16"/>
                            <w:lang w:val="ro-RO"/>
                          </w:rPr>
                        </w:pPr>
                        <w:r w:rsidRPr="00D2129F">
                          <w:rPr>
                            <w:rFonts w:ascii="Trebuchet MS" w:eastAsia="MS Mincho" w:hAnsi="Trebuchet MS" w:cs="Times New Roman"/>
                            <w:color w:val="C00000"/>
                            <w:sz w:val="16"/>
                            <w:szCs w:val="16"/>
                            <w:lang w:val="ro-RO"/>
                          </w:rPr>
                          <w:t>Toate structurile guvernamentale similare DGDRSC sunt finanțate de la bugetul național, dar și din alte instrumente financiare: fonduri europene nerambursabile, mecanismul norvegian de finanțare, programul de cooperare cu Elveția, etc.</w:t>
                        </w:r>
                      </w:p>
                      <w:p w:rsidR="000A6118" w:rsidRPr="00DC46D8" w:rsidRDefault="000A6118" w:rsidP="00D2129F">
                        <w:pPr>
                          <w:pStyle w:val="ListParagraph"/>
                          <w:spacing w:after="0" w:line="276" w:lineRule="auto"/>
                          <w:ind w:left="142"/>
                          <w:jc w:val="both"/>
                          <w:rPr>
                            <w:rFonts w:ascii="Trebuchet MS" w:eastAsia="MS Mincho" w:hAnsi="Trebuchet MS" w:cs="Times New Roman"/>
                            <w:color w:val="1F4E79" w:themeColor="accent1" w:themeShade="80"/>
                            <w:sz w:val="16"/>
                            <w:szCs w:val="16"/>
                            <w:lang w:val="ro-RO"/>
                          </w:rPr>
                        </w:pPr>
                      </w:p>
                    </w:txbxContent>
                  </v:textbox>
                </v:shape>
                <w10:wrap type="square" anchorx="margin" anchory="margin"/>
              </v:group>
            </w:pict>
          </mc:Fallback>
        </mc:AlternateContent>
      </w:r>
      <w:r w:rsidR="00662A3E" w:rsidRPr="00CF3DD4">
        <w:rPr>
          <w:rFonts w:asciiTheme="majorHAnsi" w:hAnsiTheme="majorHAnsi" w:cstheme="majorHAnsi"/>
          <w:b/>
          <w:i/>
          <w:color w:val="7030A0"/>
          <w:sz w:val="32"/>
          <w:szCs w:val="32"/>
          <w:lang w:val="ro-RO"/>
        </w:rPr>
        <w:t>STUDIU COMPARATI</w:t>
      </w:r>
      <w:r w:rsidR="00CF3DD4" w:rsidRPr="00CF3DD4">
        <w:rPr>
          <w:rFonts w:asciiTheme="majorHAnsi" w:hAnsiTheme="majorHAnsi" w:cstheme="majorHAnsi"/>
          <w:b/>
          <w:i/>
          <w:color w:val="7030A0"/>
          <w:sz w:val="32"/>
          <w:szCs w:val="32"/>
          <w:lang w:val="ro-RO"/>
        </w:rPr>
        <w:t>V</w:t>
      </w:r>
    </w:p>
    <w:p w:rsidR="00662A3E" w:rsidRPr="00662A3E" w:rsidRDefault="00662A3E" w:rsidP="0032080C">
      <w:pPr>
        <w:spacing w:after="0" w:line="240" w:lineRule="auto"/>
        <w:jc w:val="center"/>
        <w:rPr>
          <w:rFonts w:asciiTheme="majorHAnsi" w:hAnsiTheme="majorHAnsi" w:cstheme="majorHAnsi"/>
          <w:b/>
          <w:i/>
          <w:color w:val="7030A0"/>
          <w:sz w:val="20"/>
          <w:szCs w:val="20"/>
          <w:lang w:val="ro-RO"/>
        </w:rPr>
      </w:pPr>
      <w:r w:rsidRPr="00662A3E">
        <w:rPr>
          <w:rFonts w:asciiTheme="majorHAnsi" w:hAnsiTheme="majorHAnsi" w:cstheme="majorHAnsi"/>
          <w:b/>
          <w:i/>
          <w:color w:val="7030A0"/>
          <w:sz w:val="20"/>
          <w:szCs w:val="20"/>
          <w:lang w:val="ro-RO"/>
        </w:rPr>
        <w:t xml:space="preserve">Privind </w:t>
      </w:r>
      <w:bookmarkStart w:id="0" w:name="_GoBack"/>
      <w:r w:rsidRPr="00662A3E">
        <w:rPr>
          <w:rFonts w:asciiTheme="majorHAnsi" w:hAnsiTheme="majorHAnsi" w:cstheme="majorHAnsi"/>
          <w:b/>
          <w:i/>
          <w:color w:val="7030A0"/>
          <w:sz w:val="20"/>
          <w:szCs w:val="20"/>
          <w:lang w:val="ro-RO"/>
        </w:rPr>
        <w:t>domeniul activității de consultare cu societatea civilă</w:t>
      </w:r>
      <w:bookmarkEnd w:id="0"/>
      <w:r w:rsidRPr="00662A3E">
        <w:rPr>
          <w:rFonts w:asciiTheme="majorHAnsi" w:hAnsiTheme="majorHAnsi" w:cstheme="majorHAnsi"/>
          <w:b/>
          <w:i/>
          <w:color w:val="7030A0"/>
          <w:sz w:val="20"/>
          <w:szCs w:val="20"/>
          <w:lang w:val="ro-RO"/>
        </w:rPr>
        <w:t>, de către administrația publică centrală</w:t>
      </w:r>
    </w:p>
    <w:p w:rsidR="00465F4D" w:rsidRPr="00662A3E" w:rsidRDefault="00465F4D">
      <w:pPr>
        <w:rPr>
          <w:lang w:val="ro-RO"/>
        </w:rPr>
      </w:pPr>
    </w:p>
    <w:p w:rsidR="00465F4D" w:rsidRPr="00662A3E" w:rsidRDefault="007E001A">
      <w:pPr>
        <w:rPr>
          <w:lang w:val="ro-RO"/>
        </w:rPr>
      </w:pPr>
      <w:r w:rsidRPr="00662A3E">
        <w:rPr>
          <w:noProof/>
          <w:lang w:val="en-US"/>
        </w:rPr>
        <mc:AlternateContent>
          <mc:Choice Requires="wpg">
            <w:drawing>
              <wp:anchor distT="45720" distB="45720" distL="182880" distR="182880" simplePos="0" relativeHeight="251661312" behindDoc="0" locked="0" layoutInCell="1" allowOverlap="1">
                <wp:simplePos x="0" y="0"/>
                <wp:positionH relativeFrom="margin">
                  <wp:posOffset>3914775</wp:posOffset>
                </wp:positionH>
                <wp:positionV relativeFrom="margin">
                  <wp:posOffset>3019425</wp:posOffset>
                </wp:positionV>
                <wp:extent cx="5603875" cy="3313430"/>
                <wp:effectExtent l="0" t="0" r="0" b="1270"/>
                <wp:wrapSquare wrapText="bothSides"/>
                <wp:docPr id="4" name="Group 4"/>
                <wp:cNvGraphicFramePr/>
                <a:graphic xmlns:a="http://schemas.openxmlformats.org/drawingml/2006/main">
                  <a:graphicData uri="http://schemas.microsoft.com/office/word/2010/wordprocessingGroup">
                    <wpg:wgp>
                      <wpg:cNvGrpSpPr/>
                      <wpg:grpSpPr>
                        <a:xfrm flipH="1">
                          <a:off x="0" y="0"/>
                          <a:ext cx="5603875" cy="3313430"/>
                          <a:chOff x="-32369" y="-62228"/>
                          <a:chExt cx="3599818" cy="1565401"/>
                        </a:xfrm>
                      </wpg:grpSpPr>
                      <wps:wsp>
                        <wps:cNvPr id="5" name="Rectangle 5"/>
                        <wps:cNvSpPr/>
                        <wps:spPr>
                          <a:xfrm>
                            <a:off x="1" y="-62228"/>
                            <a:ext cx="3567448" cy="171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E001A" w:rsidRPr="007E001A" w:rsidRDefault="007E001A">
                              <w:pPr>
                                <w:jc w:val="center"/>
                                <w:rPr>
                                  <w:rFonts w:asciiTheme="majorHAnsi" w:eastAsiaTheme="majorEastAsia" w:hAnsiTheme="majorHAnsi" w:cstheme="majorBidi"/>
                                  <w:b/>
                                  <w:color w:val="002060"/>
                                  <w:sz w:val="28"/>
                                  <w:szCs w:val="28"/>
                                  <w:lang w:val="ro-RO"/>
                                </w:rPr>
                              </w:pPr>
                              <w:r w:rsidRPr="007E001A">
                                <w:rPr>
                                  <w:rFonts w:asciiTheme="majorHAnsi" w:eastAsiaTheme="majorEastAsia" w:hAnsiTheme="majorHAnsi" w:cstheme="majorBidi"/>
                                  <w:b/>
                                  <w:color w:val="002060"/>
                                  <w:sz w:val="28"/>
                                  <w:szCs w:val="28"/>
                                  <w:lang w:val="ro-RO"/>
                                </w:rPr>
                                <w:t>DEOSEBIRI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2369" y="131272"/>
                            <a:ext cx="3567448" cy="13719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Spre deosebire de restul statelor, în România, Direcția pentru Guvernare Deschisă și Relația cu Societatea Civilă (DGDRSC) din cadrul SGG are atribuții sporite privind transparența instituțională în toate domeniile care fac obiectul activității administrației publice centrale, ceea ce se regăsește mult diminuat la celelalte state, activitatea lor de transparență vizând în principal optimizarea cadrului legislativ în activitatea de consultare cu guvernul central.</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În statele supuse analizei, există mecanisme clare de raportare către instituția centrală responsabilă cu relația cu societate civilă, a datelor ce privesc înființarea, organizarea și funcționarea organizațiilor, a modului în care accesează și utilizează fondurile publice - ceea ce permite nu doar elaborarea unor analize și studii privind acest domeniu, cât mai ales elaborarea strategiilor  pe termen lung prin care Guvernul poate contribui la creșterea capacității organizaționale a societății civile și, implicit, a implicării responsabile în realizarea obiectivelor comune propuse.</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Structurile centrale guvernamentale responsabile cu relația cu societate civilă din celelalte state supuse analizei au în mod principal atribuții care vizează asigurarea de sprijin constant nu doar în ceea ce privește funcționarea lor, dar mai ales în identificarea/acordarea resurselor financiare pe care aceste organizații le pot accesa pentru desfășurarea activităților lor.</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8"/>
                                  <w:szCs w:val="18"/>
                                  <w:lang w:val="ro-RO"/>
                                </w:rPr>
                              </w:pPr>
                              <w:r w:rsidRPr="00DC46D8">
                                <w:rPr>
                                  <w:rFonts w:ascii="Trebuchet MS" w:eastAsia="MS Mincho" w:hAnsi="Trebuchet MS" w:cs="Times New Roman"/>
                                  <w:color w:val="1F4E79" w:themeColor="accent1" w:themeShade="80"/>
                                  <w:sz w:val="16"/>
                                  <w:szCs w:val="16"/>
                                  <w:lang w:val="ro-RO"/>
                                </w:rPr>
                                <w:t>Instituția centrală responsabilă, în cele mai multe cazuri, are constituite</w:t>
                              </w:r>
                              <w:r w:rsidRPr="00DC46D8">
                                <w:rPr>
                                  <w:rFonts w:ascii="Trebuchet MS" w:eastAsia="MS Mincho" w:hAnsi="Trebuchet MS" w:cs="Times New Roman"/>
                                  <w:color w:val="1F4E79" w:themeColor="accent1" w:themeShade="80"/>
                                  <w:sz w:val="18"/>
                                  <w:szCs w:val="18"/>
                                  <w:lang w:val="ro-RO"/>
                                </w:rPr>
                                <w:t xml:space="preserve"> comisii, comitete, grupuri de lucru mixte (responsabili de la nivel guvernamental și al societății civile), care se întâlnesc periodic și care fac raportări periodice asupra progreselor înregistrate în activitățile desfășurate.</w:t>
                              </w:r>
                            </w:p>
                            <w:p w:rsidR="007E001A" w:rsidRDefault="007E001A">
                              <w:pPr>
                                <w:rPr>
                                  <w:caps/>
                                  <w:color w:val="5B9BD5" w:themeColor="accent1"/>
                                  <w:sz w:val="26"/>
                                  <w:szCs w:val="26"/>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 o:spid="_x0000_s1029" style="position:absolute;margin-left:308.25pt;margin-top:237.75pt;width:441.25pt;height:260.9pt;flip:x;z-index:251661312;mso-wrap-distance-left:14.4pt;mso-wrap-distance-top:3.6pt;mso-wrap-distance-right:14.4pt;mso-wrap-distance-bottom:3.6pt;mso-position-horizontal-relative:margin;mso-position-vertical-relative:margin;mso-width-relative:margin;mso-height-relative:margin" coordorigin="-323,-622" coordsize="35998,15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">
                <v:rect id="Rectangle 5" o:spid="_x0000_s1030" style="position:absolute;top:-622;width:35674;height:1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kvSMMA&#10;AADaAAAADwAAAGRycy9kb3ducmV2LnhtbESPQWvCQBSE7wX/w/IEb3WjYpXoKiIIRYrQVA/eHtln&#10;Npp9G7LbmPrr3UKhx2FmvmGW685WoqXGl44VjIYJCOLc6ZILBcev3eschA/IGivHpOCHPKxXvZcl&#10;ptrd+ZPaLBQiQtinqMCEUKdS+tyQRT90NXH0Lq6xGKJsCqkbvEe4reQ4Sd6kxZLjgsGatobyW/Zt&#10;Feyvs0lm2k37mBzoZNzp47zbeqUG/W6zABGoC//hv/a7VjCF3yvxBs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kvSMMAAADaAAAADwAAAAAAAAAAAAAAAACYAgAAZHJzL2Rv&#10;d25yZXYueG1sUEsFBgAAAAAEAAQA9QAAAIgDAAAAAA==&#10;" fillcolor="#5b9bd5 [3204]" stroked="f" strokeweight="1pt">
                  <v:textbox>
                    <w:txbxContent>
                      <w:p w:rsidR="007E001A" w:rsidRPr="007E001A" w:rsidRDefault="007E001A">
                        <w:pPr>
                          <w:jc w:val="center"/>
                          <w:rPr>
                            <w:rFonts w:asciiTheme="majorHAnsi" w:eastAsiaTheme="majorEastAsia" w:hAnsiTheme="majorHAnsi" w:cstheme="majorBidi"/>
                            <w:b/>
                            <w:color w:val="002060"/>
                            <w:sz w:val="28"/>
                            <w:szCs w:val="28"/>
                            <w:lang w:val="ro-RO"/>
                          </w:rPr>
                        </w:pPr>
                        <w:r w:rsidRPr="007E001A">
                          <w:rPr>
                            <w:rFonts w:asciiTheme="majorHAnsi" w:eastAsiaTheme="majorEastAsia" w:hAnsiTheme="majorHAnsi" w:cstheme="majorBidi"/>
                            <w:b/>
                            <w:color w:val="002060"/>
                            <w:sz w:val="28"/>
                            <w:szCs w:val="28"/>
                            <w:lang w:val="ro-RO"/>
                          </w:rPr>
                          <w:t>DEOSEBIRI</w:t>
                        </w:r>
                      </w:p>
                    </w:txbxContent>
                  </v:textbox>
                </v:rect>
                <v:shape id="Text Box 6" o:spid="_x0000_s1031" type="#_x0000_t202" style="position:absolute;left:-323;top:1312;width:35673;height:137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svLMMA&#10;AADaAAAADwAAAGRycy9kb3ducmV2LnhtbESPQWvCQBSE7wX/w/KE3pqNilrSrCKCILRIjdJeH9ln&#10;Esy+jdltEv+9Wyj0OMzMN0y6HkwtOmpdZVnBJIpBEOdWV1woOJ92L68gnEfWWFsmBXdysF6NnlJM&#10;tO35SF3mCxEg7BJUUHrfJFK6vCSDLrINcfAutjXog2wLqVvsA9zUchrHC2mw4rBQYkPbkvJr9mMU&#10;fL4vT3X15bc8w+zw/eFul2GOSj2Ph80bCE+D/w//tfdawQJ+r4Qb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svLMMAAADaAAAADwAAAAAAAAAAAAAAAACYAgAAZHJzL2Rv&#10;d25yZXYueG1sUEsFBgAAAAAEAAQA9QAAAIgDAAAAAA==&#10;" filled="f" stroked="f" strokeweight=".5pt">
                  <v:textbox inset=",7.2pt,,0">
                    <w:txbxContent>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Spre deosebire de restul statelor, în România, Direcția pentru Guvernare Deschisă și Relația cu Societatea Civilă (DGDRSC) din cadrul SGG are atribuții sporite privind transparența instituțională în toate domeniile care fac obiectul activității administrației publice centrale, ceea ce se regăsește mult diminuat la celelalte state, activitatea lor de transparență vizând în principal optimizarea cadrului legislativ în activitatea de consultare cu guvernul central.</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În statele supuse analizei, există mecanisme clare de raportare către instituția centrală responsabilă cu relația cu societate civilă, a datelor ce privesc înființarea, organizarea și funcționarea organizațiilor, a modului în care accesează și utilizează fondurile publice - ceea ce permite nu doar elaborarea unor analize și studii privind acest domeniu, cât mai ales elaborarea strategiilor  pe termen lung prin care Guvernul poate contribui la creșterea capacității organizaționale a societății civile și, implicit, a implicării responsabile în realizarea obiectivelor comune propuse.</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6"/>
                            <w:szCs w:val="16"/>
                            <w:lang w:val="ro-RO"/>
                          </w:rPr>
                        </w:pPr>
                        <w:r w:rsidRPr="00DC46D8">
                          <w:rPr>
                            <w:rFonts w:ascii="Trebuchet MS" w:eastAsia="MS Mincho" w:hAnsi="Trebuchet MS" w:cs="Times New Roman"/>
                            <w:color w:val="1F4E79" w:themeColor="accent1" w:themeShade="80"/>
                            <w:sz w:val="16"/>
                            <w:szCs w:val="16"/>
                            <w:lang w:val="ro-RO"/>
                          </w:rPr>
                          <w:t>Structurile centrale guvernamentale responsabile cu relația cu societate civilă din celelalte state supuse analizei au în mod principal atribuții care vizează asigurarea de sprijin constant nu doar în ceea ce privește funcționarea lor, dar mai ales în identificarea/acordarea resurselor financiare pe care aceste organizații le pot accesa pentru desfășurarea activităților lor.</w:t>
                        </w:r>
                      </w:p>
                      <w:p w:rsidR="00DC46D8" w:rsidRPr="00DC46D8" w:rsidRDefault="00DC46D8" w:rsidP="00DC46D8">
                        <w:pPr>
                          <w:pStyle w:val="ListParagraph"/>
                          <w:numPr>
                            <w:ilvl w:val="0"/>
                            <w:numId w:val="2"/>
                          </w:numPr>
                          <w:spacing w:after="0" w:line="276" w:lineRule="auto"/>
                          <w:ind w:left="142" w:hanging="142"/>
                          <w:jc w:val="both"/>
                          <w:rPr>
                            <w:rFonts w:ascii="Trebuchet MS" w:eastAsia="MS Mincho" w:hAnsi="Trebuchet MS" w:cs="Times New Roman"/>
                            <w:color w:val="1F4E79" w:themeColor="accent1" w:themeShade="80"/>
                            <w:sz w:val="18"/>
                            <w:szCs w:val="18"/>
                            <w:lang w:val="ro-RO"/>
                          </w:rPr>
                        </w:pPr>
                        <w:r w:rsidRPr="00DC46D8">
                          <w:rPr>
                            <w:rFonts w:ascii="Trebuchet MS" w:eastAsia="MS Mincho" w:hAnsi="Trebuchet MS" w:cs="Times New Roman"/>
                            <w:color w:val="1F4E79" w:themeColor="accent1" w:themeShade="80"/>
                            <w:sz w:val="16"/>
                            <w:szCs w:val="16"/>
                            <w:lang w:val="ro-RO"/>
                          </w:rPr>
                          <w:t>Instituția centrală responsabilă, în cele mai multe cazuri, are constituite</w:t>
                        </w:r>
                        <w:r w:rsidRPr="00DC46D8">
                          <w:rPr>
                            <w:rFonts w:ascii="Trebuchet MS" w:eastAsia="MS Mincho" w:hAnsi="Trebuchet MS" w:cs="Times New Roman"/>
                            <w:color w:val="1F4E79" w:themeColor="accent1" w:themeShade="80"/>
                            <w:sz w:val="18"/>
                            <w:szCs w:val="18"/>
                            <w:lang w:val="ro-RO"/>
                          </w:rPr>
                          <w:t xml:space="preserve"> comisii, comitete, grupuri de lucru mixte (responsabili de la nivel guvernamental și al societății civile), care se întâlnesc periodic și care fac raportări periodice asupra progreselor înregistrate în activitățile desfășurate.</w:t>
                        </w:r>
                      </w:p>
                      <w:p w:rsidR="007E001A" w:rsidRDefault="007E001A">
                        <w:pPr>
                          <w:rPr>
                            <w:caps/>
                            <w:color w:val="5B9BD5" w:themeColor="accent1"/>
                            <w:sz w:val="26"/>
                            <w:szCs w:val="26"/>
                          </w:rPr>
                        </w:pPr>
                      </w:p>
                    </w:txbxContent>
                  </v:textbox>
                </v:shape>
                <w10:wrap type="square" anchorx="margin" anchory="margin"/>
              </v:group>
            </w:pict>
          </mc:Fallback>
        </mc:AlternateContent>
      </w:r>
      <w:r w:rsidR="00465F4D" w:rsidRPr="00662A3E">
        <w:rPr>
          <w:noProof/>
          <w:lang w:val="en-US"/>
        </w:rPr>
        <w:drawing>
          <wp:inline distT="0" distB="0" distL="0" distR="0">
            <wp:extent cx="3637052" cy="4469130"/>
            <wp:effectExtent l="0" t="38100" r="40005" b="4572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sectPr w:rsidR="00465F4D" w:rsidRPr="00662A3E" w:rsidSect="00465F4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62CD2"/>
    <w:multiLevelType w:val="hybridMultilevel"/>
    <w:tmpl w:val="F2DCA544"/>
    <w:lvl w:ilvl="0" w:tplc="953230FE">
      <w:start w:val="16"/>
      <w:numFmt w:val="bullet"/>
      <w:lvlText w:val="-"/>
      <w:lvlJc w:val="left"/>
      <w:pPr>
        <w:ind w:left="1800" w:hanging="360"/>
      </w:pPr>
      <w:rPr>
        <w:rFonts w:ascii="Trebuchet MS" w:eastAsia="MS Mincho" w:hAnsi="Trebuchet MS" w:cs="Times New Roman" w:hint="default"/>
        <w:color w:val="auto"/>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58CF3D26"/>
    <w:multiLevelType w:val="hybridMultilevel"/>
    <w:tmpl w:val="F2DCA544"/>
    <w:lvl w:ilvl="0" w:tplc="953230FE">
      <w:start w:val="16"/>
      <w:numFmt w:val="bullet"/>
      <w:lvlText w:val="-"/>
      <w:lvlJc w:val="left"/>
      <w:pPr>
        <w:ind w:left="1800" w:hanging="360"/>
      </w:pPr>
      <w:rPr>
        <w:rFonts w:ascii="Trebuchet MS" w:eastAsia="MS Mincho" w:hAnsi="Trebuchet MS" w:cs="Times New Roman" w:hint="default"/>
        <w:color w:val="auto"/>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78191BB3"/>
    <w:multiLevelType w:val="hybridMultilevel"/>
    <w:tmpl w:val="BFF474AE"/>
    <w:lvl w:ilvl="0" w:tplc="0809000D">
      <w:start w:val="1"/>
      <w:numFmt w:val="bullet"/>
      <w:lvlText w:val=""/>
      <w:lvlJc w:val="left"/>
      <w:pPr>
        <w:ind w:left="1920" w:hanging="360"/>
      </w:pPr>
      <w:rPr>
        <w:rFonts w:ascii="Wingdings" w:hAnsi="Wingdings"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F4D"/>
    <w:rsid w:val="000A6118"/>
    <w:rsid w:val="000F71BE"/>
    <w:rsid w:val="0032080C"/>
    <w:rsid w:val="00465F4D"/>
    <w:rsid w:val="005B7AF9"/>
    <w:rsid w:val="00662A3E"/>
    <w:rsid w:val="00692CBB"/>
    <w:rsid w:val="0075023C"/>
    <w:rsid w:val="007E001A"/>
    <w:rsid w:val="008726AE"/>
    <w:rsid w:val="00A2012E"/>
    <w:rsid w:val="00B07C1C"/>
    <w:rsid w:val="00C46920"/>
    <w:rsid w:val="00CF3DD4"/>
    <w:rsid w:val="00D2129F"/>
    <w:rsid w:val="00D76B1A"/>
    <w:rsid w:val="00D83761"/>
    <w:rsid w:val="00DC46D8"/>
    <w:rsid w:val="00FC3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AD1DE0-7AC4-472C-9749-944ABD9BF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7AF9"/>
    <w:rPr>
      <w:color w:val="808080"/>
    </w:rPr>
  </w:style>
  <w:style w:type="paragraph" w:styleId="ListParagraph">
    <w:name w:val="List Paragraph"/>
    <w:basedOn w:val="Normal"/>
    <w:uiPriority w:val="34"/>
    <w:qFormat/>
    <w:rsid w:val="005B7A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D379E0-9F51-4AE6-A0E6-F882E36BE9D8}" type="doc">
      <dgm:prSet loTypeId="urn:microsoft.com/office/officeart/2005/8/layout/vList6" loCatId="process" qsTypeId="urn:microsoft.com/office/officeart/2005/8/quickstyle/simple1" qsCatId="simple" csTypeId="urn:microsoft.com/office/officeart/2005/8/colors/accent1_2" csCatId="accent1" phldr="1"/>
      <dgm:spPr/>
      <dgm:t>
        <a:bodyPr/>
        <a:lstStyle/>
        <a:p>
          <a:endParaRPr lang="en-GB"/>
        </a:p>
      </dgm:t>
    </dgm:pt>
    <dgm:pt modelId="{53B09CB6-DBA1-4F89-8E31-B2CF77098D93}">
      <dgm:prSet phldrT="[Text]"/>
      <dgm:spPr/>
      <dgm:t>
        <a:bodyPr/>
        <a:lstStyle/>
        <a:p>
          <a:r>
            <a:rPr lang="ro-RO"/>
            <a:t>ROMÂNIA</a:t>
          </a:r>
          <a:endParaRPr lang="en-GB"/>
        </a:p>
      </dgm:t>
    </dgm:pt>
    <dgm:pt modelId="{6C8E2CBB-B101-49F7-8C78-F1AA480D5069}" type="parTrans" cxnId="{919D102D-B976-42ED-8765-BBE573AD7D29}">
      <dgm:prSet/>
      <dgm:spPr/>
      <dgm:t>
        <a:bodyPr/>
        <a:lstStyle/>
        <a:p>
          <a:endParaRPr lang="en-GB"/>
        </a:p>
      </dgm:t>
    </dgm:pt>
    <dgm:pt modelId="{C57DADCD-C839-470E-88CC-FCA11B85C7F4}" type="sibTrans" cxnId="{919D102D-B976-42ED-8765-BBE573AD7D29}">
      <dgm:prSet/>
      <dgm:spPr/>
      <dgm:t>
        <a:bodyPr/>
        <a:lstStyle/>
        <a:p>
          <a:endParaRPr lang="en-GB"/>
        </a:p>
      </dgm:t>
    </dgm:pt>
    <dgm:pt modelId="{4DE75100-2E85-4E37-87D3-CB68DE8FCB39}">
      <dgm:prSet phldrT="[Text]" custT="1"/>
      <dgm:spPr/>
      <dgm:t>
        <a:bodyPr/>
        <a:lstStyle/>
        <a:p>
          <a:r>
            <a:rPr lang="ro-RO" sz="800"/>
            <a:t>SECRETARIATUL GENERAL AL GUVERNULUI</a:t>
          </a:r>
          <a:endParaRPr lang="en-GB" sz="800"/>
        </a:p>
      </dgm:t>
    </dgm:pt>
    <dgm:pt modelId="{38877D29-5318-4CB2-AD8E-EB2E4A546B53}" type="parTrans" cxnId="{1EC53D1F-5F1F-4A68-B0FE-BE1F1A0E9153}">
      <dgm:prSet/>
      <dgm:spPr/>
      <dgm:t>
        <a:bodyPr/>
        <a:lstStyle/>
        <a:p>
          <a:endParaRPr lang="en-GB"/>
        </a:p>
      </dgm:t>
    </dgm:pt>
    <dgm:pt modelId="{C7EA6412-747F-4D38-9DD0-4AD9469BD73D}" type="sibTrans" cxnId="{1EC53D1F-5F1F-4A68-B0FE-BE1F1A0E9153}">
      <dgm:prSet/>
      <dgm:spPr/>
      <dgm:t>
        <a:bodyPr/>
        <a:lstStyle/>
        <a:p>
          <a:endParaRPr lang="en-GB"/>
        </a:p>
      </dgm:t>
    </dgm:pt>
    <dgm:pt modelId="{D95BE58F-1C4A-4A60-8777-9BB52DBFE8EC}">
      <dgm:prSet phldrT="[Text]" custT="1"/>
      <dgm:spPr/>
      <dgm:t>
        <a:bodyPr/>
        <a:lstStyle/>
        <a:p>
          <a:r>
            <a:rPr lang="ro-RO" sz="800"/>
            <a:t>DIRECȚIA PENTRU GUVERNARE DESCHISĂ ȘI RELAȚIA CU SOCIETATEA CIVILĂ</a:t>
          </a:r>
          <a:endParaRPr lang="en-GB" sz="800"/>
        </a:p>
      </dgm:t>
    </dgm:pt>
    <dgm:pt modelId="{E0A0B96A-47E0-4742-8D92-0806FC1D589C}" type="parTrans" cxnId="{20B0E6CE-D57D-4998-A4E2-D9D64B6251E8}">
      <dgm:prSet/>
      <dgm:spPr/>
      <dgm:t>
        <a:bodyPr/>
        <a:lstStyle/>
        <a:p>
          <a:endParaRPr lang="en-GB"/>
        </a:p>
      </dgm:t>
    </dgm:pt>
    <dgm:pt modelId="{EEBC5D2D-2A73-4417-9381-5142900E8BB5}" type="sibTrans" cxnId="{20B0E6CE-D57D-4998-A4E2-D9D64B6251E8}">
      <dgm:prSet/>
      <dgm:spPr/>
      <dgm:t>
        <a:bodyPr/>
        <a:lstStyle/>
        <a:p>
          <a:endParaRPr lang="en-GB"/>
        </a:p>
      </dgm:t>
    </dgm:pt>
    <dgm:pt modelId="{7C7985FB-3B6D-425D-8870-64B92B2F46FC}">
      <dgm:prSet phldrT="[Text]"/>
      <dgm:spPr/>
      <dgm:t>
        <a:bodyPr/>
        <a:lstStyle/>
        <a:p>
          <a:r>
            <a:rPr lang="ro-RO"/>
            <a:t>POLONIA</a:t>
          </a:r>
        </a:p>
      </dgm:t>
    </dgm:pt>
    <dgm:pt modelId="{3C1C6296-1D8E-4376-AE62-491709008599}" type="parTrans" cxnId="{38572F49-5041-46B6-AC65-8D5BE915D8CF}">
      <dgm:prSet/>
      <dgm:spPr/>
      <dgm:t>
        <a:bodyPr/>
        <a:lstStyle/>
        <a:p>
          <a:endParaRPr lang="en-GB"/>
        </a:p>
      </dgm:t>
    </dgm:pt>
    <dgm:pt modelId="{A4443B81-FEE9-4BB4-9B2A-3332AFB23E83}" type="sibTrans" cxnId="{38572F49-5041-46B6-AC65-8D5BE915D8CF}">
      <dgm:prSet/>
      <dgm:spPr/>
      <dgm:t>
        <a:bodyPr/>
        <a:lstStyle/>
        <a:p>
          <a:endParaRPr lang="en-GB"/>
        </a:p>
      </dgm:t>
    </dgm:pt>
    <dgm:pt modelId="{78BCAFE1-6796-43E6-966E-91D14F6F49DE}">
      <dgm:prSet phldrT="[Text]" custT="1"/>
      <dgm:spPr/>
      <dgm:t>
        <a:bodyPr/>
        <a:lstStyle/>
        <a:p>
          <a:r>
            <a:rPr lang="en-GB" sz="800" b="0" i="0" u="none"/>
            <a:t>NFI- Institutul Național pentru Libertate - Centrul pentru Dezvoltarea Societății Civile CSSD</a:t>
          </a:r>
          <a:endParaRPr lang="en-GB" sz="800"/>
        </a:p>
      </dgm:t>
    </dgm:pt>
    <dgm:pt modelId="{E8676723-E0CC-4A75-BF30-E2D2D4702F3D}" type="parTrans" cxnId="{C5EA3ADB-AD19-4FAD-B310-C3AC98AAB9D5}">
      <dgm:prSet/>
      <dgm:spPr/>
      <dgm:t>
        <a:bodyPr/>
        <a:lstStyle/>
        <a:p>
          <a:endParaRPr lang="en-GB"/>
        </a:p>
      </dgm:t>
    </dgm:pt>
    <dgm:pt modelId="{CF4DE4AA-D233-45CC-A87A-69AD9822680A}" type="sibTrans" cxnId="{C5EA3ADB-AD19-4FAD-B310-C3AC98AAB9D5}">
      <dgm:prSet/>
      <dgm:spPr/>
      <dgm:t>
        <a:bodyPr/>
        <a:lstStyle/>
        <a:p>
          <a:endParaRPr lang="en-GB"/>
        </a:p>
      </dgm:t>
    </dgm:pt>
    <dgm:pt modelId="{7C525E29-8D52-461A-BD59-238064EEB7A1}">
      <dgm:prSet phldrT="[Text]"/>
      <dgm:spPr/>
      <dgm:t>
        <a:bodyPr/>
        <a:lstStyle/>
        <a:p>
          <a:r>
            <a:rPr lang="ro-RO"/>
            <a:t>FRANȚA</a:t>
          </a:r>
          <a:endParaRPr lang="en-GB"/>
        </a:p>
      </dgm:t>
    </dgm:pt>
    <dgm:pt modelId="{77102677-6582-4D5D-B32A-37C920046D43}" type="parTrans" cxnId="{3EC1EB4F-38A8-4BAE-9CF5-026CACD6AC2A}">
      <dgm:prSet/>
      <dgm:spPr/>
      <dgm:t>
        <a:bodyPr/>
        <a:lstStyle/>
        <a:p>
          <a:endParaRPr lang="en-GB"/>
        </a:p>
      </dgm:t>
    </dgm:pt>
    <dgm:pt modelId="{4AEB0F79-7FEB-467E-A529-85F904B80139}" type="sibTrans" cxnId="{3EC1EB4F-38A8-4BAE-9CF5-026CACD6AC2A}">
      <dgm:prSet/>
      <dgm:spPr/>
      <dgm:t>
        <a:bodyPr/>
        <a:lstStyle/>
        <a:p>
          <a:endParaRPr lang="en-GB"/>
        </a:p>
      </dgm:t>
    </dgm:pt>
    <dgm:pt modelId="{A605EF74-7A93-4234-8676-CF74FD7745BB}">
      <dgm:prSet custT="1"/>
      <dgm:spPr/>
      <dgm:t>
        <a:bodyPr/>
        <a:lstStyle/>
        <a:p>
          <a:r>
            <a:rPr lang="en-GB" sz="800" b="0" i="0" u="none"/>
            <a:t>CESE -Consiliul Economic, Social și pentru Mediu</a:t>
          </a:r>
          <a:endParaRPr lang="en-GB" sz="800"/>
        </a:p>
      </dgm:t>
    </dgm:pt>
    <dgm:pt modelId="{C25AF0B8-A981-4E2D-9AEE-C5D14EDBBD92}" type="parTrans" cxnId="{7B575F69-ABD5-4BFD-A919-6108FDFF7333}">
      <dgm:prSet/>
      <dgm:spPr/>
      <dgm:t>
        <a:bodyPr/>
        <a:lstStyle/>
        <a:p>
          <a:endParaRPr lang="en-GB"/>
        </a:p>
      </dgm:t>
    </dgm:pt>
    <dgm:pt modelId="{93529093-86B9-4A80-9672-6C6929BDFB25}" type="sibTrans" cxnId="{7B575F69-ABD5-4BFD-A919-6108FDFF7333}">
      <dgm:prSet/>
      <dgm:spPr/>
      <dgm:t>
        <a:bodyPr/>
        <a:lstStyle/>
        <a:p>
          <a:endParaRPr lang="en-GB"/>
        </a:p>
      </dgm:t>
    </dgm:pt>
    <dgm:pt modelId="{DF4A0615-3574-477F-BF78-8036FC6E380B}">
      <dgm:prSet/>
      <dgm:spPr/>
      <dgm:t>
        <a:bodyPr/>
        <a:lstStyle/>
        <a:p>
          <a:r>
            <a:rPr lang="ro-RO"/>
            <a:t>CROAȚIA</a:t>
          </a:r>
          <a:endParaRPr lang="en-GB"/>
        </a:p>
      </dgm:t>
    </dgm:pt>
    <dgm:pt modelId="{D5B9B5B4-66F3-4DAB-A0E0-70134FD4E01A}" type="parTrans" cxnId="{B23D45D9-E217-4ED2-B398-7E4965463670}">
      <dgm:prSet/>
      <dgm:spPr/>
      <dgm:t>
        <a:bodyPr/>
        <a:lstStyle/>
        <a:p>
          <a:endParaRPr lang="en-GB"/>
        </a:p>
      </dgm:t>
    </dgm:pt>
    <dgm:pt modelId="{80BCC3AB-9926-4335-977F-11EB78077F93}" type="sibTrans" cxnId="{B23D45D9-E217-4ED2-B398-7E4965463670}">
      <dgm:prSet/>
      <dgm:spPr/>
      <dgm:t>
        <a:bodyPr/>
        <a:lstStyle/>
        <a:p>
          <a:endParaRPr lang="en-GB"/>
        </a:p>
      </dgm:t>
    </dgm:pt>
    <dgm:pt modelId="{E08F7461-A1B6-490F-B1A5-D6DA06C82C9A}">
      <dgm:prSet custT="1"/>
      <dgm:spPr/>
      <dgm:t>
        <a:bodyPr/>
        <a:lstStyle/>
        <a:p>
          <a:endParaRPr lang="en-GB" sz="800"/>
        </a:p>
      </dgm:t>
    </dgm:pt>
    <dgm:pt modelId="{A40D3F4E-8EBC-4C5E-97C2-3A504AACB2F9}" type="parTrans" cxnId="{63168F4B-3518-4309-BB79-5A4696D504E2}">
      <dgm:prSet/>
      <dgm:spPr/>
      <dgm:t>
        <a:bodyPr/>
        <a:lstStyle/>
        <a:p>
          <a:endParaRPr lang="en-GB"/>
        </a:p>
      </dgm:t>
    </dgm:pt>
    <dgm:pt modelId="{4DF03C48-043A-45EC-8ED7-2D32D3FAF43F}" type="sibTrans" cxnId="{63168F4B-3518-4309-BB79-5A4696D504E2}">
      <dgm:prSet/>
      <dgm:spPr/>
      <dgm:t>
        <a:bodyPr/>
        <a:lstStyle/>
        <a:p>
          <a:endParaRPr lang="en-GB"/>
        </a:p>
      </dgm:t>
    </dgm:pt>
    <dgm:pt modelId="{7C022C7D-586F-4965-94A4-45E00FAC5EBA}">
      <dgm:prSet custT="1"/>
      <dgm:spPr/>
      <dgm:t>
        <a:bodyPr/>
        <a:lstStyle/>
        <a:p>
          <a:r>
            <a:rPr lang="en-GB" sz="800" b="0" i="0" u="none"/>
            <a:t>Oficiul Guvernamental pentru Cooperarea cu ong-urile</a:t>
          </a:r>
          <a:endParaRPr lang="en-GB" sz="800"/>
        </a:p>
      </dgm:t>
    </dgm:pt>
    <dgm:pt modelId="{F18C2EAD-AFA8-416D-80FF-B72D29ADC0DE}" type="parTrans" cxnId="{288AD8F0-9AA1-47D3-9B75-3C962D6100D5}">
      <dgm:prSet/>
      <dgm:spPr/>
      <dgm:t>
        <a:bodyPr/>
        <a:lstStyle/>
        <a:p>
          <a:endParaRPr lang="en-GB"/>
        </a:p>
      </dgm:t>
    </dgm:pt>
    <dgm:pt modelId="{3BAF81D5-1B2C-42B7-90C8-C3EEC002565A}" type="sibTrans" cxnId="{288AD8F0-9AA1-47D3-9B75-3C962D6100D5}">
      <dgm:prSet/>
      <dgm:spPr/>
      <dgm:t>
        <a:bodyPr/>
        <a:lstStyle/>
        <a:p>
          <a:endParaRPr lang="en-GB"/>
        </a:p>
      </dgm:t>
    </dgm:pt>
    <dgm:pt modelId="{CB4952EE-9312-417A-AC58-DF5F7D9589B8}">
      <dgm:prSet/>
      <dgm:spPr/>
      <dgm:t>
        <a:bodyPr/>
        <a:lstStyle/>
        <a:p>
          <a:r>
            <a:rPr lang="ro-RO"/>
            <a:t>MALTA</a:t>
          </a:r>
          <a:endParaRPr lang="en-GB"/>
        </a:p>
      </dgm:t>
    </dgm:pt>
    <dgm:pt modelId="{78CC7B63-FA87-4866-BA10-E19E200DEB95}" type="parTrans" cxnId="{DA45B83A-5999-4E4F-B4FC-361483055B9E}">
      <dgm:prSet/>
      <dgm:spPr/>
      <dgm:t>
        <a:bodyPr/>
        <a:lstStyle/>
        <a:p>
          <a:endParaRPr lang="en-GB"/>
        </a:p>
      </dgm:t>
    </dgm:pt>
    <dgm:pt modelId="{4420C49F-E413-441C-ADF4-195937151E43}" type="sibTrans" cxnId="{DA45B83A-5999-4E4F-B4FC-361483055B9E}">
      <dgm:prSet/>
      <dgm:spPr/>
      <dgm:t>
        <a:bodyPr/>
        <a:lstStyle/>
        <a:p>
          <a:endParaRPr lang="en-GB"/>
        </a:p>
      </dgm:t>
    </dgm:pt>
    <dgm:pt modelId="{D6AC0891-28D9-4EFA-852C-DDAD36B4FCA7}">
      <dgm:prSet custT="1"/>
      <dgm:spPr/>
      <dgm:t>
        <a:bodyPr/>
        <a:lstStyle/>
        <a:p>
          <a:endParaRPr lang="en-GB" sz="800"/>
        </a:p>
      </dgm:t>
    </dgm:pt>
    <dgm:pt modelId="{CC396B17-39E6-43D9-BA2F-46736CC7540E}" type="parTrans" cxnId="{1592E3D6-F7DF-4F6E-A983-23BED7F1DC82}">
      <dgm:prSet/>
      <dgm:spPr/>
      <dgm:t>
        <a:bodyPr/>
        <a:lstStyle/>
        <a:p>
          <a:endParaRPr lang="en-GB"/>
        </a:p>
      </dgm:t>
    </dgm:pt>
    <dgm:pt modelId="{7D6E8316-ABA0-4333-BADA-49E8D94B8F92}" type="sibTrans" cxnId="{1592E3D6-F7DF-4F6E-A983-23BED7F1DC82}">
      <dgm:prSet/>
      <dgm:spPr/>
      <dgm:t>
        <a:bodyPr/>
        <a:lstStyle/>
        <a:p>
          <a:endParaRPr lang="en-GB"/>
        </a:p>
      </dgm:t>
    </dgm:pt>
    <dgm:pt modelId="{39D60F12-423F-4CDE-9EEF-96BFCCDA7739}">
      <dgm:prSet/>
      <dgm:spPr/>
      <dgm:t>
        <a:bodyPr/>
        <a:lstStyle/>
        <a:p>
          <a:r>
            <a:rPr lang="en-GB" b="0" i="0" u="none"/>
            <a:t>Consiliul pentru Sectorul de Voluntariat</a:t>
          </a:r>
          <a:endParaRPr lang="en-GB"/>
        </a:p>
      </dgm:t>
    </dgm:pt>
    <dgm:pt modelId="{4369B0C8-8EF0-46D5-A9B1-15A3FD99DBC6}" type="parTrans" cxnId="{E1E9E39B-0903-4643-A49C-F7094F500073}">
      <dgm:prSet/>
      <dgm:spPr/>
      <dgm:t>
        <a:bodyPr/>
        <a:lstStyle/>
        <a:p>
          <a:endParaRPr lang="en-GB"/>
        </a:p>
      </dgm:t>
    </dgm:pt>
    <dgm:pt modelId="{46CAE60E-00F0-4617-B6B0-4E7811B259D7}" type="sibTrans" cxnId="{E1E9E39B-0903-4643-A49C-F7094F500073}">
      <dgm:prSet/>
      <dgm:spPr/>
      <dgm:t>
        <a:bodyPr/>
        <a:lstStyle/>
        <a:p>
          <a:endParaRPr lang="en-GB"/>
        </a:p>
      </dgm:t>
    </dgm:pt>
    <dgm:pt modelId="{ED56CEB0-2156-434F-A16B-AEF8EF905C01}">
      <dgm:prSet/>
      <dgm:spPr/>
      <dgm:t>
        <a:bodyPr/>
        <a:lstStyle/>
        <a:p>
          <a:r>
            <a:rPr lang="ro-RO"/>
            <a:t>ESTONIA</a:t>
          </a:r>
          <a:endParaRPr lang="en-GB"/>
        </a:p>
      </dgm:t>
    </dgm:pt>
    <dgm:pt modelId="{647BFFAF-7206-4924-B922-2DE45C47A169}" type="parTrans" cxnId="{3D068863-6FD1-4DC5-80C6-338917D26426}">
      <dgm:prSet/>
      <dgm:spPr/>
      <dgm:t>
        <a:bodyPr/>
        <a:lstStyle/>
        <a:p>
          <a:endParaRPr lang="en-GB"/>
        </a:p>
      </dgm:t>
    </dgm:pt>
    <dgm:pt modelId="{B7CD8834-8BEC-4970-9C8A-0D89D681900B}" type="sibTrans" cxnId="{3D068863-6FD1-4DC5-80C6-338917D26426}">
      <dgm:prSet/>
      <dgm:spPr/>
      <dgm:t>
        <a:bodyPr/>
        <a:lstStyle/>
        <a:p>
          <a:endParaRPr lang="en-GB"/>
        </a:p>
      </dgm:t>
    </dgm:pt>
    <dgm:pt modelId="{1F264276-3974-4E56-B774-5567233ABA94}">
      <dgm:prSet/>
      <dgm:spPr/>
      <dgm:t>
        <a:bodyPr/>
        <a:lstStyle/>
        <a:p>
          <a:r>
            <a:rPr lang="en-GB" b="0" i="0" u="none"/>
            <a:t>Fundația națională a societății civile din Estonia (NFCS) </a:t>
          </a:r>
          <a:endParaRPr lang="en-GB"/>
        </a:p>
      </dgm:t>
    </dgm:pt>
    <dgm:pt modelId="{AA553DDF-8B7C-4831-90A7-B92841E99EEA}" type="parTrans" cxnId="{057AB6B4-A84E-48FA-AAA1-58DA1CD42B28}">
      <dgm:prSet/>
      <dgm:spPr/>
      <dgm:t>
        <a:bodyPr/>
        <a:lstStyle/>
        <a:p>
          <a:endParaRPr lang="en-GB"/>
        </a:p>
      </dgm:t>
    </dgm:pt>
    <dgm:pt modelId="{D5987DA6-FE42-483D-82EB-EEBEFC2AD081}" type="sibTrans" cxnId="{057AB6B4-A84E-48FA-AAA1-58DA1CD42B28}">
      <dgm:prSet/>
      <dgm:spPr/>
      <dgm:t>
        <a:bodyPr/>
        <a:lstStyle/>
        <a:p>
          <a:endParaRPr lang="en-GB"/>
        </a:p>
      </dgm:t>
    </dgm:pt>
    <dgm:pt modelId="{0592425F-A6D9-41D7-B20B-E9784CF48139}">
      <dgm:prSet/>
      <dgm:spPr/>
      <dgm:t>
        <a:bodyPr/>
        <a:lstStyle/>
        <a:p>
          <a:r>
            <a:rPr lang="ro-RO"/>
            <a:t>CEHIA</a:t>
          </a:r>
          <a:endParaRPr lang="en-GB"/>
        </a:p>
      </dgm:t>
    </dgm:pt>
    <dgm:pt modelId="{DA5D31B9-EE9A-45BE-876B-3B2BEFFF768F}" type="parTrans" cxnId="{FE93447E-F14A-4A81-8DB3-4973276FFE34}">
      <dgm:prSet/>
      <dgm:spPr/>
      <dgm:t>
        <a:bodyPr/>
        <a:lstStyle/>
        <a:p>
          <a:endParaRPr lang="en-GB"/>
        </a:p>
      </dgm:t>
    </dgm:pt>
    <dgm:pt modelId="{CCFCAA1E-C16C-44DB-8745-76A7915887D7}" type="sibTrans" cxnId="{FE93447E-F14A-4A81-8DB3-4973276FFE34}">
      <dgm:prSet/>
      <dgm:spPr/>
      <dgm:t>
        <a:bodyPr/>
        <a:lstStyle/>
        <a:p>
          <a:endParaRPr lang="en-GB"/>
        </a:p>
      </dgm:t>
    </dgm:pt>
    <dgm:pt modelId="{71F37162-113D-4103-9A91-D66B20614143}">
      <dgm:prSet/>
      <dgm:spPr/>
      <dgm:t>
        <a:bodyPr/>
        <a:lstStyle/>
        <a:p>
          <a:r>
            <a:rPr lang="en-GB" b="0" i="0" u="none"/>
            <a:t>Consiliul Guvernamental pentru ong-uri</a:t>
          </a:r>
          <a:endParaRPr lang="en-GB"/>
        </a:p>
      </dgm:t>
    </dgm:pt>
    <dgm:pt modelId="{6F451480-821E-4E57-9428-7A9A1AA0D707}" type="parTrans" cxnId="{A5F392C0-759E-4D30-9980-2F1416EA5AE4}">
      <dgm:prSet/>
      <dgm:spPr/>
      <dgm:t>
        <a:bodyPr/>
        <a:lstStyle/>
        <a:p>
          <a:endParaRPr lang="en-GB"/>
        </a:p>
      </dgm:t>
    </dgm:pt>
    <dgm:pt modelId="{D0E669F3-5B85-4303-86A7-6E7CCD4AB406}" type="sibTrans" cxnId="{A5F392C0-759E-4D30-9980-2F1416EA5AE4}">
      <dgm:prSet/>
      <dgm:spPr/>
      <dgm:t>
        <a:bodyPr/>
        <a:lstStyle/>
        <a:p>
          <a:endParaRPr lang="en-GB"/>
        </a:p>
      </dgm:t>
    </dgm:pt>
    <dgm:pt modelId="{B72FAE10-CEEE-4F2B-97C5-51D34C6013D1}">
      <dgm:prSet/>
      <dgm:spPr/>
      <dgm:t>
        <a:bodyPr/>
        <a:lstStyle/>
        <a:p>
          <a:r>
            <a:rPr lang="ro-RO"/>
            <a:t>U.K.</a:t>
          </a:r>
          <a:endParaRPr lang="en-GB"/>
        </a:p>
      </dgm:t>
    </dgm:pt>
    <dgm:pt modelId="{CA9B9467-3E1E-44C9-9855-8955EA5DE4A0}" type="parTrans" cxnId="{86847170-CDEF-438B-8FFE-651AF47049F9}">
      <dgm:prSet/>
      <dgm:spPr/>
      <dgm:t>
        <a:bodyPr/>
        <a:lstStyle/>
        <a:p>
          <a:endParaRPr lang="en-GB"/>
        </a:p>
      </dgm:t>
    </dgm:pt>
    <dgm:pt modelId="{E0ADB794-79EA-4AC1-9B57-FB9CCBCA2559}" type="sibTrans" cxnId="{86847170-CDEF-438B-8FFE-651AF47049F9}">
      <dgm:prSet/>
      <dgm:spPr/>
      <dgm:t>
        <a:bodyPr/>
        <a:lstStyle/>
        <a:p>
          <a:endParaRPr lang="en-GB"/>
        </a:p>
      </dgm:t>
    </dgm:pt>
    <dgm:pt modelId="{75EF7D08-B22C-4480-B109-1F2D3C8850F1}">
      <dgm:prSet/>
      <dgm:spPr/>
      <dgm:t>
        <a:bodyPr/>
        <a:lstStyle/>
        <a:p>
          <a:r>
            <a:rPr lang="en-GB" b="0" i="0" u="none"/>
            <a:t>OCS - Oficiul pentru Societatea Civilă</a:t>
          </a:r>
          <a:endParaRPr lang="en-GB"/>
        </a:p>
      </dgm:t>
    </dgm:pt>
    <dgm:pt modelId="{ABE888D5-C294-42E6-A2AC-9CBB5756B160}" type="parTrans" cxnId="{7CFE84F7-E9B7-4E96-A5E4-9DC415D5D53F}">
      <dgm:prSet/>
      <dgm:spPr/>
      <dgm:t>
        <a:bodyPr/>
        <a:lstStyle/>
        <a:p>
          <a:endParaRPr lang="en-GB"/>
        </a:p>
      </dgm:t>
    </dgm:pt>
    <dgm:pt modelId="{B678D712-B91E-4AA9-AD97-03BF2B89D21E}" type="sibTrans" cxnId="{7CFE84F7-E9B7-4E96-A5E4-9DC415D5D53F}">
      <dgm:prSet/>
      <dgm:spPr/>
      <dgm:t>
        <a:bodyPr/>
        <a:lstStyle/>
        <a:p>
          <a:endParaRPr lang="en-GB"/>
        </a:p>
      </dgm:t>
    </dgm:pt>
    <dgm:pt modelId="{C03316C3-9C1A-4CBD-8310-B0BF7836AB70}">
      <dgm:prSet/>
      <dgm:spPr/>
      <dgm:t>
        <a:bodyPr/>
        <a:lstStyle/>
        <a:p>
          <a:r>
            <a:rPr lang="ro-RO"/>
            <a:t>LETONIA</a:t>
          </a:r>
          <a:endParaRPr lang="en-GB"/>
        </a:p>
      </dgm:t>
    </dgm:pt>
    <dgm:pt modelId="{C787BD6D-F191-4CB3-9A5D-402EA5E60E58}" type="parTrans" cxnId="{598D0F45-BD75-4668-AE49-18125A7ACB47}">
      <dgm:prSet/>
      <dgm:spPr/>
      <dgm:t>
        <a:bodyPr/>
        <a:lstStyle/>
        <a:p>
          <a:endParaRPr lang="en-GB"/>
        </a:p>
      </dgm:t>
    </dgm:pt>
    <dgm:pt modelId="{6327EF7E-6B8D-4680-B2CC-33BC74F9BEFB}" type="sibTrans" cxnId="{598D0F45-BD75-4668-AE49-18125A7ACB47}">
      <dgm:prSet/>
      <dgm:spPr/>
      <dgm:t>
        <a:bodyPr/>
        <a:lstStyle/>
        <a:p>
          <a:endParaRPr lang="en-GB"/>
        </a:p>
      </dgm:t>
    </dgm:pt>
    <dgm:pt modelId="{1BF53B8D-3AC1-4320-A55F-E36C8180A258}">
      <dgm:prSet/>
      <dgm:spPr/>
      <dgm:t>
        <a:bodyPr/>
        <a:lstStyle/>
        <a:p>
          <a:r>
            <a:rPr lang="en-GB" b="0" i="0" u="none"/>
            <a:t>Fundația pentru Integrarea Societății</a:t>
          </a:r>
          <a:endParaRPr lang="en-GB"/>
        </a:p>
      </dgm:t>
    </dgm:pt>
    <dgm:pt modelId="{46858B33-A648-44CF-B02E-D80F1E886A8E}" type="parTrans" cxnId="{CF990415-E97F-4FB9-A7F2-B68091B0EEE9}">
      <dgm:prSet/>
      <dgm:spPr/>
      <dgm:t>
        <a:bodyPr/>
        <a:lstStyle/>
        <a:p>
          <a:endParaRPr lang="en-GB"/>
        </a:p>
      </dgm:t>
    </dgm:pt>
    <dgm:pt modelId="{370FFDB8-B0A0-4AD8-839E-3212CFEA15EB}" type="sibTrans" cxnId="{CF990415-E97F-4FB9-A7F2-B68091B0EEE9}">
      <dgm:prSet/>
      <dgm:spPr/>
      <dgm:t>
        <a:bodyPr/>
        <a:lstStyle/>
        <a:p>
          <a:endParaRPr lang="en-GB"/>
        </a:p>
      </dgm:t>
    </dgm:pt>
    <dgm:pt modelId="{E19654ED-F396-4AAA-AA0B-6D8ED65BC54D}">
      <dgm:prSet/>
      <dgm:spPr/>
      <dgm:t>
        <a:bodyPr/>
        <a:lstStyle/>
        <a:p>
          <a:r>
            <a:rPr lang="ro-RO"/>
            <a:t>LITUANIA</a:t>
          </a:r>
          <a:endParaRPr lang="en-GB"/>
        </a:p>
      </dgm:t>
    </dgm:pt>
    <dgm:pt modelId="{FDF22905-546E-40FE-8F3F-048DAEA4F74D}" type="parTrans" cxnId="{92D21E47-7E07-4068-A94B-838188285445}">
      <dgm:prSet/>
      <dgm:spPr/>
      <dgm:t>
        <a:bodyPr/>
        <a:lstStyle/>
        <a:p>
          <a:endParaRPr lang="en-GB"/>
        </a:p>
      </dgm:t>
    </dgm:pt>
    <dgm:pt modelId="{AEFCFFAE-A7A4-4CBD-BDFC-6AC19C541D3C}" type="sibTrans" cxnId="{92D21E47-7E07-4068-A94B-838188285445}">
      <dgm:prSet/>
      <dgm:spPr/>
      <dgm:t>
        <a:bodyPr/>
        <a:lstStyle/>
        <a:p>
          <a:endParaRPr lang="en-GB"/>
        </a:p>
      </dgm:t>
    </dgm:pt>
    <dgm:pt modelId="{07252699-68FC-4E0E-97DD-F433F98EDF5A}">
      <dgm:prSet/>
      <dgm:spPr/>
      <dgm:t>
        <a:bodyPr/>
        <a:lstStyle/>
        <a:p>
          <a:r>
            <a:rPr lang="en-GB" b="0" i="0" u="none"/>
            <a:t>Ministerul pentru Securitate Națională și Muncă</a:t>
          </a:r>
          <a:endParaRPr lang="en-GB"/>
        </a:p>
      </dgm:t>
    </dgm:pt>
    <dgm:pt modelId="{211F974D-327F-4BE8-9F1D-BBD2914F2FA1}" type="parTrans" cxnId="{82177122-D193-4A8D-9842-9A710A02B3CF}">
      <dgm:prSet/>
      <dgm:spPr/>
      <dgm:t>
        <a:bodyPr/>
        <a:lstStyle/>
        <a:p>
          <a:endParaRPr lang="en-GB"/>
        </a:p>
      </dgm:t>
    </dgm:pt>
    <dgm:pt modelId="{0B0DD53A-05F9-4A5B-B75F-466CB0E7590E}" type="sibTrans" cxnId="{82177122-D193-4A8D-9842-9A710A02B3CF}">
      <dgm:prSet/>
      <dgm:spPr/>
      <dgm:t>
        <a:bodyPr/>
        <a:lstStyle/>
        <a:p>
          <a:endParaRPr lang="en-GB"/>
        </a:p>
      </dgm:t>
    </dgm:pt>
    <dgm:pt modelId="{B7011095-6885-46F8-A0CF-93C6E8C28781}" type="pres">
      <dgm:prSet presAssocID="{ADD379E0-9F51-4AE6-A0E6-F882E36BE9D8}" presName="Name0" presStyleCnt="0">
        <dgm:presLayoutVars>
          <dgm:dir/>
          <dgm:animLvl val="lvl"/>
          <dgm:resizeHandles/>
        </dgm:presLayoutVars>
      </dgm:prSet>
      <dgm:spPr/>
      <dgm:t>
        <a:bodyPr/>
        <a:lstStyle/>
        <a:p>
          <a:endParaRPr lang="en-GB"/>
        </a:p>
      </dgm:t>
    </dgm:pt>
    <dgm:pt modelId="{407DAA8B-B101-49E8-84E6-61EC33331CCC}" type="pres">
      <dgm:prSet presAssocID="{53B09CB6-DBA1-4F89-8E31-B2CF77098D93}" presName="linNode" presStyleCnt="0"/>
      <dgm:spPr/>
    </dgm:pt>
    <dgm:pt modelId="{4EC29D40-5CE4-497F-96A4-EF8BDCBF73EB}" type="pres">
      <dgm:prSet presAssocID="{53B09CB6-DBA1-4F89-8E31-B2CF77098D93}" presName="parentShp" presStyleLbl="node1" presStyleIdx="0" presStyleCnt="10">
        <dgm:presLayoutVars>
          <dgm:bulletEnabled val="1"/>
        </dgm:presLayoutVars>
      </dgm:prSet>
      <dgm:spPr/>
      <dgm:t>
        <a:bodyPr/>
        <a:lstStyle/>
        <a:p>
          <a:endParaRPr lang="en-GB"/>
        </a:p>
      </dgm:t>
    </dgm:pt>
    <dgm:pt modelId="{10D9978B-13F2-467D-8F3A-91B21E7F29B7}" type="pres">
      <dgm:prSet presAssocID="{53B09CB6-DBA1-4F89-8E31-B2CF77098D93}" presName="childShp" presStyleLbl="bgAccFollowNode1" presStyleIdx="0" presStyleCnt="10">
        <dgm:presLayoutVars>
          <dgm:bulletEnabled val="1"/>
        </dgm:presLayoutVars>
      </dgm:prSet>
      <dgm:spPr/>
      <dgm:t>
        <a:bodyPr/>
        <a:lstStyle/>
        <a:p>
          <a:endParaRPr lang="en-GB"/>
        </a:p>
      </dgm:t>
    </dgm:pt>
    <dgm:pt modelId="{6A464E56-5B94-447C-B9FD-089A2FF3A6D9}" type="pres">
      <dgm:prSet presAssocID="{C57DADCD-C839-470E-88CC-FCA11B85C7F4}" presName="spacing" presStyleCnt="0"/>
      <dgm:spPr/>
    </dgm:pt>
    <dgm:pt modelId="{D0E41EF4-C47F-482A-B954-35D3532D92FA}" type="pres">
      <dgm:prSet presAssocID="{7C7985FB-3B6D-425D-8870-64B92B2F46FC}" presName="linNode" presStyleCnt="0"/>
      <dgm:spPr/>
    </dgm:pt>
    <dgm:pt modelId="{E51A0C14-4BE5-41CB-9E69-62BD33FF6CEF}" type="pres">
      <dgm:prSet presAssocID="{7C7985FB-3B6D-425D-8870-64B92B2F46FC}" presName="parentShp" presStyleLbl="node1" presStyleIdx="1" presStyleCnt="10">
        <dgm:presLayoutVars>
          <dgm:bulletEnabled val="1"/>
        </dgm:presLayoutVars>
      </dgm:prSet>
      <dgm:spPr/>
      <dgm:t>
        <a:bodyPr/>
        <a:lstStyle/>
        <a:p>
          <a:endParaRPr lang="en-GB"/>
        </a:p>
      </dgm:t>
    </dgm:pt>
    <dgm:pt modelId="{4CDCF540-01FD-4394-8196-93E9F5DB6259}" type="pres">
      <dgm:prSet presAssocID="{7C7985FB-3B6D-425D-8870-64B92B2F46FC}" presName="childShp" presStyleLbl="bgAccFollowNode1" presStyleIdx="1" presStyleCnt="10">
        <dgm:presLayoutVars>
          <dgm:bulletEnabled val="1"/>
        </dgm:presLayoutVars>
      </dgm:prSet>
      <dgm:spPr/>
      <dgm:t>
        <a:bodyPr/>
        <a:lstStyle/>
        <a:p>
          <a:endParaRPr lang="en-GB"/>
        </a:p>
      </dgm:t>
    </dgm:pt>
    <dgm:pt modelId="{F4B79FF1-5735-418F-A5DE-9C1EC1C06796}" type="pres">
      <dgm:prSet presAssocID="{A4443B81-FEE9-4BB4-9B2A-3332AFB23E83}" presName="spacing" presStyleCnt="0"/>
      <dgm:spPr/>
    </dgm:pt>
    <dgm:pt modelId="{A09EFAA2-D2CC-4A86-B0AE-44DBA4948744}" type="pres">
      <dgm:prSet presAssocID="{7C525E29-8D52-461A-BD59-238064EEB7A1}" presName="linNode" presStyleCnt="0"/>
      <dgm:spPr/>
    </dgm:pt>
    <dgm:pt modelId="{B5023803-755D-4440-BCB4-9F41FD7523F6}" type="pres">
      <dgm:prSet presAssocID="{7C525E29-8D52-461A-BD59-238064EEB7A1}" presName="parentShp" presStyleLbl="node1" presStyleIdx="2" presStyleCnt="10">
        <dgm:presLayoutVars>
          <dgm:bulletEnabled val="1"/>
        </dgm:presLayoutVars>
      </dgm:prSet>
      <dgm:spPr/>
      <dgm:t>
        <a:bodyPr/>
        <a:lstStyle/>
        <a:p>
          <a:endParaRPr lang="en-GB"/>
        </a:p>
      </dgm:t>
    </dgm:pt>
    <dgm:pt modelId="{311065F4-951A-469A-BFE0-2D3A9C6DE415}" type="pres">
      <dgm:prSet presAssocID="{7C525E29-8D52-461A-BD59-238064EEB7A1}" presName="childShp" presStyleLbl="bgAccFollowNode1" presStyleIdx="2" presStyleCnt="10">
        <dgm:presLayoutVars>
          <dgm:bulletEnabled val="1"/>
        </dgm:presLayoutVars>
      </dgm:prSet>
      <dgm:spPr/>
      <dgm:t>
        <a:bodyPr/>
        <a:lstStyle/>
        <a:p>
          <a:endParaRPr lang="en-GB"/>
        </a:p>
      </dgm:t>
    </dgm:pt>
    <dgm:pt modelId="{69795B90-02C5-4CCC-8589-F51199E663F3}" type="pres">
      <dgm:prSet presAssocID="{4AEB0F79-7FEB-467E-A529-85F904B80139}" presName="spacing" presStyleCnt="0"/>
      <dgm:spPr/>
    </dgm:pt>
    <dgm:pt modelId="{D2BF3D6C-6C70-45CD-BB7F-799F79F36B07}" type="pres">
      <dgm:prSet presAssocID="{DF4A0615-3574-477F-BF78-8036FC6E380B}" presName="linNode" presStyleCnt="0"/>
      <dgm:spPr/>
    </dgm:pt>
    <dgm:pt modelId="{0187CF32-DA4E-48D2-90BF-34AA6F20EF43}" type="pres">
      <dgm:prSet presAssocID="{DF4A0615-3574-477F-BF78-8036FC6E380B}" presName="parentShp" presStyleLbl="node1" presStyleIdx="3" presStyleCnt="10">
        <dgm:presLayoutVars>
          <dgm:bulletEnabled val="1"/>
        </dgm:presLayoutVars>
      </dgm:prSet>
      <dgm:spPr/>
      <dgm:t>
        <a:bodyPr/>
        <a:lstStyle/>
        <a:p>
          <a:endParaRPr lang="en-GB"/>
        </a:p>
      </dgm:t>
    </dgm:pt>
    <dgm:pt modelId="{A312ABDE-D2D2-4091-8EC4-264879F41269}" type="pres">
      <dgm:prSet presAssocID="{DF4A0615-3574-477F-BF78-8036FC6E380B}" presName="childShp" presStyleLbl="bgAccFollowNode1" presStyleIdx="3" presStyleCnt="10">
        <dgm:presLayoutVars>
          <dgm:bulletEnabled val="1"/>
        </dgm:presLayoutVars>
      </dgm:prSet>
      <dgm:spPr/>
      <dgm:t>
        <a:bodyPr/>
        <a:lstStyle/>
        <a:p>
          <a:endParaRPr lang="en-GB"/>
        </a:p>
      </dgm:t>
    </dgm:pt>
    <dgm:pt modelId="{1656E122-D608-43CD-B9A7-B54F49729D08}" type="pres">
      <dgm:prSet presAssocID="{80BCC3AB-9926-4335-977F-11EB78077F93}" presName="spacing" presStyleCnt="0"/>
      <dgm:spPr/>
    </dgm:pt>
    <dgm:pt modelId="{8418B818-1366-40F9-859C-2E42FDD01BDE}" type="pres">
      <dgm:prSet presAssocID="{CB4952EE-9312-417A-AC58-DF5F7D9589B8}" presName="linNode" presStyleCnt="0"/>
      <dgm:spPr/>
    </dgm:pt>
    <dgm:pt modelId="{F26E100C-5519-4CB8-998E-B18CE057F0C7}" type="pres">
      <dgm:prSet presAssocID="{CB4952EE-9312-417A-AC58-DF5F7D9589B8}" presName="parentShp" presStyleLbl="node1" presStyleIdx="4" presStyleCnt="10">
        <dgm:presLayoutVars>
          <dgm:bulletEnabled val="1"/>
        </dgm:presLayoutVars>
      </dgm:prSet>
      <dgm:spPr/>
      <dgm:t>
        <a:bodyPr/>
        <a:lstStyle/>
        <a:p>
          <a:endParaRPr lang="en-GB"/>
        </a:p>
      </dgm:t>
    </dgm:pt>
    <dgm:pt modelId="{F88F352B-E616-4DCA-8F58-7CC2A6E021E9}" type="pres">
      <dgm:prSet presAssocID="{CB4952EE-9312-417A-AC58-DF5F7D9589B8}" presName="childShp" presStyleLbl="bgAccFollowNode1" presStyleIdx="4" presStyleCnt="10">
        <dgm:presLayoutVars>
          <dgm:bulletEnabled val="1"/>
        </dgm:presLayoutVars>
      </dgm:prSet>
      <dgm:spPr/>
      <dgm:t>
        <a:bodyPr/>
        <a:lstStyle/>
        <a:p>
          <a:endParaRPr lang="en-GB"/>
        </a:p>
      </dgm:t>
    </dgm:pt>
    <dgm:pt modelId="{95B6C9BB-19EC-4571-A5BB-466FA69C97DA}" type="pres">
      <dgm:prSet presAssocID="{4420C49F-E413-441C-ADF4-195937151E43}" presName="spacing" presStyleCnt="0"/>
      <dgm:spPr/>
    </dgm:pt>
    <dgm:pt modelId="{27914215-65C7-46C1-A7D3-C060E78146EC}" type="pres">
      <dgm:prSet presAssocID="{ED56CEB0-2156-434F-A16B-AEF8EF905C01}" presName="linNode" presStyleCnt="0"/>
      <dgm:spPr/>
    </dgm:pt>
    <dgm:pt modelId="{7D6ED7C5-9B99-4877-A818-ED6979E99902}" type="pres">
      <dgm:prSet presAssocID="{ED56CEB0-2156-434F-A16B-AEF8EF905C01}" presName="parentShp" presStyleLbl="node1" presStyleIdx="5" presStyleCnt="10">
        <dgm:presLayoutVars>
          <dgm:bulletEnabled val="1"/>
        </dgm:presLayoutVars>
      </dgm:prSet>
      <dgm:spPr/>
      <dgm:t>
        <a:bodyPr/>
        <a:lstStyle/>
        <a:p>
          <a:endParaRPr lang="en-GB"/>
        </a:p>
      </dgm:t>
    </dgm:pt>
    <dgm:pt modelId="{FA120DC3-7447-46C2-8F99-B5DF149C02A1}" type="pres">
      <dgm:prSet presAssocID="{ED56CEB0-2156-434F-A16B-AEF8EF905C01}" presName="childShp" presStyleLbl="bgAccFollowNode1" presStyleIdx="5" presStyleCnt="10">
        <dgm:presLayoutVars>
          <dgm:bulletEnabled val="1"/>
        </dgm:presLayoutVars>
      </dgm:prSet>
      <dgm:spPr/>
      <dgm:t>
        <a:bodyPr/>
        <a:lstStyle/>
        <a:p>
          <a:endParaRPr lang="en-GB"/>
        </a:p>
      </dgm:t>
    </dgm:pt>
    <dgm:pt modelId="{87E46E22-7586-4C87-96E8-604A9868ECB8}" type="pres">
      <dgm:prSet presAssocID="{B7CD8834-8BEC-4970-9C8A-0D89D681900B}" presName="spacing" presStyleCnt="0"/>
      <dgm:spPr/>
    </dgm:pt>
    <dgm:pt modelId="{6C9B9917-400D-4942-BA80-25612A235F35}" type="pres">
      <dgm:prSet presAssocID="{0592425F-A6D9-41D7-B20B-E9784CF48139}" presName="linNode" presStyleCnt="0"/>
      <dgm:spPr/>
    </dgm:pt>
    <dgm:pt modelId="{BFE2C15A-9176-48F3-81C8-E7DC7B065ECD}" type="pres">
      <dgm:prSet presAssocID="{0592425F-A6D9-41D7-B20B-E9784CF48139}" presName="parentShp" presStyleLbl="node1" presStyleIdx="6" presStyleCnt="10">
        <dgm:presLayoutVars>
          <dgm:bulletEnabled val="1"/>
        </dgm:presLayoutVars>
      </dgm:prSet>
      <dgm:spPr/>
      <dgm:t>
        <a:bodyPr/>
        <a:lstStyle/>
        <a:p>
          <a:endParaRPr lang="en-GB"/>
        </a:p>
      </dgm:t>
    </dgm:pt>
    <dgm:pt modelId="{E1AA1741-7F9C-42C2-A2E6-5F7BFACDC6F4}" type="pres">
      <dgm:prSet presAssocID="{0592425F-A6D9-41D7-B20B-E9784CF48139}" presName="childShp" presStyleLbl="bgAccFollowNode1" presStyleIdx="6" presStyleCnt="10">
        <dgm:presLayoutVars>
          <dgm:bulletEnabled val="1"/>
        </dgm:presLayoutVars>
      </dgm:prSet>
      <dgm:spPr/>
      <dgm:t>
        <a:bodyPr/>
        <a:lstStyle/>
        <a:p>
          <a:endParaRPr lang="en-GB"/>
        </a:p>
      </dgm:t>
    </dgm:pt>
    <dgm:pt modelId="{D0A05067-3CFF-4B01-9450-417F0537A284}" type="pres">
      <dgm:prSet presAssocID="{CCFCAA1E-C16C-44DB-8745-76A7915887D7}" presName="spacing" presStyleCnt="0"/>
      <dgm:spPr/>
    </dgm:pt>
    <dgm:pt modelId="{209CF28E-3895-4A97-9837-A48E47F72BBC}" type="pres">
      <dgm:prSet presAssocID="{B72FAE10-CEEE-4F2B-97C5-51D34C6013D1}" presName="linNode" presStyleCnt="0"/>
      <dgm:spPr/>
    </dgm:pt>
    <dgm:pt modelId="{A30B8A33-86DF-466F-842A-CC9C39BB0D5D}" type="pres">
      <dgm:prSet presAssocID="{B72FAE10-CEEE-4F2B-97C5-51D34C6013D1}" presName="parentShp" presStyleLbl="node1" presStyleIdx="7" presStyleCnt="10">
        <dgm:presLayoutVars>
          <dgm:bulletEnabled val="1"/>
        </dgm:presLayoutVars>
      </dgm:prSet>
      <dgm:spPr/>
      <dgm:t>
        <a:bodyPr/>
        <a:lstStyle/>
        <a:p>
          <a:endParaRPr lang="en-GB"/>
        </a:p>
      </dgm:t>
    </dgm:pt>
    <dgm:pt modelId="{E8A64ADE-CC1F-42E7-B516-6D7798A00ACD}" type="pres">
      <dgm:prSet presAssocID="{B72FAE10-CEEE-4F2B-97C5-51D34C6013D1}" presName="childShp" presStyleLbl="bgAccFollowNode1" presStyleIdx="7" presStyleCnt="10">
        <dgm:presLayoutVars>
          <dgm:bulletEnabled val="1"/>
        </dgm:presLayoutVars>
      </dgm:prSet>
      <dgm:spPr/>
      <dgm:t>
        <a:bodyPr/>
        <a:lstStyle/>
        <a:p>
          <a:endParaRPr lang="en-GB"/>
        </a:p>
      </dgm:t>
    </dgm:pt>
    <dgm:pt modelId="{20833523-599F-42AA-B511-AC2F604EAD90}" type="pres">
      <dgm:prSet presAssocID="{E0ADB794-79EA-4AC1-9B57-FB9CCBCA2559}" presName="spacing" presStyleCnt="0"/>
      <dgm:spPr/>
    </dgm:pt>
    <dgm:pt modelId="{BAFDABE4-2B20-4123-A92A-09927BEC5FE6}" type="pres">
      <dgm:prSet presAssocID="{C03316C3-9C1A-4CBD-8310-B0BF7836AB70}" presName="linNode" presStyleCnt="0"/>
      <dgm:spPr/>
    </dgm:pt>
    <dgm:pt modelId="{7274BCF2-36B4-48FE-A63B-201DF5E782A6}" type="pres">
      <dgm:prSet presAssocID="{C03316C3-9C1A-4CBD-8310-B0BF7836AB70}" presName="parentShp" presStyleLbl="node1" presStyleIdx="8" presStyleCnt="10">
        <dgm:presLayoutVars>
          <dgm:bulletEnabled val="1"/>
        </dgm:presLayoutVars>
      </dgm:prSet>
      <dgm:spPr/>
      <dgm:t>
        <a:bodyPr/>
        <a:lstStyle/>
        <a:p>
          <a:endParaRPr lang="en-GB"/>
        </a:p>
      </dgm:t>
    </dgm:pt>
    <dgm:pt modelId="{BE11DA47-5166-4B3C-9D00-2F6EC0803447}" type="pres">
      <dgm:prSet presAssocID="{C03316C3-9C1A-4CBD-8310-B0BF7836AB70}" presName="childShp" presStyleLbl="bgAccFollowNode1" presStyleIdx="8" presStyleCnt="10">
        <dgm:presLayoutVars>
          <dgm:bulletEnabled val="1"/>
        </dgm:presLayoutVars>
      </dgm:prSet>
      <dgm:spPr/>
      <dgm:t>
        <a:bodyPr/>
        <a:lstStyle/>
        <a:p>
          <a:endParaRPr lang="en-GB"/>
        </a:p>
      </dgm:t>
    </dgm:pt>
    <dgm:pt modelId="{2FB1B3FD-1EDB-429C-B72B-A4760C81E1C7}" type="pres">
      <dgm:prSet presAssocID="{6327EF7E-6B8D-4680-B2CC-33BC74F9BEFB}" presName="spacing" presStyleCnt="0"/>
      <dgm:spPr/>
    </dgm:pt>
    <dgm:pt modelId="{6F6FCEA9-65CA-471A-8617-CDDDFC83D2BE}" type="pres">
      <dgm:prSet presAssocID="{E19654ED-F396-4AAA-AA0B-6D8ED65BC54D}" presName="linNode" presStyleCnt="0"/>
      <dgm:spPr/>
    </dgm:pt>
    <dgm:pt modelId="{4A45366A-4C2B-47F3-AA10-46CA90E4948B}" type="pres">
      <dgm:prSet presAssocID="{E19654ED-F396-4AAA-AA0B-6D8ED65BC54D}" presName="parentShp" presStyleLbl="node1" presStyleIdx="9" presStyleCnt="10">
        <dgm:presLayoutVars>
          <dgm:bulletEnabled val="1"/>
        </dgm:presLayoutVars>
      </dgm:prSet>
      <dgm:spPr/>
      <dgm:t>
        <a:bodyPr/>
        <a:lstStyle/>
        <a:p>
          <a:endParaRPr lang="en-GB"/>
        </a:p>
      </dgm:t>
    </dgm:pt>
    <dgm:pt modelId="{A84821AB-85EE-424D-8DD5-B538ACD48386}" type="pres">
      <dgm:prSet presAssocID="{E19654ED-F396-4AAA-AA0B-6D8ED65BC54D}" presName="childShp" presStyleLbl="bgAccFollowNode1" presStyleIdx="9" presStyleCnt="10">
        <dgm:presLayoutVars>
          <dgm:bulletEnabled val="1"/>
        </dgm:presLayoutVars>
      </dgm:prSet>
      <dgm:spPr/>
      <dgm:t>
        <a:bodyPr/>
        <a:lstStyle/>
        <a:p>
          <a:endParaRPr lang="en-GB"/>
        </a:p>
      </dgm:t>
    </dgm:pt>
  </dgm:ptLst>
  <dgm:cxnLst>
    <dgm:cxn modelId="{CF990415-E97F-4FB9-A7F2-B68091B0EEE9}" srcId="{C03316C3-9C1A-4CBD-8310-B0BF7836AB70}" destId="{1BF53B8D-3AC1-4320-A55F-E36C8180A258}" srcOrd="0" destOrd="0" parTransId="{46858B33-A648-44CF-B02E-D80F1E886A8E}" sibTransId="{370FFDB8-B0A0-4AD8-839E-3212CFEA15EB}"/>
    <dgm:cxn modelId="{86847170-CDEF-438B-8FFE-651AF47049F9}" srcId="{ADD379E0-9F51-4AE6-A0E6-F882E36BE9D8}" destId="{B72FAE10-CEEE-4F2B-97C5-51D34C6013D1}" srcOrd="7" destOrd="0" parTransId="{CA9B9467-3E1E-44C9-9855-8955EA5DE4A0}" sibTransId="{E0ADB794-79EA-4AC1-9B57-FB9CCBCA2559}"/>
    <dgm:cxn modelId="{B23D45D9-E217-4ED2-B398-7E4965463670}" srcId="{ADD379E0-9F51-4AE6-A0E6-F882E36BE9D8}" destId="{DF4A0615-3574-477F-BF78-8036FC6E380B}" srcOrd="3" destOrd="0" parTransId="{D5B9B5B4-66F3-4DAB-A0E0-70134FD4E01A}" sibTransId="{80BCC3AB-9926-4335-977F-11EB78077F93}"/>
    <dgm:cxn modelId="{598D0F45-BD75-4668-AE49-18125A7ACB47}" srcId="{ADD379E0-9F51-4AE6-A0E6-F882E36BE9D8}" destId="{C03316C3-9C1A-4CBD-8310-B0BF7836AB70}" srcOrd="8" destOrd="0" parTransId="{C787BD6D-F191-4CB3-9A5D-402EA5E60E58}" sibTransId="{6327EF7E-6B8D-4680-B2CC-33BC74F9BEFB}"/>
    <dgm:cxn modelId="{A8E159D0-9787-4EA5-908D-BE1603794B1E}" type="presOf" srcId="{0592425F-A6D9-41D7-B20B-E9784CF48139}" destId="{BFE2C15A-9176-48F3-81C8-E7DC7B065ECD}" srcOrd="0" destOrd="0" presId="urn:microsoft.com/office/officeart/2005/8/layout/vList6"/>
    <dgm:cxn modelId="{919D102D-B976-42ED-8765-BBE573AD7D29}" srcId="{ADD379E0-9F51-4AE6-A0E6-F882E36BE9D8}" destId="{53B09CB6-DBA1-4F89-8E31-B2CF77098D93}" srcOrd="0" destOrd="0" parTransId="{6C8E2CBB-B101-49F7-8C78-F1AA480D5069}" sibTransId="{C57DADCD-C839-470E-88CC-FCA11B85C7F4}"/>
    <dgm:cxn modelId="{CB1199BC-3EF4-4959-9F9D-0C4A3F1A325A}" type="presOf" srcId="{1F264276-3974-4E56-B774-5567233ABA94}" destId="{FA120DC3-7447-46C2-8F99-B5DF149C02A1}" srcOrd="0" destOrd="0" presId="urn:microsoft.com/office/officeart/2005/8/layout/vList6"/>
    <dgm:cxn modelId="{288AD8F0-9AA1-47D3-9B75-3C962D6100D5}" srcId="{DF4A0615-3574-477F-BF78-8036FC6E380B}" destId="{7C022C7D-586F-4965-94A4-45E00FAC5EBA}" srcOrd="0" destOrd="0" parTransId="{F18C2EAD-AFA8-416D-80FF-B72D29ADC0DE}" sibTransId="{3BAF81D5-1B2C-42B7-90C8-C3EEC002565A}"/>
    <dgm:cxn modelId="{92D21E47-7E07-4068-A94B-838188285445}" srcId="{ADD379E0-9F51-4AE6-A0E6-F882E36BE9D8}" destId="{E19654ED-F396-4AAA-AA0B-6D8ED65BC54D}" srcOrd="9" destOrd="0" parTransId="{FDF22905-546E-40FE-8F3F-048DAEA4F74D}" sibTransId="{AEFCFFAE-A7A4-4CBD-BDFC-6AC19C541D3C}"/>
    <dgm:cxn modelId="{C0095082-7169-4D13-ADF0-C94F5F575A51}" type="presOf" srcId="{D6AC0891-28D9-4EFA-852C-DDAD36B4FCA7}" destId="{A312ABDE-D2D2-4091-8EC4-264879F41269}" srcOrd="0" destOrd="1" presId="urn:microsoft.com/office/officeart/2005/8/layout/vList6"/>
    <dgm:cxn modelId="{1702A5D7-AB76-4ED5-BDFB-31B35B9D80C0}" type="presOf" srcId="{78BCAFE1-6796-43E6-966E-91D14F6F49DE}" destId="{4CDCF540-01FD-4394-8196-93E9F5DB6259}" srcOrd="0" destOrd="0" presId="urn:microsoft.com/office/officeart/2005/8/layout/vList6"/>
    <dgm:cxn modelId="{2785D55A-9B9D-40A4-9181-E5AF278ADEFD}" type="presOf" srcId="{E08F7461-A1B6-490F-B1A5-D6DA06C82C9A}" destId="{311065F4-951A-469A-BFE0-2D3A9C6DE415}" srcOrd="0" destOrd="1" presId="urn:microsoft.com/office/officeart/2005/8/layout/vList6"/>
    <dgm:cxn modelId="{9BB8DF80-94D2-4617-8123-787309E120AB}" type="presOf" srcId="{07252699-68FC-4E0E-97DD-F433F98EDF5A}" destId="{A84821AB-85EE-424D-8DD5-B538ACD48386}" srcOrd="0" destOrd="0" presId="urn:microsoft.com/office/officeart/2005/8/layout/vList6"/>
    <dgm:cxn modelId="{03B894B8-2B9E-4F19-A932-DDDE5927CC56}" type="presOf" srcId="{E19654ED-F396-4AAA-AA0B-6D8ED65BC54D}" destId="{4A45366A-4C2B-47F3-AA10-46CA90E4948B}" srcOrd="0" destOrd="0" presId="urn:microsoft.com/office/officeart/2005/8/layout/vList6"/>
    <dgm:cxn modelId="{FE93447E-F14A-4A81-8DB3-4973276FFE34}" srcId="{ADD379E0-9F51-4AE6-A0E6-F882E36BE9D8}" destId="{0592425F-A6D9-41D7-B20B-E9784CF48139}" srcOrd="6" destOrd="0" parTransId="{DA5D31B9-EE9A-45BE-876B-3B2BEFFF768F}" sibTransId="{CCFCAA1E-C16C-44DB-8745-76A7915887D7}"/>
    <dgm:cxn modelId="{B9ADC935-207B-4086-8A4F-F2D8172BA04E}" type="presOf" srcId="{ADD379E0-9F51-4AE6-A0E6-F882E36BE9D8}" destId="{B7011095-6885-46F8-A0CF-93C6E8C28781}" srcOrd="0" destOrd="0" presId="urn:microsoft.com/office/officeart/2005/8/layout/vList6"/>
    <dgm:cxn modelId="{A21D20D1-CFD9-4593-BA9B-E4AA74558EA0}" type="presOf" srcId="{ED56CEB0-2156-434F-A16B-AEF8EF905C01}" destId="{7D6ED7C5-9B99-4877-A818-ED6979E99902}" srcOrd="0" destOrd="0" presId="urn:microsoft.com/office/officeart/2005/8/layout/vList6"/>
    <dgm:cxn modelId="{057AB6B4-A84E-48FA-AAA1-58DA1CD42B28}" srcId="{ED56CEB0-2156-434F-A16B-AEF8EF905C01}" destId="{1F264276-3974-4E56-B774-5567233ABA94}" srcOrd="0" destOrd="0" parTransId="{AA553DDF-8B7C-4831-90A7-B92841E99EEA}" sibTransId="{D5987DA6-FE42-483D-82EB-EEBEFC2AD081}"/>
    <dgm:cxn modelId="{14BAE360-96E3-4819-9DF5-1481F9D7E6B4}" type="presOf" srcId="{A605EF74-7A93-4234-8676-CF74FD7745BB}" destId="{311065F4-951A-469A-BFE0-2D3A9C6DE415}" srcOrd="0" destOrd="0" presId="urn:microsoft.com/office/officeart/2005/8/layout/vList6"/>
    <dgm:cxn modelId="{F39A17BF-33D7-4B21-8798-3793959876E8}" type="presOf" srcId="{DF4A0615-3574-477F-BF78-8036FC6E380B}" destId="{0187CF32-DA4E-48D2-90BF-34AA6F20EF43}" srcOrd="0" destOrd="0" presId="urn:microsoft.com/office/officeart/2005/8/layout/vList6"/>
    <dgm:cxn modelId="{2C42B281-8A23-407E-BD11-CF7B72142940}" type="presOf" srcId="{B72FAE10-CEEE-4F2B-97C5-51D34C6013D1}" destId="{A30B8A33-86DF-466F-842A-CC9C39BB0D5D}" srcOrd="0" destOrd="0" presId="urn:microsoft.com/office/officeart/2005/8/layout/vList6"/>
    <dgm:cxn modelId="{5609B020-C4EC-4E6D-ACBD-30D504BFEC20}" type="presOf" srcId="{39D60F12-423F-4CDE-9EEF-96BFCCDA7739}" destId="{F88F352B-E616-4DCA-8F58-7CC2A6E021E9}" srcOrd="0" destOrd="0" presId="urn:microsoft.com/office/officeart/2005/8/layout/vList6"/>
    <dgm:cxn modelId="{25391C1B-B9D5-4908-A124-A8D642E29708}" type="presOf" srcId="{7C022C7D-586F-4965-94A4-45E00FAC5EBA}" destId="{A312ABDE-D2D2-4091-8EC4-264879F41269}" srcOrd="0" destOrd="0" presId="urn:microsoft.com/office/officeart/2005/8/layout/vList6"/>
    <dgm:cxn modelId="{B2FA774B-CBBE-4276-8329-0AA9494CB4A6}" type="presOf" srcId="{53B09CB6-DBA1-4F89-8E31-B2CF77098D93}" destId="{4EC29D40-5CE4-497F-96A4-EF8BDCBF73EB}" srcOrd="0" destOrd="0" presId="urn:microsoft.com/office/officeart/2005/8/layout/vList6"/>
    <dgm:cxn modelId="{3EC1EB4F-38A8-4BAE-9CF5-026CACD6AC2A}" srcId="{ADD379E0-9F51-4AE6-A0E6-F882E36BE9D8}" destId="{7C525E29-8D52-461A-BD59-238064EEB7A1}" srcOrd="2" destOrd="0" parTransId="{77102677-6582-4D5D-B32A-37C920046D43}" sibTransId="{4AEB0F79-7FEB-467E-A529-85F904B80139}"/>
    <dgm:cxn modelId="{DA45B83A-5999-4E4F-B4FC-361483055B9E}" srcId="{ADD379E0-9F51-4AE6-A0E6-F882E36BE9D8}" destId="{CB4952EE-9312-417A-AC58-DF5F7D9589B8}" srcOrd="4" destOrd="0" parTransId="{78CC7B63-FA87-4866-BA10-E19E200DEB95}" sibTransId="{4420C49F-E413-441C-ADF4-195937151E43}"/>
    <dgm:cxn modelId="{8BEBA1B7-B052-4DE8-9B1D-FB7126693847}" type="presOf" srcId="{4DE75100-2E85-4E37-87D3-CB68DE8FCB39}" destId="{10D9978B-13F2-467D-8F3A-91B21E7F29B7}" srcOrd="0" destOrd="0" presId="urn:microsoft.com/office/officeart/2005/8/layout/vList6"/>
    <dgm:cxn modelId="{82177122-D193-4A8D-9842-9A710A02B3CF}" srcId="{E19654ED-F396-4AAA-AA0B-6D8ED65BC54D}" destId="{07252699-68FC-4E0E-97DD-F433F98EDF5A}" srcOrd="0" destOrd="0" parTransId="{211F974D-327F-4BE8-9F1D-BBD2914F2FA1}" sibTransId="{0B0DD53A-05F9-4A5B-B75F-466CB0E7590E}"/>
    <dgm:cxn modelId="{01163E5D-BC65-46B7-9C0B-924A7E78C97B}" type="presOf" srcId="{1BF53B8D-3AC1-4320-A55F-E36C8180A258}" destId="{BE11DA47-5166-4B3C-9D00-2F6EC0803447}" srcOrd="0" destOrd="0" presId="urn:microsoft.com/office/officeart/2005/8/layout/vList6"/>
    <dgm:cxn modelId="{E1E9E39B-0903-4643-A49C-F7094F500073}" srcId="{CB4952EE-9312-417A-AC58-DF5F7D9589B8}" destId="{39D60F12-423F-4CDE-9EEF-96BFCCDA7739}" srcOrd="0" destOrd="0" parTransId="{4369B0C8-8EF0-46D5-A9B1-15A3FD99DBC6}" sibTransId="{46CAE60E-00F0-4617-B6B0-4E7811B259D7}"/>
    <dgm:cxn modelId="{7B575F69-ABD5-4BFD-A919-6108FDFF7333}" srcId="{7C525E29-8D52-461A-BD59-238064EEB7A1}" destId="{A605EF74-7A93-4234-8676-CF74FD7745BB}" srcOrd="0" destOrd="0" parTransId="{C25AF0B8-A981-4E2D-9AEE-C5D14EDBBD92}" sibTransId="{93529093-86B9-4A80-9672-6C6929BDFB25}"/>
    <dgm:cxn modelId="{0757A89B-64F9-40EB-A256-61DD3C1750B5}" type="presOf" srcId="{71F37162-113D-4103-9A91-D66B20614143}" destId="{E1AA1741-7F9C-42C2-A2E6-5F7BFACDC6F4}" srcOrd="0" destOrd="0" presId="urn:microsoft.com/office/officeart/2005/8/layout/vList6"/>
    <dgm:cxn modelId="{954742C1-BC30-485A-BA47-6ABC95813D9D}" type="presOf" srcId="{75EF7D08-B22C-4480-B109-1F2D3C8850F1}" destId="{E8A64ADE-CC1F-42E7-B516-6D7798A00ACD}" srcOrd="0" destOrd="0" presId="urn:microsoft.com/office/officeart/2005/8/layout/vList6"/>
    <dgm:cxn modelId="{7CFE84F7-E9B7-4E96-A5E4-9DC415D5D53F}" srcId="{B72FAE10-CEEE-4F2B-97C5-51D34C6013D1}" destId="{75EF7D08-B22C-4480-B109-1F2D3C8850F1}" srcOrd="0" destOrd="0" parTransId="{ABE888D5-C294-42E6-A2AC-9CBB5756B160}" sibTransId="{B678D712-B91E-4AA9-AD97-03BF2B89D21E}"/>
    <dgm:cxn modelId="{38572F49-5041-46B6-AC65-8D5BE915D8CF}" srcId="{ADD379E0-9F51-4AE6-A0E6-F882E36BE9D8}" destId="{7C7985FB-3B6D-425D-8870-64B92B2F46FC}" srcOrd="1" destOrd="0" parTransId="{3C1C6296-1D8E-4376-AE62-491709008599}" sibTransId="{A4443B81-FEE9-4BB4-9B2A-3332AFB23E83}"/>
    <dgm:cxn modelId="{CADD3088-7666-4E4B-8F4C-8446B2A3186E}" type="presOf" srcId="{7C525E29-8D52-461A-BD59-238064EEB7A1}" destId="{B5023803-755D-4440-BCB4-9F41FD7523F6}" srcOrd="0" destOrd="0" presId="urn:microsoft.com/office/officeart/2005/8/layout/vList6"/>
    <dgm:cxn modelId="{CA2EBA9D-F719-4151-8BE1-32F54794D83F}" type="presOf" srcId="{C03316C3-9C1A-4CBD-8310-B0BF7836AB70}" destId="{7274BCF2-36B4-48FE-A63B-201DF5E782A6}" srcOrd="0" destOrd="0" presId="urn:microsoft.com/office/officeart/2005/8/layout/vList6"/>
    <dgm:cxn modelId="{A5F392C0-759E-4D30-9980-2F1416EA5AE4}" srcId="{0592425F-A6D9-41D7-B20B-E9784CF48139}" destId="{71F37162-113D-4103-9A91-D66B20614143}" srcOrd="0" destOrd="0" parTransId="{6F451480-821E-4E57-9428-7A9A1AA0D707}" sibTransId="{D0E669F3-5B85-4303-86A7-6E7CCD4AB406}"/>
    <dgm:cxn modelId="{1EC53D1F-5F1F-4A68-B0FE-BE1F1A0E9153}" srcId="{53B09CB6-DBA1-4F89-8E31-B2CF77098D93}" destId="{4DE75100-2E85-4E37-87D3-CB68DE8FCB39}" srcOrd="0" destOrd="0" parTransId="{38877D29-5318-4CB2-AD8E-EB2E4A546B53}" sibTransId="{C7EA6412-747F-4D38-9DD0-4AD9469BD73D}"/>
    <dgm:cxn modelId="{20B0E6CE-D57D-4998-A4E2-D9D64B6251E8}" srcId="{53B09CB6-DBA1-4F89-8E31-B2CF77098D93}" destId="{D95BE58F-1C4A-4A60-8777-9BB52DBFE8EC}" srcOrd="1" destOrd="0" parTransId="{E0A0B96A-47E0-4742-8D92-0806FC1D589C}" sibTransId="{EEBC5D2D-2A73-4417-9381-5142900E8BB5}"/>
    <dgm:cxn modelId="{1592E3D6-F7DF-4F6E-A983-23BED7F1DC82}" srcId="{DF4A0615-3574-477F-BF78-8036FC6E380B}" destId="{D6AC0891-28D9-4EFA-852C-DDAD36B4FCA7}" srcOrd="1" destOrd="0" parTransId="{CC396B17-39E6-43D9-BA2F-46736CC7540E}" sibTransId="{7D6E8316-ABA0-4333-BADA-49E8D94B8F92}"/>
    <dgm:cxn modelId="{63168F4B-3518-4309-BB79-5A4696D504E2}" srcId="{7C525E29-8D52-461A-BD59-238064EEB7A1}" destId="{E08F7461-A1B6-490F-B1A5-D6DA06C82C9A}" srcOrd="1" destOrd="0" parTransId="{A40D3F4E-8EBC-4C5E-97C2-3A504AACB2F9}" sibTransId="{4DF03C48-043A-45EC-8ED7-2D32D3FAF43F}"/>
    <dgm:cxn modelId="{67E80179-74CE-406D-B498-6047CC67FEC4}" type="presOf" srcId="{CB4952EE-9312-417A-AC58-DF5F7D9589B8}" destId="{F26E100C-5519-4CB8-998E-B18CE057F0C7}" srcOrd="0" destOrd="0" presId="urn:microsoft.com/office/officeart/2005/8/layout/vList6"/>
    <dgm:cxn modelId="{C5EA3ADB-AD19-4FAD-B310-C3AC98AAB9D5}" srcId="{7C7985FB-3B6D-425D-8870-64B92B2F46FC}" destId="{78BCAFE1-6796-43E6-966E-91D14F6F49DE}" srcOrd="0" destOrd="0" parTransId="{E8676723-E0CC-4A75-BF30-E2D2D4702F3D}" sibTransId="{CF4DE4AA-D233-45CC-A87A-69AD9822680A}"/>
    <dgm:cxn modelId="{B935AD9D-CDB2-463A-ACAC-D2AF310F28DC}" type="presOf" srcId="{D95BE58F-1C4A-4A60-8777-9BB52DBFE8EC}" destId="{10D9978B-13F2-467D-8F3A-91B21E7F29B7}" srcOrd="0" destOrd="1" presId="urn:microsoft.com/office/officeart/2005/8/layout/vList6"/>
    <dgm:cxn modelId="{A86908E0-88B0-4E20-96BE-9ECE8357AE02}" type="presOf" srcId="{7C7985FB-3B6D-425D-8870-64B92B2F46FC}" destId="{E51A0C14-4BE5-41CB-9E69-62BD33FF6CEF}" srcOrd="0" destOrd="0" presId="urn:microsoft.com/office/officeart/2005/8/layout/vList6"/>
    <dgm:cxn modelId="{3D068863-6FD1-4DC5-80C6-338917D26426}" srcId="{ADD379E0-9F51-4AE6-A0E6-F882E36BE9D8}" destId="{ED56CEB0-2156-434F-A16B-AEF8EF905C01}" srcOrd="5" destOrd="0" parTransId="{647BFFAF-7206-4924-B922-2DE45C47A169}" sibTransId="{B7CD8834-8BEC-4970-9C8A-0D89D681900B}"/>
    <dgm:cxn modelId="{9B1A4E2B-2496-4FB0-931D-418B912376C3}" type="presParOf" srcId="{B7011095-6885-46F8-A0CF-93C6E8C28781}" destId="{407DAA8B-B101-49E8-84E6-61EC33331CCC}" srcOrd="0" destOrd="0" presId="urn:microsoft.com/office/officeart/2005/8/layout/vList6"/>
    <dgm:cxn modelId="{1DD5FF48-DE91-4032-9EF8-DBA9A2A546D1}" type="presParOf" srcId="{407DAA8B-B101-49E8-84E6-61EC33331CCC}" destId="{4EC29D40-5CE4-497F-96A4-EF8BDCBF73EB}" srcOrd="0" destOrd="0" presId="urn:microsoft.com/office/officeart/2005/8/layout/vList6"/>
    <dgm:cxn modelId="{80D0250C-1EC1-4316-84DD-C1F460126DA7}" type="presParOf" srcId="{407DAA8B-B101-49E8-84E6-61EC33331CCC}" destId="{10D9978B-13F2-467D-8F3A-91B21E7F29B7}" srcOrd="1" destOrd="0" presId="urn:microsoft.com/office/officeart/2005/8/layout/vList6"/>
    <dgm:cxn modelId="{F373127A-2AC6-46DB-B65C-DBDB63DC5FC3}" type="presParOf" srcId="{B7011095-6885-46F8-A0CF-93C6E8C28781}" destId="{6A464E56-5B94-447C-B9FD-089A2FF3A6D9}" srcOrd="1" destOrd="0" presId="urn:microsoft.com/office/officeart/2005/8/layout/vList6"/>
    <dgm:cxn modelId="{2D54865B-8306-4834-B147-879BB01D7649}" type="presParOf" srcId="{B7011095-6885-46F8-A0CF-93C6E8C28781}" destId="{D0E41EF4-C47F-482A-B954-35D3532D92FA}" srcOrd="2" destOrd="0" presId="urn:microsoft.com/office/officeart/2005/8/layout/vList6"/>
    <dgm:cxn modelId="{72FFD8DF-56F4-417A-A70C-339DBAFAAFAF}" type="presParOf" srcId="{D0E41EF4-C47F-482A-B954-35D3532D92FA}" destId="{E51A0C14-4BE5-41CB-9E69-62BD33FF6CEF}" srcOrd="0" destOrd="0" presId="urn:microsoft.com/office/officeart/2005/8/layout/vList6"/>
    <dgm:cxn modelId="{A5EE931A-4A5E-47C0-9767-85F599202E69}" type="presParOf" srcId="{D0E41EF4-C47F-482A-B954-35D3532D92FA}" destId="{4CDCF540-01FD-4394-8196-93E9F5DB6259}" srcOrd="1" destOrd="0" presId="urn:microsoft.com/office/officeart/2005/8/layout/vList6"/>
    <dgm:cxn modelId="{7BA90E28-FDDC-411D-B05C-D15771D8912D}" type="presParOf" srcId="{B7011095-6885-46F8-A0CF-93C6E8C28781}" destId="{F4B79FF1-5735-418F-A5DE-9C1EC1C06796}" srcOrd="3" destOrd="0" presId="urn:microsoft.com/office/officeart/2005/8/layout/vList6"/>
    <dgm:cxn modelId="{F365CFB7-B412-4B6B-A607-B9B58B6EC412}" type="presParOf" srcId="{B7011095-6885-46F8-A0CF-93C6E8C28781}" destId="{A09EFAA2-D2CC-4A86-B0AE-44DBA4948744}" srcOrd="4" destOrd="0" presId="urn:microsoft.com/office/officeart/2005/8/layout/vList6"/>
    <dgm:cxn modelId="{6E560E31-D21F-479C-B436-D0B01192A1E1}" type="presParOf" srcId="{A09EFAA2-D2CC-4A86-B0AE-44DBA4948744}" destId="{B5023803-755D-4440-BCB4-9F41FD7523F6}" srcOrd="0" destOrd="0" presId="urn:microsoft.com/office/officeart/2005/8/layout/vList6"/>
    <dgm:cxn modelId="{3B5C9CEA-D798-41ED-B8A7-297B34D42CC7}" type="presParOf" srcId="{A09EFAA2-D2CC-4A86-B0AE-44DBA4948744}" destId="{311065F4-951A-469A-BFE0-2D3A9C6DE415}" srcOrd="1" destOrd="0" presId="urn:microsoft.com/office/officeart/2005/8/layout/vList6"/>
    <dgm:cxn modelId="{F4098873-0980-45BA-90D5-6649EB09C2DB}" type="presParOf" srcId="{B7011095-6885-46F8-A0CF-93C6E8C28781}" destId="{69795B90-02C5-4CCC-8589-F51199E663F3}" srcOrd="5" destOrd="0" presId="urn:microsoft.com/office/officeart/2005/8/layout/vList6"/>
    <dgm:cxn modelId="{201531B5-1332-4C94-99AC-1643865ECC03}" type="presParOf" srcId="{B7011095-6885-46F8-A0CF-93C6E8C28781}" destId="{D2BF3D6C-6C70-45CD-BB7F-799F79F36B07}" srcOrd="6" destOrd="0" presId="urn:microsoft.com/office/officeart/2005/8/layout/vList6"/>
    <dgm:cxn modelId="{63F1C1EC-9D96-474F-8744-B5256F636F13}" type="presParOf" srcId="{D2BF3D6C-6C70-45CD-BB7F-799F79F36B07}" destId="{0187CF32-DA4E-48D2-90BF-34AA6F20EF43}" srcOrd="0" destOrd="0" presId="urn:microsoft.com/office/officeart/2005/8/layout/vList6"/>
    <dgm:cxn modelId="{984B2274-EAEE-4460-BDBF-2FB2F85FA1BC}" type="presParOf" srcId="{D2BF3D6C-6C70-45CD-BB7F-799F79F36B07}" destId="{A312ABDE-D2D2-4091-8EC4-264879F41269}" srcOrd="1" destOrd="0" presId="urn:microsoft.com/office/officeart/2005/8/layout/vList6"/>
    <dgm:cxn modelId="{BFCD6C51-FA9E-45DF-AC56-B7DD79063F74}" type="presParOf" srcId="{B7011095-6885-46F8-A0CF-93C6E8C28781}" destId="{1656E122-D608-43CD-B9A7-B54F49729D08}" srcOrd="7" destOrd="0" presId="urn:microsoft.com/office/officeart/2005/8/layout/vList6"/>
    <dgm:cxn modelId="{2D9000E9-571B-4502-9B42-FA4FF2335CA5}" type="presParOf" srcId="{B7011095-6885-46F8-A0CF-93C6E8C28781}" destId="{8418B818-1366-40F9-859C-2E42FDD01BDE}" srcOrd="8" destOrd="0" presId="urn:microsoft.com/office/officeart/2005/8/layout/vList6"/>
    <dgm:cxn modelId="{B07BE2E7-19A3-495C-8864-EBB39BDF07BD}" type="presParOf" srcId="{8418B818-1366-40F9-859C-2E42FDD01BDE}" destId="{F26E100C-5519-4CB8-998E-B18CE057F0C7}" srcOrd="0" destOrd="0" presId="urn:microsoft.com/office/officeart/2005/8/layout/vList6"/>
    <dgm:cxn modelId="{BB20AB1E-F982-489A-BAAC-98775DE8CD4A}" type="presParOf" srcId="{8418B818-1366-40F9-859C-2E42FDD01BDE}" destId="{F88F352B-E616-4DCA-8F58-7CC2A6E021E9}" srcOrd="1" destOrd="0" presId="urn:microsoft.com/office/officeart/2005/8/layout/vList6"/>
    <dgm:cxn modelId="{68794809-D0D1-4DA2-962D-B3853CC5EFA5}" type="presParOf" srcId="{B7011095-6885-46F8-A0CF-93C6E8C28781}" destId="{95B6C9BB-19EC-4571-A5BB-466FA69C97DA}" srcOrd="9" destOrd="0" presId="urn:microsoft.com/office/officeart/2005/8/layout/vList6"/>
    <dgm:cxn modelId="{2DDA3407-F9B7-4B52-8BE3-52EFFE006E3C}" type="presParOf" srcId="{B7011095-6885-46F8-A0CF-93C6E8C28781}" destId="{27914215-65C7-46C1-A7D3-C060E78146EC}" srcOrd="10" destOrd="0" presId="urn:microsoft.com/office/officeart/2005/8/layout/vList6"/>
    <dgm:cxn modelId="{68F9F7F5-1230-4F21-8487-33EA517E250B}" type="presParOf" srcId="{27914215-65C7-46C1-A7D3-C060E78146EC}" destId="{7D6ED7C5-9B99-4877-A818-ED6979E99902}" srcOrd="0" destOrd="0" presId="urn:microsoft.com/office/officeart/2005/8/layout/vList6"/>
    <dgm:cxn modelId="{9AFF0407-2EBC-47FD-934A-CB0F4D792C25}" type="presParOf" srcId="{27914215-65C7-46C1-A7D3-C060E78146EC}" destId="{FA120DC3-7447-46C2-8F99-B5DF149C02A1}" srcOrd="1" destOrd="0" presId="urn:microsoft.com/office/officeart/2005/8/layout/vList6"/>
    <dgm:cxn modelId="{B1FC4EB0-2549-4340-A807-3A617617A474}" type="presParOf" srcId="{B7011095-6885-46F8-A0CF-93C6E8C28781}" destId="{87E46E22-7586-4C87-96E8-604A9868ECB8}" srcOrd="11" destOrd="0" presId="urn:microsoft.com/office/officeart/2005/8/layout/vList6"/>
    <dgm:cxn modelId="{78A20D58-2B92-4C89-BD36-A0433E33D04A}" type="presParOf" srcId="{B7011095-6885-46F8-A0CF-93C6E8C28781}" destId="{6C9B9917-400D-4942-BA80-25612A235F35}" srcOrd="12" destOrd="0" presId="urn:microsoft.com/office/officeart/2005/8/layout/vList6"/>
    <dgm:cxn modelId="{F12B8412-2D73-416D-97EF-D7C8C11C817D}" type="presParOf" srcId="{6C9B9917-400D-4942-BA80-25612A235F35}" destId="{BFE2C15A-9176-48F3-81C8-E7DC7B065ECD}" srcOrd="0" destOrd="0" presId="urn:microsoft.com/office/officeart/2005/8/layout/vList6"/>
    <dgm:cxn modelId="{77A9E31A-D3C7-4623-A7DE-40C0D08114D0}" type="presParOf" srcId="{6C9B9917-400D-4942-BA80-25612A235F35}" destId="{E1AA1741-7F9C-42C2-A2E6-5F7BFACDC6F4}" srcOrd="1" destOrd="0" presId="urn:microsoft.com/office/officeart/2005/8/layout/vList6"/>
    <dgm:cxn modelId="{EB21B420-6963-4B7E-A654-4C06D5F25F09}" type="presParOf" srcId="{B7011095-6885-46F8-A0CF-93C6E8C28781}" destId="{D0A05067-3CFF-4B01-9450-417F0537A284}" srcOrd="13" destOrd="0" presId="urn:microsoft.com/office/officeart/2005/8/layout/vList6"/>
    <dgm:cxn modelId="{37B5846E-AD06-489D-BE7C-1B9CFB669423}" type="presParOf" srcId="{B7011095-6885-46F8-A0CF-93C6E8C28781}" destId="{209CF28E-3895-4A97-9837-A48E47F72BBC}" srcOrd="14" destOrd="0" presId="urn:microsoft.com/office/officeart/2005/8/layout/vList6"/>
    <dgm:cxn modelId="{55BB1C99-593D-4EF1-BA97-D47E13D5EBB6}" type="presParOf" srcId="{209CF28E-3895-4A97-9837-A48E47F72BBC}" destId="{A30B8A33-86DF-466F-842A-CC9C39BB0D5D}" srcOrd="0" destOrd="0" presId="urn:microsoft.com/office/officeart/2005/8/layout/vList6"/>
    <dgm:cxn modelId="{CE80D8E5-BB7B-493E-925F-6026DC0A2283}" type="presParOf" srcId="{209CF28E-3895-4A97-9837-A48E47F72BBC}" destId="{E8A64ADE-CC1F-42E7-B516-6D7798A00ACD}" srcOrd="1" destOrd="0" presId="urn:microsoft.com/office/officeart/2005/8/layout/vList6"/>
    <dgm:cxn modelId="{275DAAB0-DD0E-4F90-9A4C-2CEDD31421F9}" type="presParOf" srcId="{B7011095-6885-46F8-A0CF-93C6E8C28781}" destId="{20833523-599F-42AA-B511-AC2F604EAD90}" srcOrd="15" destOrd="0" presId="urn:microsoft.com/office/officeart/2005/8/layout/vList6"/>
    <dgm:cxn modelId="{E6644C0D-C5A2-4139-8609-1FA36E91F91E}" type="presParOf" srcId="{B7011095-6885-46F8-A0CF-93C6E8C28781}" destId="{BAFDABE4-2B20-4123-A92A-09927BEC5FE6}" srcOrd="16" destOrd="0" presId="urn:microsoft.com/office/officeart/2005/8/layout/vList6"/>
    <dgm:cxn modelId="{46BC0FC2-73C4-4364-A943-6FD871809BF4}" type="presParOf" srcId="{BAFDABE4-2B20-4123-A92A-09927BEC5FE6}" destId="{7274BCF2-36B4-48FE-A63B-201DF5E782A6}" srcOrd="0" destOrd="0" presId="urn:microsoft.com/office/officeart/2005/8/layout/vList6"/>
    <dgm:cxn modelId="{8D52CC78-E651-4D3F-A30A-C32ACAC6F016}" type="presParOf" srcId="{BAFDABE4-2B20-4123-A92A-09927BEC5FE6}" destId="{BE11DA47-5166-4B3C-9D00-2F6EC0803447}" srcOrd="1" destOrd="0" presId="urn:microsoft.com/office/officeart/2005/8/layout/vList6"/>
    <dgm:cxn modelId="{E3A6923D-04AD-4088-B2BB-AE10DA011EBE}" type="presParOf" srcId="{B7011095-6885-46F8-A0CF-93C6E8C28781}" destId="{2FB1B3FD-1EDB-429C-B72B-A4760C81E1C7}" srcOrd="17" destOrd="0" presId="urn:microsoft.com/office/officeart/2005/8/layout/vList6"/>
    <dgm:cxn modelId="{9EABBAB4-D3C7-4054-B6DF-91DC9AC5EB70}" type="presParOf" srcId="{B7011095-6885-46F8-A0CF-93C6E8C28781}" destId="{6F6FCEA9-65CA-471A-8617-CDDDFC83D2BE}" srcOrd="18" destOrd="0" presId="urn:microsoft.com/office/officeart/2005/8/layout/vList6"/>
    <dgm:cxn modelId="{9FAF9605-5E42-421F-9DCC-D72E9BF4A9D6}" type="presParOf" srcId="{6F6FCEA9-65CA-471A-8617-CDDDFC83D2BE}" destId="{4A45366A-4C2B-47F3-AA10-46CA90E4948B}" srcOrd="0" destOrd="0" presId="urn:microsoft.com/office/officeart/2005/8/layout/vList6"/>
    <dgm:cxn modelId="{2158A4F1-3959-47D1-AB7D-ABF24DE46F46}" type="presParOf" srcId="{6F6FCEA9-65CA-471A-8617-CDDDFC83D2BE}" destId="{A84821AB-85EE-424D-8DD5-B538ACD48386}" srcOrd="1" destOrd="0" presId="urn:microsoft.com/office/officeart/2005/8/layout/vList6"/>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D9978B-13F2-467D-8F3A-91B21E7F29B7}">
      <dsp:nvSpPr>
        <dsp:cNvPr id="0" name=""/>
        <dsp:cNvSpPr/>
      </dsp:nvSpPr>
      <dsp:spPr>
        <a:xfrm>
          <a:off x="1454820" y="1663"/>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ro-RO" sz="800" kern="1200"/>
            <a:t>SECRETARIATUL GENERAL AL GUVERNULUI</a:t>
          </a:r>
          <a:endParaRPr lang="en-GB" sz="800" kern="1200"/>
        </a:p>
        <a:p>
          <a:pPr marL="57150" lvl="1" indent="-57150" algn="l" defTabSz="355600">
            <a:lnSpc>
              <a:spcPct val="90000"/>
            </a:lnSpc>
            <a:spcBef>
              <a:spcPct val="0"/>
            </a:spcBef>
            <a:spcAft>
              <a:spcPct val="15000"/>
            </a:spcAft>
            <a:buChar char="••"/>
          </a:pPr>
          <a:r>
            <a:rPr lang="ro-RO" sz="800" kern="1200"/>
            <a:t>DIRECȚIA PENTRU GUVERNARE DESCHISĂ ȘI RELAȚIA CU SOCIETATEA CIVILĂ</a:t>
          </a:r>
          <a:endParaRPr lang="en-GB" sz="800" kern="1200"/>
        </a:p>
      </dsp:txBody>
      <dsp:txXfrm>
        <a:off x="1454820" y="52876"/>
        <a:ext cx="2028591" cy="307280"/>
      </dsp:txXfrm>
    </dsp:sp>
    <dsp:sp modelId="{4EC29D40-5CE4-497F-96A4-EF8BDCBF73EB}">
      <dsp:nvSpPr>
        <dsp:cNvPr id="0" name=""/>
        <dsp:cNvSpPr/>
      </dsp:nvSpPr>
      <dsp:spPr>
        <a:xfrm>
          <a:off x="0" y="1663"/>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ROMÂNIA</a:t>
          </a:r>
          <a:endParaRPr lang="en-GB" sz="2000" kern="1200"/>
        </a:p>
      </dsp:txBody>
      <dsp:txXfrm>
        <a:off x="20000" y="21663"/>
        <a:ext cx="1414820" cy="369706"/>
      </dsp:txXfrm>
    </dsp:sp>
    <dsp:sp modelId="{4CDCF540-01FD-4394-8196-93E9F5DB6259}">
      <dsp:nvSpPr>
        <dsp:cNvPr id="0" name=""/>
        <dsp:cNvSpPr/>
      </dsp:nvSpPr>
      <dsp:spPr>
        <a:xfrm>
          <a:off x="1454820" y="452341"/>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GB" sz="800" b="0" i="0" u="none" kern="1200"/>
            <a:t>NFI- Institutul Național pentru Libertate - Centrul pentru Dezvoltarea Societății Civile CSSD</a:t>
          </a:r>
          <a:endParaRPr lang="en-GB" sz="800" kern="1200"/>
        </a:p>
      </dsp:txBody>
      <dsp:txXfrm>
        <a:off x="1454820" y="503554"/>
        <a:ext cx="2028591" cy="307280"/>
      </dsp:txXfrm>
    </dsp:sp>
    <dsp:sp modelId="{E51A0C14-4BE5-41CB-9E69-62BD33FF6CEF}">
      <dsp:nvSpPr>
        <dsp:cNvPr id="0" name=""/>
        <dsp:cNvSpPr/>
      </dsp:nvSpPr>
      <dsp:spPr>
        <a:xfrm>
          <a:off x="0" y="452341"/>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POLONIA</a:t>
          </a:r>
        </a:p>
      </dsp:txBody>
      <dsp:txXfrm>
        <a:off x="20000" y="472341"/>
        <a:ext cx="1414820" cy="369706"/>
      </dsp:txXfrm>
    </dsp:sp>
    <dsp:sp modelId="{311065F4-951A-469A-BFE0-2D3A9C6DE415}">
      <dsp:nvSpPr>
        <dsp:cNvPr id="0" name=""/>
        <dsp:cNvSpPr/>
      </dsp:nvSpPr>
      <dsp:spPr>
        <a:xfrm>
          <a:off x="1454820" y="903018"/>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GB" sz="800" b="0" i="0" u="none" kern="1200"/>
            <a:t>CESE -Consiliul Economic, Social și pentru Mediu</a:t>
          </a:r>
          <a:endParaRPr lang="en-GB" sz="800" kern="1200"/>
        </a:p>
        <a:p>
          <a:pPr marL="57150" lvl="1" indent="-57150" algn="l" defTabSz="355600">
            <a:lnSpc>
              <a:spcPct val="90000"/>
            </a:lnSpc>
            <a:spcBef>
              <a:spcPct val="0"/>
            </a:spcBef>
            <a:spcAft>
              <a:spcPct val="15000"/>
            </a:spcAft>
            <a:buChar char="••"/>
          </a:pPr>
          <a:endParaRPr lang="en-GB" sz="800" kern="1200"/>
        </a:p>
      </dsp:txBody>
      <dsp:txXfrm>
        <a:off x="1454820" y="954231"/>
        <a:ext cx="2028591" cy="307280"/>
      </dsp:txXfrm>
    </dsp:sp>
    <dsp:sp modelId="{B5023803-755D-4440-BCB4-9F41FD7523F6}">
      <dsp:nvSpPr>
        <dsp:cNvPr id="0" name=""/>
        <dsp:cNvSpPr/>
      </dsp:nvSpPr>
      <dsp:spPr>
        <a:xfrm>
          <a:off x="0" y="903018"/>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FRANȚA</a:t>
          </a:r>
          <a:endParaRPr lang="en-GB" sz="2000" kern="1200"/>
        </a:p>
      </dsp:txBody>
      <dsp:txXfrm>
        <a:off x="20000" y="923018"/>
        <a:ext cx="1414820" cy="369706"/>
      </dsp:txXfrm>
    </dsp:sp>
    <dsp:sp modelId="{A312ABDE-D2D2-4091-8EC4-264879F41269}">
      <dsp:nvSpPr>
        <dsp:cNvPr id="0" name=""/>
        <dsp:cNvSpPr/>
      </dsp:nvSpPr>
      <dsp:spPr>
        <a:xfrm>
          <a:off x="1454820" y="1353695"/>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080" tIns="5080" rIns="5080" bIns="5080" numCol="1" spcCol="1270" anchor="t" anchorCtr="0">
          <a:noAutofit/>
        </a:bodyPr>
        <a:lstStyle/>
        <a:p>
          <a:pPr marL="57150" lvl="1" indent="-57150" algn="l" defTabSz="355600">
            <a:lnSpc>
              <a:spcPct val="90000"/>
            </a:lnSpc>
            <a:spcBef>
              <a:spcPct val="0"/>
            </a:spcBef>
            <a:spcAft>
              <a:spcPct val="15000"/>
            </a:spcAft>
            <a:buChar char="••"/>
          </a:pPr>
          <a:r>
            <a:rPr lang="en-GB" sz="800" b="0" i="0" u="none" kern="1200"/>
            <a:t>Oficiul Guvernamental pentru Cooperarea cu ong-urile</a:t>
          </a:r>
          <a:endParaRPr lang="en-GB" sz="800" kern="1200"/>
        </a:p>
        <a:p>
          <a:pPr marL="57150" lvl="1" indent="-57150" algn="l" defTabSz="355600">
            <a:lnSpc>
              <a:spcPct val="90000"/>
            </a:lnSpc>
            <a:spcBef>
              <a:spcPct val="0"/>
            </a:spcBef>
            <a:spcAft>
              <a:spcPct val="15000"/>
            </a:spcAft>
            <a:buChar char="••"/>
          </a:pPr>
          <a:endParaRPr lang="en-GB" sz="800" kern="1200"/>
        </a:p>
      </dsp:txBody>
      <dsp:txXfrm>
        <a:off x="1454820" y="1404908"/>
        <a:ext cx="2028591" cy="307280"/>
      </dsp:txXfrm>
    </dsp:sp>
    <dsp:sp modelId="{0187CF32-DA4E-48D2-90BF-34AA6F20EF43}">
      <dsp:nvSpPr>
        <dsp:cNvPr id="0" name=""/>
        <dsp:cNvSpPr/>
      </dsp:nvSpPr>
      <dsp:spPr>
        <a:xfrm>
          <a:off x="0" y="1353695"/>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CROAȚIA</a:t>
          </a:r>
          <a:endParaRPr lang="en-GB" sz="2000" kern="1200"/>
        </a:p>
      </dsp:txBody>
      <dsp:txXfrm>
        <a:off x="20000" y="1373695"/>
        <a:ext cx="1414820" cy="369706"/>
      </dsp:txXfrm>
    </dsp:sp>
    <dsp:sp modelId="{F88F352B-E616-4DCA-8F58-7CC2A6E021E9}">
      <dsp:nvSpPr>
        <dsp:cNvPr id="0" name=""/>
        <dsp:cNvSpPr/>
      </dsp:nvSpPr>
      <dsp:spPr>
        <a:xfrm>
          <a:off x="1454820" y="1804373"/>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Consiliul pentru Sectorul de Voluntariat</a:t>
          </a:r>
          <a:endParaRPr lang="en-GB" sz="1000" kern="1200"/>
        </a:p>
      </dsp:txBody>
      <dsp:txXfrm>
        <a:off x="1454820" y="1855586"/>
        <a:ext cx="2028591" cy="307280"/>
      </dsp:txXfrm>
    </dsp:sp>
    <dsp:sp modelId="{F26E100C-5519-4CB8-998E-B18CE057F0C7}">
      <dsp:nvSpPr>
        <dsp:cNvPr id="0" name=""/>
        <dsp:cNvSpPr/>
      </dsp:nvSpPr>
      <dsp:spPr>
        <a:xfrm>
          <a:off x="0" y="1804373"/>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MALTA</a:t>
          </a:r>
          <a:endParaRPr lang="en-GB" sz="2000" kern="1200"/>
        </a:p>
      </dsp:txBody>
      <dsp:txXfrm>
        <a:off x="20000" y="1824373"/>
        <a:ext cx="1414820" cy="369706"/>
      </dsp:txXfrm>
    </dsp:sp>
    <dsp:sp modelId="{FA120DC3-7447-46C2-8F99-B5DF149C02A1}">
      <dsp:nvSpPr>
        <dsp:cNvPr id="0" name=""/>
        <dsp:cNvSpPr/>
      </dsp:nvSpPr>
      <dsp:spPr>
        <a:xfrm>
          <a:off x="1454820" y="2255050"/>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Fundația națională a societății civile din Estonia (NFCS) </a:t>
          </a:r>
          <a:endParaRPr lang="en-GB" sz="1000" kern="1200"/>
        </a:p>
      </dsp:txBody>
      <dsp:txXfrm>
        <a:off x="1454820" y="2306263"/>
        <a:ext cx="2028591" cy="307280"/>
      </dsp:txXfrm>
    </dsp:sp>
    <dsp:sp modelId="{7D6ED7C5-9B99-4877-A818-ED6979E99902}">
      <dsp:nvSpPr>
        <dsp:cNvPr id="0" name=""/>
        <dsp:cNvSpPr/>
      </dsp:nvSpPr>
      <dsp:spPr>
        <a:xfrm>
          <a:off x="0" y="2255050"/>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ESTONIA</a:t>
          </a:r>
          <a:endParaRPr lang="en-GB" sz="2000" kern="1200"/>
        </a:p>
      </dsp:txBody>
      <dsp:txXfrm>
        <a:off x="20000" y="2275050"/>
        <a:ext cx="1414820" cy="369706"/>
      </dsp:txXfrm>
    </dsp:sp>
    <dsp:sp modelId="{E1AA1741-7F9C-42C2-A2E6-5F7BFACDC6F4}">
      <dsp:nvSpPr>
        <dsp:cNvPr id="0" name=""/>
        <dsp:cNvSpPr/>
      </dsp:nvSpPr>
      <dsp:spPr>
        <a:xfrm>
          <a:off x="1454820" y="2705727"/>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Consiliul Guvernamental pentru ong-uri</a:t>
          </a:r>
          <a:endParaRPr lang="en-GB" sz="1000" kern="1200"/>
        </a:p>
      </dsp:txBody>
      <dsp:txXfrm>
        <a:off x="1454820" y="2756940"/>
        <a:ext cx="2028591" cy="307280"/>
      </dsp:txXfrm>
    </dsp:sp>
    <dsp:sp modelId="{BFE2C15A-9176-48F3-81C8-E7DC7B065ECD}">
      <dsp:nvSpPr>
        <dsp:cNvPr id="0" name=""/>
        <dsp:cNvSpPr/>
      </dsp:nvSpPr>
      <dsp:spPr>
        <a:xfrm>
          <a:off x="0" y="2705727"/>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CEHIA</a:t>
          </a:r>
          <a:endParaRPr lang="en-GB" sz="2000" kern="1200"/>
        </a:p>
      </dsp:txBody>
      <dsp:txXfrm>
        <a:off x="20000" y="2725727"/>
        <a:ext cx="1414820" cy="369706"/>
      </dsp:txXfrm>
    </dsp:sp>
    <dsp:sp modelId="{E8A64ADE-CC1F-42E7-B516-6D7798A00ACD}">
      <dsp:nvSpPr>
        <dsp:cNvPr id="0" name=""/>
        <dsp:cNvSpPr/>
      </dsp:nvSpPr>
      <dsp:spPr>
        <a:xfrm>
          <a:off x="1454820" y="3156404"/>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OCS - Oficiul pentru Societatea Civilă</a:t>
          </a:r>
          <a:endParaRPr lang="en-GB" sz="1000" kern="1200"/>
        </a:p>
      </dsp:txBody>
      <dsp:txXfrm>
        <a:off x="1454820" y="3207617"/>
        <a:ext cx="2028591" cy="307280"/>
      </dsp:txXfrm>
    </dsp:sp>
    <dsp:sp modelId="{A30B8A33-86DF-466F-842A-CC9C39BB0D5D}">
      <dsp:nvSpPr>
        <dsp:cNvPr id="0" name=""/>
        <dsp:cNvSpPr/>
      </dsp:nvSpPr>
      <dsp:spPr>
        <a:xfrm>
          <a:off x="0" y="3156404"/>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U.K.</a:t>
          </a:r>
          <a:endParaRPr lang="en-GB" sz="2000" kern="1200"/>
        </a:p>
      </dsp:txBody>
      <dsp:txXfrm>
        <a:off x="20000" y="3176404"/>
        <a:ext cx="1414820" cy="369706"/>
      </dsp:txXfrm>
    </dsp:sp>
    <dsp:sp modelId="{BE11DA47-5166-4B3C-9D00-2F6EC0803447}">
      <dsp:nvSpPr>
        <dsp:cNvPr id="0" name=""/>
        <dsp:cNvSpPr/>
      </dsp:nvSpPr>
      <dsp:spPr>
        <a:xfrm>
          <a:off x="1454820" y="3607082"/>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Fundația pentru Integrarea Societății</a:t>
          </a:r>
          <a:endParaRPr lang="en-GB" sz="1000" kern="1200"/>
        </a:p>
      </dsp:txBody>
      <dsp:txXfrm>
        <a:off x="1454820" y="3658295"/>
        <a:ext cx="2028591" cy="307280"/>
      </dsp:txXfrm>
    </dsp:sp>
    <dsp:sp modelId="{7274BCF2-36B4-48FE-A63B-201DF5E782A6}">
      <dsp:nvSpPr>
        <dsp:cNvPr id="0" name=""/>
        <dsp:cNvSpPr/>
      </dsp:nvSpPr>
      <dsp:spPr>
        <a:xfrm>
          <a:off x="0" y="3607082"/>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LETONIA</a:t>
          </a:r>
          <a:endParaRPr lang="en-GB" sz="2000" kern="1200"/>
        </a:p>
      </dsp:txBody>
      <dsp:txXfrm>
        <a:off x="20000" y="3627082"/>
        <a:ext cx="1414820" cy="369706"/>
      </dsp:txXfrm>
    </dsp:sp>
    <dsp:sp modelId="{A84821AB-85EE-424D-8DD5-B538ACD48386}">
      <dsp:nvSpPr>
        <dsp:cNvPr id="0" name=""/>
        <dsp:cNvSpPr/>
      </dsp:nvSpPr>
      <dsp:spPr>
        <a:xfrm>
          <a:off x="1454820" y="4057759"/>
          <a:ext cx="2182231" cy="40970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en-GB" sz="1000" b="0" i="0" u="none" kern="1200"/>
            <a:t>Ministerul pentru Securitate Națională și Muncă</a:t>
          </a:r>
          <a:endParaRPr lang="en-GB" sz="1000" kern="1200"/>
        </a:p>
      </dsp:txBody>
      <dsp:txXfrm>
        <a:off x="1454820" y="4108972"/>
        <a:ext cx="2028591" cy="307280"/>
      </dsp:txXfrm>
    </dsp:sp>
    <dsp:sp modelId="{4A45366A-4C2B-47F3-AA10-46CA90E4948B}">
      <dsp:nvSpPr>
        <dsp:cNvPr id="0" name=""/>
        <dsp:cNvSpPr/>
      </dsp:nvSpPr>
      <dsp:spPr>
        <a:xfrm>
          <a:off x="0" y="4057759"/>
          <a:ext cx="1454820" cy="40970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0" tIns="38100" rIns="76200" bIns="38100" numCol="1" spcCol="1270" anchor="ctr" anchorCtr="0">
          <a:noAutofit/>
        </a:bodyPr>
        <a:lstStyle/>
        <a:p>
          <a:pPr lvl="0" algn="ctr" defTabSz="889000">
            <a:lnSpc>
              <a:spcPct val="90000"/>
            </a:lnSpc>
            <a:spcBef>
              <a:spcPct val="0"/>
            </a:spcBef>
            <a:spcAft>
              <a:spcPct val="35000"/>
            </a:spcAft>
          </a:pPr>
          <a:r>
            <a:rPr lang="ro-RO" sz="2000" kern="1200"/>
            <a:t>LITUANIA</a:t>
          </a:r>
          <a:endParaRPr lang="en-GB" sz="2000" kern="1200"/>
        </a:p>
      </dsp:txBody>
      <dsp:txXfrm>
        <a:off x="20000" y="4077759"/>
        <a:ext cx="1414820" cy="369706"/>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Words>
  <Characters>109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 Tara</dc:creator>
  <cp:keywords/>
  <dc:description/>
  <cp:lastModifiedBy>Maria Stanescu</cp:lastModifiedBy>
  <cp:revision>2</cp:revision>
  <dcterms:created xsi:type="dcterms:W3CDTF">2019-09-20T07:12:00Z</dcterms:created>
  <dcterms:modified xsi:type="dcterms:W3CDTF">2019-09-20T07:12:00Z</dcterms:modified>
</cp:coreProperties>
</file>