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399F" w:rsidRDefault="008B399F" w:rsidP="00AB0C17">
      <w:pPr>
        <w:spacing w:line="360" w:lineRule="auto"/>
        <w:jc w:val="center"/>
        <w:rPr>
          <w:rFonts w:ascii="Times New Roman" w:hAnsi="Times New Roman" w:cs="Times New Roman"/>
          <w:b/>
          <w:sz w:val="40"/>
          <w:szCs w:val="40"/>
        </w:rPr>
      </w:pPr>
    </w:p>
    <w:p w:rsidR="008B399F" w:rsidRDefault="008B399F" w:rsidP="00AB0C17">
      <w:pPr>
        <w:spacing w:line="360" w:lineRule="auto"/>
        <w:jc w:val="center"/>
        <w:rPr>
          <w:rFonts w:ascii="Times New Roman" w:hAnsi="Times New Roman" w:cs="Times New Roman"/>
          <w:b/>
          <w:sz w:val="40"/>
          <w:szCs w:val="40"/>
        </w:rPr>
      </w:pPr>
    </w:p>
    <w:p w:rsidR="00747FA3" w:rsidRPr="00747FA3" w:rsidRDefault="00747FA3" w:rsidP="00AB0C17">
      <w:pPr>
        <w:spacing w:line="360" w:lineRule="auto"/>
        <w:jc w:val="center"/>
        <w:rPr>
          <w:rFonts w:ascii="Times New Roman" w:hAnsi="Times New Roman" w:cs="Times New Roman"/>
          <w:b/>
          <w:sz w:val="40"/>
          <w:szCs w:val="40"/>
        </w:rPr>
      </w:pPr>
      <w:r w:rsidRPr="00747FA3">
        <w:rPr>
          <w:rFonts w:ascii="Times New Roman" w:hAnsi="Times New Roman" w:cs="Times New Roman"/>
          <w:b/>
          <w:sz w:val="40"/>
          <w:szCs w:val="40"/>
        </w:rPr>
        <w:t>RAPORT DE MONITORIZARE</w:t>
      </w:r>
    </w:p>
    <w:p w:rsidR="00320C3A" w:rsidRPr="00320C3A" w:rsidRDefault="00747FA3" w:rsidP="00AB0C17">
      <w:pPr>
        <w:spacing w:line="360" w:lineRule="auto"/>
        <w:jc w:val="center"/>
        <w:rPr>
          <w:rFonts w:ascii="Times New Roman" w:hAnsi="Times New Roman" w:cs="Times New Roman"/>
          <w:b/>
          <w:color w:val="000000" w:themeColor="text1"/>
          <w:sz w:val="40"/>
          <w:szCs w:val="40"/>
        </w:rPr>
      </w:pPr>
      <w:r w:rsidRPr="00747FA3">
        <w:rPr>
          <w:rFonts w:ascii="Times New Roman" w:hAnsi="Times New Roman" w:cs="Times New Roman"/>
          <w:b/>
          <w:sz w:val="40"/>
          <w:szCs w:val="40"/>
        </w:rPr>
        <w:t>asupra implementării Legii nr. 544/2001 privind liberul acces la informaţiile de interes public şi Legii nr. 52/2003 privind transparenţa decizională în administraţia publică în anul 201</w:t>
      </w:r>
      <w:r>
        <w:rPr>
          <w:rFonts w:ascii="Times New Roman" w:hAnsi="Times New Roman" w:cs="Times New Roman"/>
          <w:b/>
          <w:sz w:val="40"/>
          <w:szCs w:val="40"/>
        </w:rPr>
        <w:t>7</w:t>
      </w:r>
      <w:r w:rsidR="00AB0C17">
        <w:rPr>
          <w:rFonts w:ascii="Times New Roman" w:hAnsi="Times New Roman" w:cs="Times New Roman"/>
          <w:b/>
          <w:sz w:val="40"/>
          <w:szCs w:val="40"/>
        </w:rPr>
        <w:t xml:space="preserve"> </w:t>
      </w:r>
      <w:r w:rsidR="00320C3A">
        <w:rPr>
          <w:rFonts w:ascii="Times New Roman" w:hAnsi="Times New Roman" w:cs="Times New Roman"/>
          <w:b/>
          <w:sz w:val="40"/>
          <w:szCs w:val="40"/>
        </w:rPr>
        <w:t xml:space="preserve">în cadrul proiectului </w:t>
      </w:r>
      <w:r w:rsidR="00320C3A" w:rsidRPr="00320C3A">
        <w:rPr>
          <w:rFonts w:ascii="Times New Roman" w:hAnsi="Times New Roman" w:cs="Times New Roman"/>
          <w:b/>
          <w:sz w:val="40"/>
          <w:szCs w:val="40"/>
          <w:lang w:val="ro-RO"/>
        </w:rPr>
        <w:t>SIPOCA 35 ”Guvernare transparentă, deschisă și participativă – standardizare, armonizare, dialog îmbunătățit”</w:t>
      </w:r>
    </w:p>
    <w:p w:rsidR="004A1AAC" w:rsidRDefault="004A1AAC" w:rsidP="00A2289F">
      <w:pPr>
        <w:spacing w:line="360" w:lineRule="auto"/>
        <w:jc w:val="both"/>
        <w:rPr>
          <w:rFonts w:ascii="Times New Roman" w:hAnsi="Times New Roman" w:cs="Times New Roman"/>
          <w:b/>
          <w:color w:val="000000" w:themeColor="text1"/>
          <w:sz w:val="36"/>
          <w:szCs w:val="36"/>
        </w:rPr>
      </w:pPr>
    </w:p>
    <w:p w:rsidR="004A1AAC" w:rsidRDefault="004A1AAC" w:rsidP="00A2289F">
      <w:pPr>
        <w:spacing w:line="360" w:lineRule="auto"/>
        <w:jc w:val="both"/>
        <w:rPr>
          <w:rFonts w:ascii="Times New Roman" w:hAnsi="Times New Roman" w:cs="Times New Roman"/>
          <w:b/>
          <w:color w:val="000000" w:themeColor="text1"/>
          <w:sz w:val="36"/>
          <w:szCs w:val="36"/>
        </w:rPr>
      </w:pPr>
    </w:p>
    <w:p w:rsidR="00FD3418" w:rsidRDefault="00FD3418" w:rsidP="00A2289F">
      <w:pPr>
        <w:spacing w:line="360" w:lineRule="auto"/>
        <w:jc w:val="both"/>
        <w:rPr>
          <w:rFonts w:ascii="Times New Roman" w:hAnsi="Times New Roman" w:cs="Times New Roman"/>
          <w:b/>
          <w:color w:val="000000" w:themeColor="text1"/>
          <w:sz w:val="36"/>
          <w:szCs w:val="36"/>
        </w:rPr>
      </w:pPr>
    </w:p>
    <w:p w:rsidR="00FD3418" w:rsidRDefault="00FD3418" w:rsidP="00A2289F">
      <w:pPr>
        <w:spacing w:line="360" w:lineRule="auto"/>
        <w:jc w:val="both"/>
        <w:rPr>
          <w:rFonts w:ascii="Times New Roman" w:hAnsi="Times New Roman" w:cs="Times New Roman"/>
          <w:b/>
          <w:color w:val="000000" w:themeColor="text1"/>
          <w:sz w:val="36"/>
          <w:szCs w:val="36"/>
        </w:rPr>
      </w:pPr>
    </w:p>
    <w:p w:rsidR="004A1AAC" w:rsidRDefault="004A1AAC" w:rsidP="00A2289F">
      <w:pPr>
        <w:spacing w:line="360" w:lineRule="auto"/>
        <w:jc w:val="both"/>
        <w:rPr>
          <w:rFonts w:ascii="Times New Roman" w:hAnsi="Times New Roman" w:cs="Times New Roman"/>
          <w:b/>
          <w:color w:val="000000" w:themeColor="text1"/>
          <w:sz w:val="36"/>
          <w:szCs w:val="36"/>
        </w:rPr>
      </w:pPr>
    </w:p>
    <w:p w:rsidR="00BD5EF2" w:rsidRPr="00751DAD" w:rsidRDefault="00BD5EF2" w:rsidP="00A2289F">
      <w:pPr>
        <w:spacing w:line="360" w:lineRule="auto"/>
        <w:jc w:val="center"/>
        <w:rPr>
          <w:rFonts w:ascii="Times New Roman" w:hAnsi="Times New Roman" w:cs="Times New Roman"/>
          <w:b/>
          <w:color w:val="000000" w:themeColor="text1"/>
          <w:sz w:val="28"/>
          <w:szCs w:val="28"/>
          <w:lang w:val="ro-RO"/>
        </w:rPr>
      </w:pPr>
      <w:r w:rsidRPr="00BD5EF2">
        <w:rPr>
          <w:rFonts w:ascii="Times New Roman" w:hAnsi="Times New Roman" w:cs="Times New Roman"/>
          <w:b/>
          <w:color w:val="000000" w:themeColor="text1"/>
          <w:sz w:val="36"/>
          <w:szCs w:val="36"/>
        </w:rPr>
        <w:lastRenderedPageBreak/>
        <w:t>Evaluarea   - diagnoz</w:t>
      </w:r>
      <w:r w:rsidRPr="00BD5EF2">
        <w:rPr>
          <w:rFonts w:ascii="Times New Roman" w:hAnsi="Times New Roman" w:cs="Times New Roman"/>
          <w:b/>
          <w:color w:val="000000" w:themeColor="text1"/>
          <w:sz w:val="36"/>
          <w:szCs w:val="36"/>
          <w:lang w:val="ro-RO"/>
        </w:rPr>
        <w:t>ă națională privind grupul țintă</w:t>
      </w:r>
    </w:p>
    <w:p w:rsidR="00BD5EF2" w:rsidRPr="00751DAD" w:rsidRDefault="00BD5EF2" w:rsidP="00A2289F">
      <w:pPr>
        <w:spacing w:line="360" w:lineRule="auto"/>
        <w:ind w:firstLine="720"/>
        <w:jc w:val="both"/>
        <w:rPr>
          <w:rFonts w:ascii="Times New Roman" w:hAnsi="Times New Roman" w:cs="Times New Roman"/>
          <w:sz w:val="28"/>
          <w:szCs w:val="28"/>
        </w:rPr>
      </w:pPr>
    </w:p>
    <w:p w:rsidR="00BD5EF2" w:rsidRDefault="00BD5EF2" w:rsidP="00A2289F">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A fost evaluat stadiul actual al respectării prevederilor minimale privin</w:t>
      </w:r>
      <w:r w:rsidR="004A1AAC">
        <w:rPr>
          <w:rFonts w:ascii="Times New Roman" w:hAnsi="Times New Roman" w:cs="Times New Roman"/>
          <w:sz w:val="24"/>
          <w:szCs w:val="24"/>
        </w:rPr>
        <w:t>d</w:t>
      </w:r>
      <w:r>
        <w:rPr>
          <w:rFonts w:ascii="Times New Roman" w:hAnsi="Times New Roman" w:cs="Times New Roman"/>
          <w:sz w:val="24"/>
          <w:szCs w:val="24"/>
        </w:rPr>
        <w:t xml:space="preserve"> afișarea din oficiu a informațiilor de interes public pe paginile de internet ale instituțiilor publice vizate </w:t>
      </w:r>
      <w:r w:rsidR="004A1AAC">
        <w:rPr>
          <w:rFonts w:ascii="Times New Roman" w:hAnsi="Times New Roman" w:cs="Times New Roman"/>
          <w:sz w:val="24"/>
          <w:szCs w:val="24"/>
        </w:rPr>
        <w:t>ș</w:t>
      </w:r>
      <w:r>
        <w:rPr>
          <w:rFonts w:ascii="Times New Roman" w:hAnsi="Times New Roman" w:cs="Times New Roman"/>
          <w:sz w:val="24"/>
          <w:szCs w:val="24"/>
        </w:rPr>
        <w:t>i stadiul actual al practicilor de lucru în aplicarea legii nr 52/2003</w:t>
      </w:r>
      <w:r w:rsidR="00506406">
        <w:rPr>
          <w:rFonts w:ascii="Times New Roman" w:hAnsi="Times New Roman" w:cs="Times New Roman"/>
          <w:sz w:val="24"/>
          <w:szCs w:val="24"/>
        </w:rPr>
        <w:t xml:space="preserve"> </w:t>
      </w:r>
      <w:r>
        <w:rPr>
          <w:rFonts w:ascii="Times New Roman" w:hAnsi="Times New Roman" w:cs="Times New Roman"/>
          <w:sz w:val="24"/>
          <w:szCs w:val="24"/>
        </w:rPr>
        <w:t>pr</w:t>
      </w:r>
      <w:r w:rsidR="00506406">
        <w:rPr>
          <w:rFonts w:ascii="Times New Roman" w:hAnsi="Times New Roman" w:cs="Times New Roman"/>
          <w:sz w:val="24"/>
          <w:szCs w:val="24"/>
        </w:rPr>
        <w:t>ivind transparența decizională.</w:t>
      </w:r>
      <w:r>
        <w:rPr>
          <w:rFonts w:ascii="Times New Roman" w:hAnsi="Times New Roman" w:cs="Times New Roman"/>
          <w:sz w:val="24"/>
          <w:szCs w:val="24"/>
        </w:rPr>
        <w:t xml:space="preserve"> </w:t>
      </w:r>
    </w:p>
    <w:p w:rsidR="001326AD" w:rsidRDefault="00506406" w:rsidP="00A2289F">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Evaluarea</w:t>
      </w:r>
      <w:r w:rsidR="000C2F49">
        <w:rPr>
          <w:rFonts w:ascii="Times New Roman" w:hAnsi="Times New Roman" w:cs="Times New Roman"/>
          <w:sz w:val="24"/>
          <w:szCs w:val="24"/>
        </w:rPr>
        <w:t xml:space="preserve"> a</w:t>
      </w:r>
      <w:r w:rsidR="00BD5EF2" w:rsidRPr="00BD5EF2">
        <w:rPr>
          <w:rFonts w:ascii="Times New Roman" w:hAnsi="Times New Roman" w:cs="Times New Roman"/>
          <w:sz w:val="24"/>
          <w:szCs w:val="24"/>
        </w:rPr>
        <w:t xml:space="preserve"> fost aplicat</w:t>
      </w:r>
      <w:r>
        <w:rPr>
          <w:rFonts w:ascii="Times New Roman" w:hAnsi="Times New Roman" w:cs="Times New Roman"/>
          <w:sz w:val="24"/>
          <w:szCs w:val="24"/>
        </w:rPr>
        <w:t>ă</w:t>
      </w:r>
      <w:r w:rsidR="00BD5EF2" w:rsidRPr="00BD5EF2">
        <w:rPr>
          <w:rFonts w:ascii="Times New Roman" w:hAnsi="Times New Roman" w:cs="Times New Roman"/>
          <w:sz w:val="24"/>
          <w:szCs w:val="24"/>
        </w:rPr>
        <w:t xml:space="preserve"> unui număr de </w:t>
      </w:r>
      <w:r>
        <w:rPr>
          <w:rFonts w:ascii="Times New Roman" w:hAnsi="Times New Roman" w:cs="Times New Roman"/>
          <w:sz w:val="24"/>
          <w:szCs w:val="24"/>
        </w:rPr>
        <w:t>211</w:t>
      </w:r>
      <w:r w:rsidR="00BD5EF2" w:rsidRPr="00BD5EF2">
        <w:rPr>
          <w:rFonts w:ascii="Times New Roman" w:hAnsi="Times New Roman" w:cs="Times New Roman"/>
          <w:sz w:val="24"/>
          <w:szCs w:val="24"/>
        </w:rPr>
        <w:t xml:space="preserve"> de </w:t>
      </w:r>
      <w:r>
        <w:rPr>
          <w:rFonts w:ascii="Times New Roman" w:hAnsi="Times New Roman" w:cs="Times New Roman"/>
          <w:sz w:val="24"/>
          <w:szCs w:val="24"/>
        </w:rPr>
        <w:t>instituții</w:t>
      </w:r>
      <w:r w:rsidR="00BD5EF2" w:rsidRPr="00BD5EF2">
        <w:rPr>
          <w:rFonts w:ascii="Times New Roman" w:hAnsi="Times New Roman" w:cs="Times New Roman"/>
          <w:sz w:val="24"/>
          <w:szCs w:val="24"/>
        </w:rPr>
        <w:t xml:space="preserve">, </w:t>
      </w:r>
      <w:r>
        <w:rPr>
          <w:rFonts w:ascii="Times New Roman" w:hAnsi="Times New Roman" w:cs="Times New Roman"/>
          <w:sz w:val="24"/>
          <w:szCs w:val="24"/>
        </w:rPr>
        <w:t>42</w:t>
      </w:r>
      <w:r w:rsidR="00BD5EF2" w:rsidRPr="00BD5EF2">
        <w:rPr>
          <w:rFonts w:ascii="Times New Roman" w:hAnsi="Times New Roman" w:cs="Times New Roman"/>
          <w:sz w:val="24"/>
          <w:szCs w:val="24"/>
        </w:rPr>
        <w:t xml:space="preserve"> </w:t>
      </w:r>
      <w:r>
        <w:rPr>
          <w:rFonts w:ascii="Times New Roman" w:hAnsi="Times New Roman" w:cs="Times New Roman"/>
          <w:sz w:val="24"/>
          <w:szCs w:val="24"/>
        </w:rPr>
        <w:t>instituții ale prefectului, 42 consilii județene, 94 primării de municipiu, 6 primării de</w:t>
      </w:r>
      <w:r w:rsidR="000C2F49">
        <w:rPr>
          <w:rFonts w:ascii="Times New Roman" w:hAnsi="Times New Roman" w:cs="Times New Roman"/>
          <w:sz w:val="24"/>
          <w:szCs w:val="24"/>
        </w:rPr>
        <w:t xml:space="preserve"> sector ale municipiului Bucureș</w:t>
      </w:r>
      <w:r>
        <w:rPr>
          <w:rFonts w:ascii="Times New Roman" w:hAnsi="Times New Roman" w:cs="Times New Roman"/>
          <w:sz w:val="24"/>
          <w:szCs w:val="24"/>
        </w:rPr>
        <w:t xml:space="preserve">ti </w:t>
      </w:r>
      <w:r w:rsidR="000C2F49">
        <w:rPr>
          <w:rFonts w:ascii="Times New Roman" w:hAnsi="Times New Roman" w:cs="Times New Roman"/>
          <w:sz w:val="24"/>
          <w:szCs w:val="24"/>
        </w:rPr>
        <w:t>ș</w:t>
      </w:r>
      <w:r>
        <w:rPr>
          <w:rFonts w:ascii="Times New Roman" w:hAnsi="Times New Roman" w:cs="Times New Roman"/>
          <w:sz w:val="24"/>
          <w:szCs w:val="24"/>
        </w:rPr>
        <w:t>i 27 de ministere</w:t>
      </w:r>
      <w:r w:rsidR="00BD5EF2" w:rsidRPr="00BD5EF2">
        <w:rPr>
          <w:rFonts w:ascii="Times New Roman" w:hAnsi="Times New Roman" w:cs="Times New Roman"/>
          <w:sz w:val="24"/>
          <w:szCs w:val="24"/>
        </w:rPr>
        <w:t>.</w:t>
      </w:r>
    </w:p>
    <w:p w:rsidR="002C7C11" w:rsidRDefault="002C7C11" w:rsidP="00A2289F">
      <w:pPr>
        <w:spacing w:line="360" w:lineRule="auto"/>
        <w:ind w:firstLine="720"/>
        <w:jc w:val="both"/>
        <w:rPr>
          <w:rFonts w:ascii="Times New Roman" w:hAnsi="Times New Roman" w:cs="Times New Roman"/>
          <w:sz w:val="24"/>
          <w:szCs w:val="24"/>
        </w:rPr>
      </w:pPr>
      <w:r w:rsidRPr="002C7C11">
        <w:rPr>
          <w:rFonts w:ascii="Times New Roman" w:hAnsi="Times New Roman" w:cs="Times New Roman"/>
          <w:sz w:val="24"/>
          <w:szCs w:val="24"/>
        </w:rPr>
        <w:t xml:space="preserve">Prin raportare la perioada anterioară, raportul </w:t>
      </w:r>
      <w:r>
        <w:rPr>
          <w:rFonts w:ascii="Times New Roman" w:hAnsi="Times New Roman" w:cs="Times New Roman"/>
          <w:sz w:val="24"/>
          <w:szCs w:val="24"/>
        </w:rPr>
        <w:t>de monitorizare pentru anul 201</w:t>
      </w:r>
      <w:r w:rsidR="00A41391">
        <w:rPr>
          <w:rFonts w:ascii="Times New Roman" w:hAnsi="Times New Roman" w:cs="Times New Roman"/>
          <w:sz w:val="24"/>
          <w:szCs w:val="24"/>
        </w:rPr>
        <w:t>7</w:t>
      </w:r>
      <w:r w:rsidRPr="002C7C11">
        <w:rPr>
          <w:rFonts w:ascii="Times New Roman" w:hAnsi="Times New Roman" w:cs="Times New Roman"/>
          <w:sz w:val="24"/>
          <w:szCs w:val="24"/>
        </w:rPr>
        <w:t xml:space="preserve"> confirmă evoluţia pozitivă înregistrată de instituţiile şi autorităţile publice în efortul de aplicare a prevederi</w:t>
      </w:r>
      <w:r>
        <w:rPr>
          <w:rFonts w:ascii="Times New Roman" w:hAnsi="Times New Roman" w:cs="Times New Roman"/>
          <w:sz w:val="24"/>
          <w:szCs w:val="24"/>
        </w:rPr>
        <w:t>lor legilor 544/2001 şi 52/2003</w:t>
      </w:r>
      <w:r w:rsidR="00A2289F">
        <w:rPr>
          <w:rFonts w:ascii="Times New Roman" w:hAnsi="Times New Roman" w:cs="Times New Roman"/>
          <w:sz w:val="24"/>
          <w:szCs w:val="24"/>
        </w:rPr>
        <w:t>, precum și a Memorandumului ”Creșterea transparenței și standardizarea informațiilor de interes public”</w:t>
      </w:r>
      <w:r>
        <w:rPr>
          <w:rFonts w:ascii="Times New Roman" w:hAnsi="Times New Roman" w:cs="Times New Roman"/>
          <w:sz w:val="24"/>
          <w:szCs w:val="24"/>
        </w:rPr>
        <w:t>:</w:t>
      </w:r>
    </w:p>
    <w:p w:rsidR="002C7C11" w:rsidRDefault="002C7C11" w:rsidP="00A2289F">
      <w:pPr>
        <w:spacing w:line="360" w:lineRule="auto"/>
        <w:ind w:firstLine="720"/>
        <w:jc w:val="both"/>
        <w:rPr>
          <w:rFonts w:ascii="Times New Roman" w:hAnsi="Times New Roman" w:cs="Times New Roman"/>
          <w:sz w:val="24"/>
          <w:szCs w:val="24"/>
        </w:rPr>
      </w:pPr>
      <w:r w:rsidRPr="002C7C11">
        <w:rPr>
          <w:rFonts w:ascii="Times New Roman" w:hAnsi="Times New Roman" w:cs="Times New Roman"/>
          <w:sz w:val="24"/>
          <w:szCs w:val="24"/>
        </w:rPr>
        <w:t xml:space="preserve"> - paginile de web ale ministerelor şi autorităţilor publice de nivel judeţean şi orăşenesc sunt din ce în ce mai complete, în conformitate cu cerinţele de transparenţă ale legilor 544/2001 şi 52/2003; </w:t>
      </w:r>
    </w:p>
    <w:p w:rsidR="007421A4" w:rsidRDefault="002C7C11" w:rsidP="00A2289F">
      <w:pPr>
        <w:spacing w:line="360" w:lineRule="auto"/>
        <w:ind w:firstLine="720"/>
        <w:jc w:val="both"/>
        <w:rPr>
          <w:rFonts w:ascii="Times New Roman" w:hAnsi="Times New Roman" w:cs="Times New Roman"/>
          <w:sz w:val="24"/>
          <w:szCs w:val="24"/>
        </w:rPr>
      </w:pPr>
      <w:r w:rsidRPr="002C7C11">
        <w:rPr>
          <w:rFonts w:ascii="Times New Roman" w:hAnsi="Times New Roman" w:cs="Times New Roman"/>
          <w:sz w:val="24"/>
          <w:szCs w:val="24"/>
        </w:rPr>
        <w:t xml:space="preserve">- administraţia publică centrală şi de nivel judeţean utilizează regulat propriile pagini de web pentru anunţarea proiectelor de acte normative, potrivit legii 52/2003; autorităţile locale, în schimb, utilizează cu predilecţie afişarea la sediul instituţiei. </w:t>
      </w:r>
    </w:p>
    <w:p w:rsidR="00FF225D" w:rsidRDefault="00C45CEA" w:rsidP="00A2289F">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Se poate spune că anul 2017</w:t>
      </w:r>
      <w:r w:rsidR="00FC7396" w:rsidRPr="00FC7396">
        <w:rPr>
          <w:rFonts w:ascii="Times New Roman" w:hAnsi="Times New Roman" w:cs="Times New Roman"/>
          <w:sz w:val="24"/>
          <w:szCs w:val="24"/>
        </w:rPr>
        <w:t xml:space="preserve"> a marcat,</w:t>
      </w:r>
      <w:r w:rsidR="00A2289F">
        <w:rPr>
          <w:rFonts w:ascii="Times New Roman" w:hAnsi="Times New Roman" w:cs="Times New Roman"/>
          <w:sz w:val="24"/>
          <w:szCs w:val="24"/>
        </w:rPr>
        <w:t xml:space="preserve"> comparativ cu anul</w:t>
      </w:r>
      <w:r>
        <w:rPr>
          <w:rFonts w:ascii="Times New Roman" w:hAnsi="Times New Roman" w:cs="Times New Roman"/>
          <w:sz w:val="24"/>
          <w:szCs w:val="24"/>
        </w:rPr>
        <w:t xml:space="preserve"> 2016</w:t>
      </w:r>
      <w:r w:rsidR="00FC7396" w:rsidRPr="00FC7396">
        <w:rPr>
          <w:rFonts w:ascii="Times New Roman" w:hAnsi="Times New Roman" w:cs="Times New Roman"/>
          <w:sz w:val="24"/>
          <w:szCs w:val="24"/>
        </w:rPr>
        <w:t>, un progres accentuat faţă de relevarea informării din oficiu, în cazul legii 544/2001, şi pentru transparenţa proactivă, în cazul legii 52/2003. La nivelul administraţiei publice a fost acumulată, în tot acest răstimp, suficientă experienţă pentru ca, în continuare, criteriile calitative să primeze în implementarea acestor legi importante pentru funcţionarea democraţiei în România.</w:t>
      </w:r>
    </w:p>
    <w:p w:rsidR="00305FB1" w:rsidRDefault="00305FB1" w:rsidP="00A2289F">
      <w:pP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lastRenderedPageBreak/>
        <w:t xml:space="preserve">La o simplă lectură a legislaţiei privind liberul acces la informaţiile de interes public şi a celei privind transparenţa decizională, se observă că pilonul central al sistemului autoritate publică locală – comunitate este </w:t>
      </w:r>
      <w:r w:rsidRPr="00A2289F">
        <w:rPr>
          <w:rFonts w:ascii="Times New Roman" w:hAnsi="Times New Roman" w:cs="Times New Roman"/>
          <w:b/>
          <w:sz w:val="24"/>
          <w:szCs w:val="24"/>
        </w:rPr>
        <w:t>cetăţeanul</w:t>
      </w:r>
      <w:r w:rsidRPr="00305FB1">
        <w:rPr>
          <w:rFonts w:ascii="Times New Roman" w:hAnsi="Times New Roman" w:cs="Times New Roman"/>
          <w:sz w:val="24"/>
          <w:szCs w:val="24"/>
        </w:rPr>
        <w:t xml:space="preserve">. </w:t>
      </w:r>
    </w:p>
    <w:p w:rsidR="00305FB1" w:rsidRDefault="00305FB1" w:rsidP="00A2289F">
      <w:pP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t xml:space="preserve">Participarea cetăţenească şi transparenţa decizională sunt interconectate în avantajul ambelor “tabere”. Autoritatea publică îşi legitimează astfel activitatea, deciziile şi acţiunile, iar cetăţenii contribuie la cimentarea comunităţii </w:t>
      </w:r>
      <w:r w:rsidR="00A2289F">
        <w:rPr>
          <w:rFonts w:ascii="Times New Roman" w:hAnsi="Times New Roman" w:cs="Times New Roman"/>
          <w:sz w:val="24"/>
          <w:szCs w:val="24"/>
        </w:rPr>
        <w:t>prin intermediul feed</w:t>
      </w:r>
      <w:r w:rsidRPr="00305FB1">
        <w:rPr>
          <w:rFonts w:ascii="Times New Roman" w:hAnsi="Times New Roman" w:cs="Times New Roman"/>
          <w:sz w:val="24"/>
          <w:szCs w:val="24"/>
        </w:rPr>
        <w:t>back-ului şi al recomandărilor furnizate autorităţilor. Dacă ar fi să privim sistemul relaţional existent, în prezent, între administraţia publică locală (APL) şi comunitate, prin prisma a doi indicatori - norme şi execuţie – nu cetăţeanul este cel căruia îi revine rolul de executant. Rolul său este de a comunica opiniile şi dorinţele sale autorităţilor, nu doar din patru în patru ani, ci permanent, prin participare sa activă la procesul de luare a deciziilor de interes public.</w:t>
      </w:r>
    </w:p>
    <w:p w:rsidR="006D0AFF" w:rsidRDefault="006D0AFF" w:rsidP="00A2289F">
      <w:pPr>
        <w:spacing w:line="360" w:lineRule="auto"/>
        <w:ind w:firstLine="720"/>
        <w:jc w:val="both"/>
        <w:rPr>
          <w:rFonts w:ascii="Times New Roman" w:hAnsi="Times New Roman" w:cs="Times New Roman"/>
          <w:sz w:val="24"/>
          <w:szCs w:val="24"/>
        </w:rPr>
      </w:pPr>
      <w:r w:rsidRPr="006D0AFF">
        <w:rPr>
          <w:rFonts w:ascii="Times New Roman" w:hAnsi="Times New Roman" w:cs="Times New Roman"/>
          <w:sz w:val="24"/>
          <w:szCs w:val="24"/>
        </w:rPr>
        <w:t xml:space="preserve">Scopul raportului este de a atrage atenţia factorilor decidenţi din </w:t>
      </w:r>
      <w:r>
        <w:rPr>
          <w:rFonts w:ascii="Times New Roman" w:hAnsi="Times New Roman" w:cs="Times New Roman"/>
          <w:sz w:val="24"/>
          <w:szCs w:val="24"/>
        </w:rPr>
        <w:t>grupul țintă</w:t>
      </w:r>
      <w:r w:rsidRPr="006D0AFF">
        <w:rPr>
          <w:rFonts w:ascii="Times New Roman" w:hAnsi="Times New Roman" w:cs="Times New Roman"/>
          <w:sz w:val="24"/>
          <w:szCs w:val="24"/>
        </w:rPr>
        <w:t xml:space="preserve"> asupra necesităţii şi utilităţii implementării Legii 52/2003 privind transparenţa decizională în administraţia publică, implicit prin prisma adaptării practicilor din instituţiile publice româneşti la cele existente în statele membre ale Uniunii Europene. </w:t>
      </w:r>
    </w:p>
    <w:p w:rsidR="00A2289F" w:rsidRDefault="00A2289F" w:rsidP="00A2289F">
      <w:pPr>
        <w:spacing w:line="360" w:lineRule="auto"/>
        <w:ind w:firstLine="720"/>
        <w:jc w:val="both"/>
        <w:rPr>
          <w:rFonts w:ascii="Times New Roman" w:hAnsi="Times New Roman" w:cs="Times New Roman"/>
          <w:b/>
          <w:sz w:val="28"/>
          <w:szCs w:val="28"/>
        </w:rPr>
      </w:pPr>
    </w:p>
    <w:p w:rsidR="00C4623E" w:rsidRDefault="00C4623E" w:rsidP="00A2289F">
      <w:pPr>
        <w:spacing w:line="360" w:lineRule="auto"/>
        <w:ind w:firstLine="720"/>
        <w:jc w:val="both"/>
        <w:rPr>
          <w:rFonts w:ascii="Times New Roman" w:hAnsi="Times New Roman" w:cs="Times New Roman"/>
          <w:b/>
          <w:sz w:val="28"/>
          <w:szCs w:val="28"/>
        </w:rPr>
      </w:pPr>
    </w:p>
    <w:p w:rsidR="00C4623E" w:rsidRDefault="00C4623E" w:rsidP="00A2289F">
      <w:pPr>
        <w:spacing w:line="360" w:lineRule="auto"/>
        <w:ind w:firstLine="720"/>
        <w:jc w:val="both"/>
        <w:rPr>
          <w:rFonts w:ascii="Times New Roman" w:hAnsi="Times New Roman" w:cs="Times New Roman"/>
          <w:b/>
          <w:sz w:val="28"/>
          <w:szCs w:val="28"/>
        </w:rPr>
      </w:pPr>
    </w:p>
    <w:p w:rsidR="00C4623E" w:rsidRDefault="00C4623E" w:rsidP="00A2289F">
      <w:pPr>
        <w:spacing w:line="360" w:lineRule="auto"/>
        <w:ind w:firstLine="720"/>
        <w:jc w:val="both"/>
        <w:rPr>
          <w:rFonts w:ascii="Times New Roman" w:hAnsi="Times New Roman" w:cs="Times New Roman"/>
          <w:b/>
          <w:sz w:val="28"/>
          <w:szCs w:val="28"/>
        </w:rPr>
      </w:pPr>
    </w:p>
    <w:p w:rsidR="00C4623E" w:rsidRDefault="00C4623E" w:rsidP="00A2289F">
      <w:pPr>
        <w:spacing w:line="360" w:lineRule="auto"/>
        <w:ind w:firstLine="720"/>
        <w:jc w:val="both"/>
        <w:rPr>
          <w:rFonts w:ascii="Times New Roman" w:hAnsi="Times New Roman" w:cs="Times New Roman"/>
          <w:b/>
          <w:sz w:val="28"/>
          <w:szCs w:val="28"/>
        </w:rPr>
      </w:pPr>
    </w:p>
    <w:p w:rsidR="00C4623E" w:rsidRDefault="00C4623E" w:rsidP="00A2289F">
      <w:pPr>
        <w:spacing w:line="360" w:lineRule="auto"/>
        <w:ind w:firstLine="720"/>
        <w:jc w:val="both"/>
        <w:rPr>
          <w:rFonts w:ascii="Times New Roman" w:hAnsi="Times New Roman" w:cs="Times New Roman"/>
          <w:b/>
          <w:sz w:val="28"/>
          <w:szCs w:val="28"/>
        </w:rPr>
      </w:pPr>
    </w:p>
    <w:p w:rsidR="00C4623E" w:rsidRDefault="00C4623E" w:rsidP="00A2289F">
      <w:pPr>
        <w:spacing w:line="360" w:lineRule="auto"/>
        <w:ind w:firstLine="720"/>
        <w:jc w:val="both"/>
        <w:rPr>
          <w:rFonts w:ascii="Times New Roman" w:hAnsi="Times New Roman" w:cs="Times New Roman"/>
          <w:b/>
          <w:sz w:val="28"/>
          <w:szCs w:val="28"/>
        </w:rPr>
      </w:pPr>
    </w:p>
    <w:p w:rsidR="00C4623E" w:rsidRDefault="00C4623E" w:rsidP="00A2289F">
      <w:pPr>
        <w:spacing w:line="360" w:lineRule="auto"/>
        <w:ind w:firstLine="720"/>
        <w:jc w:val="both"/>
        <w:rPr>
          <w:rFonts w:ascii="Times New Roman" w:hAnsi="Times New Roman" w:cs="Times New Roman"/>
          <w:b/>
          <w:sz w:val="28"/>
          <w:szCs w:val="28"/>
        </w:rPr>
      </w:pPr>
    </w:p>
    <w:p w:rsidR="00721B6A" w:rsidRDefault="00305FB1" w:rsidP="00C4623E">
      <w:pPr>
        <w:spacing w:line="360" w:lineRule="auto"/>
        <w:ind w:firstLine="720"/>
        <w:jc w:val="center"/>
        <w:rPr>
          <w:rFonts w:ascii="Times New Roman" w:hAnsi="Times New Roman" w:cs="Times New Roman"/>
          <w:b/>
          <w:sz w:val="28"/>
          <w:szCs w:val="28"/>
        </w:rPr>
      </w:pPr>
      <w:r w:rsidRPr="00721B6A">
        <w:rPr>
          <w:rFonts w:ascii="Times New Roman" w:hAnsi="Times New Roman" w:cs="Times New Roman"/>
          <w:b/>
          <w:sz w:val="28"/>
          <w:szCs w:val="28"/>
        </w:rPr>
        <w:lastRenderedPageBreak/>
        <w:t>Cadrul legal din România - asigurarea transparenţei decizionale</w:t>
      </w:r>
    </w:p>
    <w:p w:rsidR="00073BDB" w:rsidRDefault="00073BDB" w:rsidP="00C4623E">
      <w:pPr>
        <w:spacing w:line="360" w:lineRule="auto"/>
        <w:ind w:firstLine="720"/>
        <w:jc w:val="center"/>
        <w:rPr>
          <w:rFonts w:ascii="Times New Roman" w:hAnsi="Times New Roman" w:cs="Times New Roman"/>
          <w:sz w:val="24"/>
          <w:szCs w:val="24"/>
        </w:rPr>
      </w:pPr>
    </w:p>
    <w:p w:rsidR="00721B6A" w:rsidRDefault="00305FB1" w:rsidP="00A2289F">
      <w:pP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t xml:space="preserve">Cadrul legislativ existent - Legea 544/2001 privind liberul acces la informaţii de interes public şi Legea 52/2003 privind transparenţa decizională în administraţia publică - oferă cetăţenilor instrumentele de lucru şi indicii definitorii pentru analiza activităţii autorităţilor publice centrale şi locale. Vă prezentăm, în continuare, noţiunile de bază cu care vom opera pe tot cuprinsul acestui raport, aşa cum sunt ele definite de cele două acte normative menţionate mai sus. </w:t>
      </w:r>
    </w:p>
    <w:p w:rsidR="00721B6A" w:rsidRDefault="00305FB1" w:rsidP="00A2289F">
      <w:pPr>
        <w:pBdr>
          <w:top w:val="single" w:sz="4" w:space="1" w:color="auto"/>
          <w:left w:val="single" w:sz="4" w:space="4" w:color="auto"/>
          <w:bottom w:val="single" w:sz="4" w:space="1" w:color="auto"/>
          <w:right w:val="single" w:sz="4" w:space="4" w:color="auto"/>
        </w:pBd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t xml:space="preserve">Legea 544/2001 privind liberul acces la informaţii de interes public, Capitolul I Dispoziţii generale, Articolul 2 oferă următoarele definiţii: </w:t>
      </w:r>
    </w:p>
    <w:p w:rsidR="00721B6A" w:rsidRDefault="00305FB1" w:rsidP="00A2289F">
      <w:pPr>
        <w:spacing w:line="360" w:lineRule="auto"/>
        <w:ind w:firstLine="720"/>
        <w:jc w:val="both"/>
        <w:rPr>
          <w:rFonts w:ascii="Times New Roman" w:hAnsi="Times New Roman" w:cs="Times New Roman"/>
          <w:sz w:val="24"/>
          <w:szCs w:val="24"/>
        </w:rPr>
      </w:pPr>
      <w:r w:rsidRPr="00721B6A">
        <w:rPr>
          <w:rFonts w:ascii="Times New Roman" w:hAnsi="Times New Roman" w:cs="Times New Roman"/>
          <w:b/>
          <w:sz w:val="24"/>
          <w:szCs w:val="24"/>
        </w:rPr>
        <w:t>Autoritatea sau instituţia publică</w:t>
      </w:r>
      <w:r w:rsidRPr="00305FB1">
        <w:rPr>
          <w:rFonts w:ascii="Times New Roman" w:hAnsi="Times New Roman" w:cs="Times New Roman"/>
          <w:sz w:val="24"/>
          <w:szCs w:val="24"/>
        </w:rPr>
        <w:t xml:space="preserve"> - orice autoritate ori instituţie publică ce utilizează sau administrează resurse financiare publice, orice regie autonomă, companie naţională, precum şi orice societate comercială aflată sub autoritatea unei autorităţi publice centrale ori locale şi la care statul român sau, după caz, o unitate administrativ-teritorială este acţionar unic ori majoritar.</w:t>
      </w:r>
    </w:p>
    <w:p w:rsidR="00721B6A" w:rsidRDefault="00305FB1" w:rsidP="00A2289F">
      <w:pP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t xml:space="preserve"> </w:t>
      </w:r>
      <w:r w:rsidRPr="00721B6A">
        <w:rPr>
          <w:rFonts w:ascii="Times New Roman" w:hAnsi="Times New Roman" w:cs="Times New Roman"/>
          <w:b/>
          <w:sz w:val="24"/>
          <w:szCs w:val="24"/>
        </w:rPr>
        <w:t>Informaţie de interes public</w:t>
      </w:r>
      <w:r w:rsidRPr="00305FB1">
        <w:rPr>
          <w:rFonts w:ascii="Times New Roman" w:hAnsi="Times New Roman" w:cs="Times New Roman"/>
          <w:sz w:val="24"/>
          <w:szCs w:val="24"/>
        </w:rPr>
        <w:t xml:space="preserve"> - orice informaţie care priveşte activităţile sau rezultă din activităţile unei autorităţi publice sau instituţii publice, indiferent de suportul ori de forma sau de modul de exprimare a informaţiei.</w:t>
      </w:r>
    </w:p>
    <w:p w:rsidR="00721B6A" w:rsidRDefault="00305FB1" w:rsidP="00A2289F">
      <w:pP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t xml:space="preserve"> </w:t>
      </w:r>
      <w:r w:rsidRPr="00721B6A">
        <w:rPr>
          <w:rFonts w:ascii="Times New Roman" w:hAnsi="Times New Roman" w:cs="Times New Roman"/>
          <w:b/>
          <w:sz w:val="24"/>
          <w:szCs w:val="24"/>
        </w:rPr>
        <w:t>Informaţie cu privire la datele personale</w:t>
      </w:r>
      <w:r w:rsidRPr="00305FB1">
        <w:rPr>
          <w:rFonts w:ascii="Times New Roman" w:hAnsi="Times New Roman" w:cs="Times New Roman"/>
          <w:sz w:val="24"/>
          <w:szCs w:val="24"/>
        </w:rPr>
        <w:t xml:space="preserve"> - orice informaţie privind o persoană fizică identificată sau identificabilă. </w:t>
      </w:r>
    </w:p>
    <w:p w:rsidR="00721B6A" w:rsidRDefault="00305FB1" w:rsidP="00A2289F">
      <w:pPr>
        <w:pBdr>
          <w:top w:val="single" w:sz="4" w:space="1" w:color="auto"/>
          <w:left w:val="single" w:sz="4" w:space="4" w:color="auto"/>
          <w:bottom w:val="single" w:sz="4" w:space="1" w:color="auto"/>
          <w:right w:val="single" w:sz="4" w:space="4" w:color="auto"/>
        </w:pBd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t xml:space="preserve">Legea 52/2003 privind transparenţa decizională în administraţia publică, Capitolul I Dispoziţii generale, Articolul 3) şi Articolul 4) oferă următoarele definiţii: </w:t>
      </w:r>
    </w:p>
    <w:p w:rsidR="00721B6A" w:rsidRDefault="00305FB1" w:rsidP="00A2289F">
      <w:pPr>
        <w:spacing w:line="360" w:lineRule="auto"/>
        <w:ind w:firstLine="720"/>
        <w:jc w:val="both"/>
        <w:rPr>
          <w:rFonts w:ascii="Times New Roman" w:hAnsi="Times New Roman" w:cs="Times New Roman"/>
          <w:sz w:val="24"/>
          <w:szCs w:val="24"/>
        </w:rPr>
      </w:pPr>
      <w:r w:rsidRPr="00721B6A">
        <w:rPr>
          <w:rFonts w:ascii="Times New Roman" w:hAnsi="Times New Roman" w:cs="Times New Roman"/>
          <w:b/>
          <w:sz w:val="24"/>
          <w:szCs w:val="24"/>
        </w:rPr>
        <w:t>Act normativ</w:t>
      </w:r>
      <w:r w:rsidRPr="00305FB1">
        <w:rPr>
          <w:rFonts w:ascii="Times New Roman" w:hAnsi="Times New Roman" w:cs="Times New Roman"/>
          <w:sz w:val="24"/>
          <w:szCs w:val="24"/>
        </w:rPr>
        <w:t xml:space="preserve"> - actul emis sau adoptat de o autoritate publică, cu aplicabilitate generală.</w:t>
      </w:r>
    </w:p>
    <w:p w:rsidR="00721B6A" w:rsidRDefault="00305FB1" w:rsidP="00A2289F">
      <w:pPr>
        <w:spacing w:line="360" w:lineRule="auto"/>
        <w:ind w:firstLine="720"/>
        <w:jc w:val="both"/>
        <w:rPr>
          <w:rFonts w:ascii="Times New Roman" w:hAnsi="Times New Roman" w:cs="Times New Roman"/>
          <w:sz w:val="24"/>
          <w:szCs w:val="24"/>
        </w:rPr>
      </w:pPr>
      <w:r w:rsidRPr="00721B6A">
        <w:rPr>
          <w:rFonts w:ascii="Times New Roman" w:hAnsi="Times New Roman" w:cs="Times New Roman"/>
          <w:b/>
          <w:sz w:val="24"/>
          <w:szCs w:val="24"/>
        </w:rPr>
        <w:t>Luarea deciziei</w:t>
      </w:r>
      <w:r w:rsidRPr="00305FB1">
        <w:rPr>
          <w:rFonts w:ascii="Times New Roman" w:hAnsi="Times New Roman" w:cs="Times New Roman"/>
          <w:sz w:val="24"/>
          <w:szCs w:val="24"/>
        </w:rPr>
        <w:t xml:space="preserve"> - procesul deliberativ desfăşurat de autorităţile publice. </w:t>
      </w:r>
    </w:p>
    <w:p w:rsidR="00F54C6A" w:rsidRDefault="00305FB1" w:rsidP="00A2289F">
      <w:pPr>
        <w:spacing w:line="360" w:lineRule="auto"/>
        <w:ind w:firstLine="720"/>
        <w:jc w:val="both"/>
        <w:rPr>
          <w:rFonts w:ascii="Times New Roman" w:hAnsi="Times New Roman" w:cs="Times New Roman"/>
          <w:sz w:val="24"/>
          <w:szCs w:val="24"/>
        </w:rPr>
      </w:pPr>
      <w:r w:rsidRPr="00721B6A">
        <w:rPr>
          <w:rFonts w:ascii="Times New Roman" w:hAnsi="Times New Roman" w:cs="Times New Roman"/>
          <w:b/>
          <w:sz w:val="24"/>
          <w:szCs w:val="24"/>
        </w:rPr>
        <w:lastRenderedPageBreak/>
        <w:t>Elaborarea de acte normative</w:t>
      </w:r>
      <w:r w:rsidRPr="00305FB1">
        <w:rPr>
          <w:rFonts w:ascii="Times New Roman" w:hAnsi="Times New Roman" w:cs="Times New Roman"/>
          <w:sz w:val="24"/>
          <w:szCs w:val="24"/>
        </w:rPr>
        <w:t xml:space="preserve"> - procedura de redactare a unui proiect de act normativ anterior supunerii spre adoptare. </w:t>
      </w:r>
    </w:p>
    <w:p w:rsidR="00F54C6A" w:rsidRDefault="00305FB1" w:rsidP="00A2289F">
      <w:pPr>
        <w:spacing w:line="360" w:lineRule="auto"/>
        <w:ind w:firstLine="720"/>
        <w:jc w:val="both"/>
        <w:rPr>
          <w:rFonts w:ascii="Times New Roman" w:hAnsi="Times New Roman" w:cs="Times New Roman"/>
          <w:sz w:val="24"/>
          <w:szCs w:val="24"/>
        </w:rPr>
      </w:pPr>
      <w:r w:rsidRPr="00F54C6A">
        <w:rPr>
          <w:rFonts w:ascii="Times New Roman" w:hAnsi="Times New Roman" w:cs="Times New Roman"/>
          <w:b/>
          <w:sz w:val="24"/>
          <w:szCs w:val="24"/>
        </w:rPr>
        <w:t>Recomandare</w:t>
      </w:r>
      <w:r w:rsidRPr="00305FB1">
        <w:rPr>
          <w:rFonts w:ascii="Times New Roman" w:hAnsi="Times New Roman" w:cs="Times New Roman"/>
          <w:sz w:val="24"/>
          <w:szCs w:val="24"/>
        </w:rPr>
        <w:t xml:space="preserve"> - orice punct de vedere, sugestie, propunere sau opinie, exprimată verbal sau în scris, primită de către autorităţile publice de la orice persoană interesată în procesul de luare a deciziilor şi în procesul de elaborare a actelor normative. </w:t>
      </w:r>
    </w:p>
    <w:p w:rsidR="00F54C6A" w:rsidRDefault="00305FB1" w:rsidP="00A2289F">
      <w:pPr>
        <w:spacing w:line="360" w:lineRule="auto"/>
        <w:ind w:firstLine="720"/>
        <w:jc w:val="both"/>
        <w:rPr>
          <w:rFonts w:ascii="Times New Roman" w:hAnsi="Times New Roman" w:cs="Times New Roman"/>
          <w:sz w:val="24"/>
          <w:szCs w:val="24"/>
        </w:rPr>
      </w:pPr>
      <w:r w:rsidRPr="00F54C6A">
        <w:rPr>
          <w:rFonts w:ascii="Times New Roman" w:hAnsi="Times New Roman" w:cs="Times New Roman"/>
          <w:b/>
          <w:sz w:val="24"/>
          <w:szCs w:val="24"/>
        </w:rPr>
        <w:t>Obligaţia de transparenţă</w:t>
      </w:r>
      <w:r w:rsidRPr="00305FB1">
        <w:rPr>
          <w:rFonts w:ascii="Times New Roman" w:hAnsi="Times New Roman" w:cs="Times New Roman"/>
          <w:sz w:val="24"/>
          <w:szCs w:val="24"/>
        </w:rPr>
        <w:t xml:space="preserve"> - obligaţia autorităţilor administraţiei publice de a informa şi de a supune dezbaterii publice proiectele de acte normative, de a permite accesul la luarea deciziilor administrative şi la minutele şedinţelor publice. </w:t>
      </w:r>
    </w:p>
    <w:p w:rsidR="00F54C6A" w:rsidRDefault="00305FB1" w:rsidP="00A2289F">
      <w:pPr>
        <w:spacing w:line="360" w:lineRule="auto"/>
        <w:ind w:firstLine="720"/>
        <w:jc w:val="both"/>
        <w:rPr>
          <w:rFonts w:ascii="Times New Roman" w:hAnsi="Times New Roman" w:cs="Times New Roman"/>
          <w:sz w:val="24"/>
          <w:szCs w:val="24"/>
        </w:rPr>
      </w:pPr>
      <w:r w:rsidRPr="00F54C6A">
        <w:rPr>
          <w:rFonts w:ascii="Times New Roman" w:hAnsi="Times New Roman" w:cs="Times New Roman"/>
          <w:b/>
          <w:sz w:val="24"/>
          <w:szCs w:val="24"/>
        </w:rPr>
        <w:t>Asociaţie legal constituită</w:t>
      </w:r>
      <w:r w:rsidRPr="00305FB1">
        <w:rPr>
          <w:rFonts w:ascii="Times New Roman" w:hAnsi="Times New Roman" w:cs="Times New Roman"/>
          <w:sz w:val="24"/>
          <w:szCs w:val="24"/>
        </w:rPr>
        <w:t xml:space="preserve"> - orice organizaţie civică, sindicală, patronală sau orice alt grup asociativ de reprezentare civică. </w:t>
      </w:r>
    </w:p>
    <w:p w:rsidR="00F54C6A" w:rsidRDefault="00305FB1" w:rsidP="00A2289F">
      <w:pPr>
        <w:spacing w:line="360" w:lineRule="auto"/>
        <w:ind w:firstLine="720"/>
        <w:jc w:val="both"/>
        <w:rPr>
          <w:rFonts w:ascii="Times New Roman" w:hAnsi="Times New Roman" w:cs="Times New Roman"/>
          <w:sz w:val="24"/>
          <w:szCs w:val="24"/>
        </w:rPr>
      </w:pPr>
      <w:r w:rsidRPr="00F54C6A">
        <w:rPr>
          <w:rFonts w:ascii="Times New Roman" w:hAnsi="Times New Roman" w:cs="Times New Roman"/>
          <w:b/>
          <w:sz w:val="24"/>
          <w:szCs w:val="24"/>
        </w:rPr>
        <w:t>Minuta</w:t>
      </w:r>
      <w:r w:rsidRPr="00305FB1">
        <w:rPr>
          <w:rFonts w:ascii="Times New Roman" w:hAnsi="Times New Roman" w:cs="Times New Roman"/>
          <w:sz w:val="24"/>
          <w:szCs w:val="24"/>
        </w:rPr>
        <w:t xml:space="preserve"> - documentul scris în care se consemnează în rezumat punctele de vedere exprimate de participanţi la o şedinţă, prec</w:t>
      </w:r>
      <w:r w:rsidR="00F54C6A">
        <w:rPr>
          <w:rFonts w:ascii="Times New Roman" w:hAnsi="Times New Roman" w:cs="Times New Roman"/>
          <w:sz w:val="24"/>
          <w:szCs w:val="24"/>
        </w:rPr>
        <w:t xml:space="preserve">um şi rezultatul dezbaterilor. </w:t>
      </w:r>
    </w:p>
    <w:p w:rsidR="00F54C6A" w:rsidRDefault="00305FB1" w:rsidP="00A2289F">
      <w:pPr>
        <w:spacing w:line="360" w:lineRule="auto"/>
        <w:ind w:firstLine="720"/>
        <w:jc w:val="both"/>
        <w:rPr>
          <w:rFonts w:ascii="Times New Roman" w:hAnsi="Times New Roman" w:cs="Times New Roman"/>
          <w:sz w:val="24"/>
          <w:szCs w:val="24"/>
        </w:rPr>
      </w:pPr>
      <w:r w:rsidRPr="00305FB1">
        <w:rPr>
          <w:rFonts w:ascii="Times New Roman" w:hAnsi="Times New Roman" w:cs="Times New Roman"/>
          <w:sz w:val="24"/>
          <w:szCs w:val="24"/>
        </w:rPr>
        <w:t xml:space="preserve"> </w:t>
      </w:r>
      <w:r w:rsidRPr="00F54C6A">
        <w:rPr>
          <w:rFonts w:ascii="Times New Roman" w:hAnsi="Times New Roman" w:cs="Times New Roman"/>
          <w:b/>
          <w:sz w:val="24"/>
          <w:szCs w:val="24"/>
        </w:rPr>
        <w:t>Ordine de precădere</w:t>
      </w:r>
      <w:r w:rsidRPr="00305FB1">
        <w:rPr>
          <w:rFonts w:ascii="Times New Roman" w:hAnsi="Times New Roman" w:cs="Times New Roman"/>
          <w:sz w:val="24"/>
          <w:szCs w:val="24"/>
        </w:rPr>
        <w:t xml:space="preserve"> - ordinea care determină prioritatea participării la şedinţele publice, în raport cu interesul manifestat faţă de subiectul şedinţei. </w:t>
      </w:r>
    </w:p>
    <w:p w:rsidR="00F54C6A" w:rsidRDefault="00305FB1" w:rsidP="00A2289F">
      <w:pPr>
        <w:spacing w:line="360" w:lineRule="auto"/>
        <w:ind w:firstLine="720"/>
        <w:jc w:val="both"/>
        <w:rPr>
          <w:rFonts w:ascii="Times New Roman" w:hAnsi="Times New Roman" w:cs="Times New Roman"/>
          <w:sz w:val="24"/>
          <w:szCs w:val="24"/>
        </w:rPr>
      </w:pPr>
      <w:r w:rsidRPr="00F54C6A">
        <w:rPr>
          <w:rFonts w:ascii="Times New Roman" w:hAnsi="Times New Roman" w:cs="Times New Roman"/>
          <w:b/>
          <w:sz w:val="24"/>
          <w:szCs w:val="24"/>
        </w:rPr>
        <w:t>Şedinţă publică</w:t>
      </w:r>
      <w:r w:rsidRPr="00305FB1">
        <w:rPr>
          <w:rFonts w:ascii="Times New Roman" w:hAnsi="Times New Roman" w:cs="Times New Roman"/>
          <w:sz w:val="24"/>
          <w:szCs w:val="24"/>
        </w:rPr>
        <w:t xml:space="preserve"> - şedinţa desfăşurată în cadrul autorităţilor administraţiei publice şi la care are acces orice persoană interesată. </w:t>
      </w:r>
    </w:p>
    <w:p w:rsidR="00F54C6A" w:rsidRDefault="00305FB1" w:rsidP="00A2289F">
      <w:pPr>
        <w:spacing w:line="360" w:lineRule="auto"/>
        <w:ind w:firstLine="720"/>
        <w:jc w:val="both"/>
        <w:rPr>
          <w:rFonts w:ascii="Times New Roman" w:hAnsi="Times New Roman" w:cs="Times New Roman"/>
          <w:sz w:val="24"/>
          <w:szCs w:val="24"/>
        </w:rPr>
      </w:pPr>
      <w:r w:rsidRPr="00F54C6A">
        <w:rPr>
          <w:rFonts w:ascii="Times New Roman" w:hAnsi="Times New Roman" w:cs="Times New Roman"/>
          <w:b/>
          <w:sz w:val="24"/>
          <w:szCs w:val="24"/>
        </w:rPr>
        <w:t xml:space="preserve">Autorităţile administraţiei publice locale </w:t>
      </w:r>
      <w:r w:rsidRPr="00305FB1">
        <w:rPr>
          <w:rFonts w:ascii="Times New Roman" w:hAnsi="Times New Roman" w:cs="Times New Roman"/>
          <w:sz w:val="24"/>
          <w:szCs w:val="24"/>
        </w:rPr>
        <w:t xml:space="preserve">- consiliile judeţene, consiliile locale, primării, instituţiile şi serviciile publice de interes local sau judeţean. </w:t>
      </w:r>
    </w:p>
    <w:p w:rsidR="00305FB1" w:rsidRDefault="00305FB1" w:rsidP="00A2289F">
      <w:pPr>
        <w:spacing w:line="360" w:lineRule="auto"/>
        <w:ind w:firstLine="720"/>
        <w:jc w:val="both"/>
        <w:rPr>
          <w:rFonts w:ascii="Times New Roman" w:hAnsi="Times New Roman" w:cs="Times New Roman"/>
          <w:sz w:val="24"/>
          <w:szCs w:val="24"/>
        </w:rPr>
      </w:pPr>
      <w:r w:rsidRPr="00F54C6A">
        <w:rPr>
          <w:rFonts w:ascii="Times New Roman" w:hAnsi="Times New Roman" w:cs="Times New Roman"/>
          <w:b/>
          <w:sz w:val="24"/>
          <w:szCs w:val="24"/>
        </w:rPr>
        <w:t>Autorităţile administraţiei publice centrale</w:t>
      </w:r>
      <w:r w:rsidRPr="00305FB1">
        <w:rPr>
          <w:rFonts w:ascii="Times New Roman" w:hAnsi="Times New Roman" w:cs="Times New Roman"/>
          <w:sz w:val="24"/>
          <w:szCs w:val="24"/>
        </w:rPr>
        <w:t xml:space="preserve"> - ministerele, alte organe centrale ale administraţiei publice din subordinea Guvernului sau a ministerelor, serviciile publice descentralizate ale acestora, precum şi autorităţile administrative autonome.</w:t>
      </w:r>
    </w:p>
    <w:p w:rsidR="007213E8" w:rsidRDefault="007213E8" w:rsidP="00A2289F">
      <w:pPr>
        <w:spacing w:line="360" w:lineRule="auto"/>
        <w:ind w:firstLine="720"/>
        <w:jc w:val="both"/>
        <w:rPr>
          <w:rFonts w:ascii="Times New Roman" w:hAnsi="Times New Roman" w:cs="Times New Roman"/>
          <w:sz w:val="24"/>
          <w:szCs w:val="24"/>
        </w:rPr>
      </w:pPr>
    </w:p>
    <w:p w:rsidR="007213E8" w:rsidRDefault="007213E8" w:rsidP="00A2289F">
      <w:pPr>
        <w:spacing w:line="360" w:lineRule="auto"/>
        <w:ind w:firstLine="720"/>
        <w:jc w:val="both"/>
        <w:rPr>
          <w:rFonts w:ascii="Times New Roman" w:hAnsi="Times New Roman" w:cs="Times New Roman"/>
          <w:sz w:val="24"/>
          <w:szCs w:val="24"/>
        </w:rPr>
      </w:pPr>
    </w:p>
    <w:p w:rsidR="00B73AD5" w:rsidRDefault="00B73AD5" w:rsidP="00A2289F">
      <w:pPr>
        <w:spacing w:line="360" w:lineRule="auto"/>
        <w:ind w:firstLine="720"/>
        <w:jc w:val="both"/>
        <w:rPr>
          <w:rFonts w:ascii="Times New Roman" w:hAnsi="Times New Roman" w:cs="Times New Roman"/>
          <w:sz w:val="24"/>
          <w:szCs w:val="24"/>
        </w:rPr>
      </w:pPr>
    </w:p>
    <w:p w:rsidR="00357EF0" w:rsidRPr="00AE5359" w:rsidRDefault="00357EF0" w:rsidP="00574531">
      <w:pPr>
        <w:spacing w:line="360" w:lineRule="auto"/>
        <w:ind w:firstLine="720"/>
        <w:jc w:val="center"/>
        <w:rPr>
          <w:rFonts w:ascii="Times New Roman" w:hAnsi="Times New Roman" w:cs="Times New Roman"/>
          <w:b/>
          <w:sz w:val="28"/>
          <w:szCs w:val="28"/>
        </w:rPr>
      </w:pPr>
      <w:r w:rsidRPr="00AE5359">
        <w:rPr>
          <w:rFonts w:ascii="Times New Roman" w:hAnsi="Times New Roman" w:cs="Times New Roman"/>
          <w:b/>
          <w:sz w:val="28"/>
          <w:szCs w:val="28"/>
        </w:rPr>
        <w:lastRenderedPageBreak/>
        <w:t>Legea nr. 544/2001 privind liberul acces la informaţiile de interes public</w:t>
      </w:r>
    </w:p>
    <w:p w:rsidR="00357EF0" w:rsidRPr="00AE5359" w:rsidRDefault="00357EF0" w:rsidP="00A2289F">
      <w:pPr>
        <w:spacing w:line="360" w:lineRule="auto"/>
        <w:ind w:firstLine="720"/>
        <w:jc w:val="both"/>
        <w:rPr>
          <w:rFonts w:ascii="Times New Roman" w:hAnsi="Times New Roman" w:cs="Times New Roman"/>
          <w:b/>
          <w:sz w:val="24"/>
          <w:szCs w:val="24"/>
        </w:rPr>
      </w:pPr>
      <w:r w:rsidRPr="00AE5359">
        <w:rPr>
          <w:rFonts w:ascii="Times New Roman" w:hAnsi="Times New Roman" w:cs="Times New Roman"/>
          <w:b/>
          <w:sz w:val="24"/>
          <w:szCs w:val="24"/>
        </w:rPr>
        <w:t>Prezentare generală</w:t>
      </w:r>
    </w:p>
    <w:p w:rsidR="007D67F7" w:rsidRDefault="002C7C11" w:rsidP="00A2289F">
      <w:pPr>
        <w:spacing w:line="360" w:lineRule="auto"/>
        <w:ind w:firstLine="720"/>
        <w:jc w:val="both"/>
        <w:rPr>
          <w:rFonts w:ascii="Times New Roman" w:hAnsi="Times New Roman" w:cs="Times New Roman"/>
          <w:sz w:val="24"/>
          <w:szCs w:val="24"/>
        </w:rPr>
      </w:pPr>
      <w:r w:rsidRPr="002C7C11">
        <w:rPr>
          <w:rFonts w:ascii="Times New Roman" w:hAnsi="Times New Roman" w:cs="Times New Roman"/>
          <w:sz w:val="24"/>
          <w:szCs w:val="24"/>
        </w:rPr>
        <w:t xml:space="preserve">Legea nr. 544/2001 privind liberul acces la informaţiile de interes public a fost adoptată de Parlament în octombrie 2001, iar Normele metodologice de aplicare a legii, prin hotărâre de Guvern, în februarie 2002. Această reglementare survenea în contextul îndeplinirii de către România a criteriilor politice pentru admiterea în Uniunea Europeană. </w:t>
      </w:r>
    </w:p>
    <w:p w:rsidR="007D67F7" w:rsidRDefault="002C7C11" w:rsidP="00A2289F">
      <w:pPr>
        <w:spacing w:line="360" w:lineRule="auto"/>
        <w:ind w:firstLine="720"/>
        <w:jc w:val="both"/>
        <w:rPr>
          <w:rFonts w:ascii="Times New Roman" w:hAnsi="Times New Roman" w:cs="Times New Roman"/>
          <w:sz w:val="24"/>
          <w:szCs w:val="24"/>
        </w:rPr>
      </w:pPr>
      <w:r w:rsidRPr="002C7C11">
        <w:rPr>
          <w:rFonts w:ascii="Times New Roman" w:hAnsi="Times New Roman" w:cs="Times New Roman"/>
          <w:sz w:val="24"/>
          <w:szCs w:val="24"/>
        </w:rPr>
        <w:t xml:space="preserve">Liberul acces la informaţie era deja prevăzut în art. 31 din Constituţia României şi legea 544 întăreşte, practic, acest drept constituţional al cetăţeanului. Potrivit acestei legi, accesul liber şi neîngrădit la informaţiile de interes public este regula, iar limitarea accesului la informaţie - </w:t>
      </w:r>
      <w:r w:rsidRPr="00A21195">
        <w:rPr>
          <w:rFonts w:ascii="Times New Roman" w:hAnsi="Times New Roman" w:cs="Times New Roman"/>
          <w:b/>
          <w:sz w:val="24"/>
          <w:szCs w:val="24"/>
        </w:rPr>
        <w:t>excepţia.</w:t>
      </w:r>
      <w:r w:rsidRPr="002C7C11">
        <w:rPr>
          <w:rFonts w:ascii="Times New Roman" w:hAnsi="Times New Roman" w:cs="Times New Roman"/>
          <w:sz w:val="24"/>
          <w:szCs w:val="24"/>
        </w:rPr>
        <w:t xml:space="preserve"> Legea obligă autorităţile şi instituţiile publice să comunice din oficiu anumite categorii de informaţii de interes public, alte informaţii de interes public putând fi obţinute la cerere. De asemenea, ele sunt obligate să întocmească un raport anual privind aplicarea acestei legi. </w:t>
      </w:r>
    </w:p>
    <w:p w:rsidR="002C7C11" w:rsidRDefault="002C7C11" w:rsidP="00A2289F">
      <w:pPr>
        <w:spacing w:line="360" w:lineRule="auto"/>
        <w:ind w:firstLine="720"/>
        <w:jc w:val="both"/>
        <w:rPr>
          <w:rFonts w:ascii="Times New Roman" w:hAnsi="Times New Roman" w:cs="Times New Roman"/>
          <w:sz w:val="24"/>
          <w:szCs w:val="24"/>
        </w:rPr>
      </w:pPr>
      <w:r w:rsidRPr="002C7C11">
        <w:rPr>
          <w:rFonts w:ascii="Times New Roman" w:hAnsi="Times New Roman" w:cs="Times New Roman"/>
          <w:sz w:val="24"/>
          <w:szCs w:val="24"/>
        </w:rPr>
        <w:t>Liberul acces la informaţiile de interes public dobândea astfel, prin lege şi prin normele metodologice de aplicare, întregul cadru normativ necesar.</w:t>
      </w:r>
    </w:p>
    <w:p w:rsidR="000B55F9" w:rsidRPr="000B55F9" w:rsidRDefault="000B55F9" w:rsidP="00A2289F">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t xml:space="preserve">Modificarea, în 2016, a Normelor de aplicare a Legii nr. 544/2001 aduce multe clarificări domeniilor în care s-au manifestat disfuncționalități și răspunde semnalelor transmise de-a lungul anilor atât de autorități cât și de societatea civilă. </w:t>
      </w:r>
    </w:p>
    <w:p w:rsidR="000B55F9" w:rsidRPr="000B55F9" w:rsidRDefault="000B55F9" w:rsidP="00A2289F">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t xml:space="preserve">Legea nr. 544/2001 privind accesul la informațiile de interes public, cu modificările și completările ulterioare și Normele de aplicare aprobate prin H.G nr. 123/2002, reprezintă un cadru juridic fundamental în practicarea unei guvernări deschise sprijinind, în mod direct, transparența instituțională la toate nivelurile. Potrivit principiului transparenței precum și al principiului aplicării unitare, astfel cum acestea sunt definite de legiuitor, autoritățile publice au obligația să- și desfășoare activitatea într-o manieră deschisă față de public, în care accesul liber și neîngrădit la informațiile de interes să constituie regula iar limitarea accesului la astfel de informații să fie doar o excepție, asigurând totodată respectarea și aplicarea legii în mod unitar prin practicarea principiilor bunei guvernări. </w:t>
      </w:r>
    </w:p>
    <w:p w:rsidR="000B55F9" w:rsidRPr="000B55F9" w:rsidRDefault="00A21195" w:rsidP="00A2289F">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lastRenderedPageBreak/>
        <w:t xml:space="preserve">Ministerul </w:t>
      </w:r>
      <w:r w:rsidR="000B55F9" w:rsidRPr="000B55F9">
        <w:rPr>
          <w:rFonts w:ascii="Times New Roman" w:hAnsi="Times New Roman" w:cs="Times New Roman"/>
          <w:sz w:val="24"/>
          <w:szCs w:val="24"/>
        </w:rPr>
        <w:t xml:space="preserve">Consultării Publice și Dialogului Social a putut constata, din propriile activități de monitorizare, din observațiile practicienilor din sistem dar și din semnalele transmise de către organizațiile societății civile cu expertiză de monitorizare în materia transparenței instituțiilor, faptul că majoritatea disfuncționalităților țin de: </w:t>
      </w:r>
    </w:p>
    <w:p w:rsidR="000B55F9" w:rsidRPr="000B55F9" w:rsidRDefault="000B55F9" w:rsidP="000B55F9">
      <w:pPr>
        <w:pStyle w:val="ListParagraph"/>
        <w:numPr>
          <w:ilvl w:val="0"/>
          <w:numId w:val="1"/>
        </w:numPr>
        <w:spacing w:line="360" w:lineRule="auto"/>
        <w:jc w:val="both"/>
        <w:rPr>
          <w:rFonts w:ascii="Times New Roman" w:hAnsi="Times New Roman" w:cs="Times New Roman"/>
          <w:sz w:val="24"/>
          <w:szCs w:val="24"/>
        </w:rPr>
      </w:pPr>
      <w:r w:rsidRPr="000B55F9">
        <w:rPr>
          <w:rFonts w:ascii="Times New Roman" w:hAnsi="Times New Roman" w:cs="Times New Roman"/>
          <w:sz w:val="24"/>
          <w:szCs w:val="24"/>
        </w:rPr>
        <w:t xml:space="preserve">confuzia privind calculul termenelor de răspuns, neexistând o clarificare suficientă cu privire la natura termenelor (zile lucrătoare/zile calendaristice); </w:t>
      </w:r>
    </w:p>
    <w:p w:rsidR="00A21195" w:rsidRDefault="000B55F9" w:rsidP="000B55F9">
      <w:pPr>
        <w:pStyle w:val="ListParagraph"/>
        <w:numPr>
          <w:ilvl w:val="0"/>
          <w:numId w:val="1"/>
        </w:numPr>
        <w:spacing w:line="360" w:lineRule="auto"/>
        <w:jc w:val="both"/>
        <w:rPr>
          <w:rFonts w:ascii="Times New Roman" w:hAnsi="Times New Roman" w:cs="Times New Roman"/>
          <w:sz w:val="24"/>
          <w:szCs w:val="24"/>
        </w:rPr>
      </w:pPr>
      <w:r w:rsidRPr="000B55F9">
        <w:rPr>
          <w:rFonts w:ascii="Times New Roman" w:hAnsi="Times New Roman" w:cs="Times New Roman"/>
          <w:sz w:val="24"/>
          <w:szCs w:val="24"/>
        </w:rPr>
        <w:t xml:space="preserve"> utilizarea căilor de atac în cazul unui refuz sau unui răspuns depășind perioada legală de expediere răspuns; </w:t>
      </w:r>
    </w:p>
    <w:p w:rsidR="000B55F9" w:rsidRPr="000B55F9" w:rsidRDefault="000B55F9" w:rsidP="000B55F9">
      <w:pPr>
        <w:pStyle w:val="ListParagraph"/>
        <w:numPr>
          <w:ilvl w:val="0"/>
          <w:numId w:val="1"/>
        </w:numPr>
        <w:spacing w:line="360" w:lineRule="auto"/>
        <w:jc w:val="both"/>
        <w:rPr>
          <w:rFonts w:ascii="Times New Roman" w:hAnsi="Times New Roman" w:cs="Times New Roman"/>
          <w:sz w:val="24"/>
          <w:szCs w:val="24"/>
        </w:rPr>
      </w:pPr>
      <w:r w:rsidRPr="000B55F9">
        <w:rPr>
          <w:rFonts w:ascii="Times New Roman" w:hAnsi="Times New Roman" w:cs="Times New Roman"/>
          <w:sz w:val="24"/>
          <w:szCs w:val="24"/>
        </w:rPr>
        <w:t xml:space="preserve">calificarea informațiilor drept informații de interes public prin raportare la interpretarea excepțiilor prevăzute de lege; </w:t>
      </w:r>
    </w:p>
    <w:p w:rsidR="000B55F9" w:rsidRPr="000B55F9" w:rsidRDefault="000B55F9" w:rsidP="000B55F9">
      <w:pPr>
        <w:pStyle w:val="ListParagraph"/>
        <w:numPr>
          <w:ilvl w:val="0"/>
          <w:numId w:val="1"/>
        </w:numPr>
        <w:spacing w:line="360" w:lineRule="auto"/>
        <w:jc w:val="both"/>
        <w:rPr>
          <w:rFonts w:ascii="Times New Roman" w:hAnsi="Times New Roman" w:cs="Times New Roman"/>
          <w:sz w:val="24"/>
          <w:szCs w:val="24"/>
        </w:rPr>
      </w:pPr>
      <w:r w:rsidRPr="000B55F9">
        <w:rPr>
          <w:rFonts w:ascii="Times New Roman" w:hAnsi="Times New Roman" w:cs="Times New Roman"/>
          <w:sz w:val="24"/>
          <w:szCs w:val="24"/>
        </w:rPr>
        <w:t>regimul solicitărilor primite în format electronic;</w:t>
      </w:r>
    </w:p>
    <w:p w:rsidR="000B55F9" w:rsidRPr="000B55F9" w:rsidRDefault="000B55F9" w:rsidP="000B55F9">
      <w:pPr>
        <w:pStyle w:val="ListParagraph"/>
        <w:numPr>
          <w:ilvl w:val="0"/>
          <w:numId w:val="1"/>
        </w:numPr>
        <w:spacing w:line="360" w:lineRule="auto"/>
        <w:jc w:val="both"/>
        <w:rPr>
          <w:rFonts w:ascii="Times New Roman" w:hAnsi="Times New Roman" w:cs="Times New Roman"/>
          <w:sz w:val="24"/>
          <w:szCs w:val="24"/>
        </w:rPr>
      </w:pPr>
      <w:r w:rsidRPr="000B55F9">
        <w:rPr>
          <w:rFonts w:ascii="Times New Roman" w:hAnsi="Times New Roman" w:cs="Times New Roman"/>
          <w:sz w:val="24"/>
          <w:szCs w:val="24"/>
        </w:rPr>
        <w:t xml:space="preserve">accesibilitatea scăzută a informațiilor de interes public în condițiile inexistenței unui model standardizat de afișare a acestora; </w:t>
      </w:r>
    </w:p>
    <w:p w:rsidR="00C0409E" w:rsidRDefault="000B55F9" w:rsidP="000B55F9">
      <w:pPr>
        <w:pStyle w:val="ListParagraph"/>
        <w:numPr>
          <w:ilvl w:val="0"/>
          <w:numId w:val="1"/>
        </w:numPr>
        <w:spacing w:line="360" w:lineRule="auto"/>
        <w:jc w:val="both"/>
        <w:rPr>
          <w:rFonts w:ascii="Times New Roman" w:hAnsi="Times New Roman" w:cs="Times New Roman"/>
          <w:sz w:val="24"/>
          <w:szCs w:val="24"/>
        </w:rPr>
      </w:pPr>
      <w:r w:rsidRPr="000B55F9">
        <w:rPr>
          <w:rFonts w:ascii="Times New Roman" w:hAnsi="Times New Roman" w:cs="Times New Roman"/>
          <w:sz w:val="24"/>
          <w:szCs w:val="24"/>
        </w:rPr>
        <w:t>organizarea unui termen de publicare a rapoartelor anuale privind aplicarea legislației.</w:t>
      </w:r>
    </w:p>
    <w:p w:rsidR="000B55F9" w:rsidRDefault="000B55F9" w:rsidP="00A21195">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t>Deschiderea reală a guvernării către cetățeni începe prin dezvoltarea la nivelul administrației publice centrale și locale a unei atitudini proactive în ceea ce privește furnizarea de informații de interes public cetățenilor și organizarea unui proces de consultare eficient.</w:t>
      </w:r>
    </w:p>
    <w:p w:rsidR="000B55F9" w:rsidRDefault="000B55F9" w:rsidP="00770AEA">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t xml:space="preserve">Luând în considerare semnalele repetate din partea societății civile cu privire la încadrarea în mod repetat a informațiilor care privesc activitatea sau rezultă din activitatea instituțiilor publice ca fiind excepții de la comunicarea informațiilor de interes public, se impune analizarea jurisprudenței existente, hotărârile instanțelor furnizândune o bogată sursă de informații. </w:t>
      </w:r>
    </w:p>
    <w:p w:rsidR="000B55F9" w:rsidRDefault="000B55F9" w:rsidP="00770AEA">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t>Analiza jurisprudenței privind excepțiile de la liberul acces la informații de in</w:t>
      </w:r>
      <w:r>
        <w:rPr>
          <w:rFonts w:ascii="Times New Roman" w:hAnsi="Times New Roman" w:cs="Times New Roman"/>
          <w:sz w:val="24"/>
          <w:szCs w:val="24"/>
        </w:rPr>
        <w:t>teres public,</w:t>
      </w:r>
      <w:r w:rsidRPr="000B55F9">
        <w:rPr>
          <w:rFonts w:ascii="Times New Roman" w:hAnsi="Times New Roman" w:cs="Times New Roman"/>
          <w:sz w:val="24"/>
          <w:szCs w:val="24"/>
        </w:rPr>
        <w:t xml:space="preserve"> acoperă excepțiile de la aplicarea cadrului normativ în vigoare, situații care tind să blocheze aplicarea legii, fiind un instrument adresat în primul rând autorităților și instituților publice, </w:t>
      </w:r>
      <w:r w:rsidRPr="000B55F9">
        <w:rPr>
          <w:rFonts w:ascii="Times New Roman" w:hAnsi="Times New Roman" w:cs="Times New Roman"/>
          <w:sz w:val="24"/>
          <w:szCs w:val="24"/>
        </w:rPr>
        <w:lastRenderedPageBreak/>
        <w:t xml:space="preserve">responsabililor pentru aplicarea Legii nr. 544/2001, dar și societății civile (mass-media, organizații neguvernamentale, grupuri de inițiativă și simpli cetățeni). </w:t>
      </w:r>
    </w:p>
    <w:p w:rsidR="000B55F9" w:rsidRDefault="000B55F9" w:rsidP="00770AEA">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t xml:space="preserve">Jurisprudența analizată în analiză privește, în principal, accesul la informații la cerere, nu atât de mult informațiile puse la dispoziție de către instituțiile publice din oficiu, un accent sporit fiind acordat interacțiunii dintre responsabilii pentru aplicarea Legii nr. 544/2001 și solicitanții de informații de interes public. </w:t>
      </w:r>
    </w:p>
    <w:p w:rsidR="000B55F9" w:rsidRDefault="000B55F9" w:rsidP="003E0640">
      <w:pPr>
        <w:spacing w:line="360" w:lineRule="auto"/>
        <w:ind w:firstLine="720"/>
        <w:jc w:val="both"/>
        <w:rPr>
          <w:rFonts w:ascii="Times New Roman" w:hAnsi="Times New Roman" w:cs="Times New Roman"/>
          <w:sz w:val="24"/>
          <w:szCs w:val="24"/>
        </w:rPr>
      </w:pPr>
      <w:r w:rsidRPr="000B55F9">
        <w:rPr>
          <w:rFonts w:ascii="Times New Roman" w:hAnsi="Times New Roman" w:cs="Times New Roman"/>
          <w:sz w:val="24"/>
          <w:szCs w:val="24"/>
        </w:rPr>
        <w:t xml:space="preserve">Raportându-ne la dispozițiile Legii nr. 544/2001, încă din preambulul textului actului normativ este consacrat accesul liber şi neîngrădit al persoanei la orice informati̧i de interes public, îngrădirea accesului realizându-se în cazurile expres prevăzute de lege. În acest sens, aplicarea dispozițiilor actului normativ este important să se realizeze de către funcționarii publici luând în considerare prezumția caracterului public al informațiilor gestionate de către instituția publică pe care o reprezintă, iar excepțiile enunțate în mod limitativ de lege trebuie analizate de la caz la caz, în funcție de caracterul special al informațiilor gestionate. Responsabilii de aplicarea dispozițiilor privind furnizarea informațiilor de interes public nu trebuie să limiteze accesul cetățenilor sau oricăror părți interesate din motive ce țin de teama față de dezvăluirea activității instituționale sau de posibile erori ce pot fi semnalate prin comunicarea datelor. </w:t>
      </w:r>
    </w:p>
    <w:p w:rsidR="00AD064E" w:rsidRDefault="000B55F9" w:rsidP="003E0640">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În opinia noastră</w:t>
      </w:r>
      <w:r w:rsidRPr="000B55F9">
        <w:rPr>
          <w:rFonts w:ascii="Times New Roman" w:hAnsi="Times New Roman" w:cs="Times New Roman"/>
          <w:sz w:val="24"/>
          <w:szCs w:val="24"/>
        </w:rPr>
        <w:t>, toate informațiile gestionate de către instituțiile sau autoritățile publice sunt informații de interes public, cu anumite excepții motivate.</w:t>
      </w:r>
    </w:p>
    <w:p w:rsidR="00AD064E" w:rsidRPr="00AD064E" w:rsidRDefault="00AD064E" w:rsidP="003E0640">
      <w:pPr>
        <w:spacing w:line="360" w:lineRule="auto"/>
        <w:ind w:firstLine="720"/>
        <w:jc w:val="both"/>
        <w:rPr>
          <w:rFonts w:ascii="Times New Roman" w:hAnsi="Times New Roman" w:cs="Times New Roman"/>
          <w:sz w:val="24"/>
          <w:szCs w:val="24"/>
        </w:rPr>
      </w:pPr>
      <w:r w:rsidRPr="00AD064E">
        <w:rPr>
          <w:rFonts w:ascii="Times New Roman" w:hAnsi="Times New Roman" w:cs="Times New Roman"/>
          <w:sz w:val="24"/>
          <w:szCs w:val="24"/>
        </w:rPr>
        <w:t xml:space="preserve">Fără a propune soluții juridice la situații punctuale, analiza include inventarul excepțiilor de la aplicarea actului nomativ, semnalând necesitatea unei temeinice analize a solicitărilor, dar și a deciziilor instanțelor judecătorești având în vedere numărul semnificativ de dosare ce au același obiect și care au fost introduse în instanță de persoane juridice. De asemenea, vine să solicite instituțiilor și autorităților publice să evaluzeze corespunzător și în context aplicarea prevederilor privind excepțiile de la comunicarea informațiilor de interes public. </w:t>
      </w:r>
    </w:p>
    <w:p w:rsidR="001E1742" w:rsidRPr="001E1742" w:rsidRDefault="00AD064E" w:rsidP="007F527C">
      <w:pPr>
        <w:spacing w:line="360" w:lineRule="auto"/>
        <w:ind w:firstLine="720"/>
        <w:jc w:val="both"/>
        <w:rPr>
          <w:rFonts w:ascii="Times New Roman" w:hAnsi="Times New Roman" w:cs="Times New Roman"/>
          <w:sz w:val="24"/>
          <w:szCs w:val="24"/>
        </w:rPr>
      </w:pPr>
      <w:r w:rsidRPr="00AD064E">
        <w:rPr>
          <w:rFonts w:ascii="Times New Roman" w:hAnsi="Times New Roman" w:cs="Times New Roman"/>
          <w:sz w:val="24"/>
          <w:szCs w:val="24"/>
        </w:rPr>
        <w:t>La 15 ani de la adoptarea Legii nr. 544/2001 constatăm două tendințe divergente în practică. Prima tendință, pozitivă, este în direcția modernizării administrației publice și a generării de seturi de date în format deschis la dispoziția cetățenilor.</w:t>
      </w:r>
      <w:r w:rsidR="007F527C">
        <w:rPr>
          <w:rFonts w:ascii="Times New Roman" w:hAnsi="Times New Roman" w:cs="Times New Roman"/>
          <w:sz w:val="24"/>
          <w:szCs w:val="24"/>
        </w:rPr>
        <w:t xml:space="preserve"> </w:t>
      </w:r>
      <w:r w:rsidR="001E1742" w:rsidRPr="001E1742">
        <w:rPr>
          <w:rFonts w:ascii="Times New Roman" w:hAnsi="Times New Roman" w:cs="Times New Roman"/>
          <w:sz w:val="24"/>
          <w:szCs w:val="24"/>
        </w:rPr>
        <w:t xml:space="preserve">Cea de-a doua tendință este, </w:t>
      </w:r>
      <w:r w:rsidR="001E1742" w:rsidRPr="001E1742">
        <w:rPr>
          <w:rFonts w:ascii="Times New Roman" w:hAnsi="Times New Roman" w:cs="Times New Roman"/>
          <w:sz w:val="24"/>
          <w:szCs w:val="24"/>
        </w:rPr>
        <w:lastRenderedPageBreak/>
        <w:t xml:space="preserve">din păcate, în direcția păstrării tendinței de a limita accesul la anumite date care în mod evident, suscită interesul societății civile printr-o aplicare defectuoasă a prevederilor art. 12 din Legea nr. 544/2001 privind accesul la informații de interes public, încearcând să blocheze accesul la informațiile gestionate. </w:t>
      </w:r>
    </w:p>
    <w:p w:rsidR="001E1742" w:rsidRPr="001E1742" w:rsidRDefault="001E1742" w:rsidP="00472073">
      <w:pPr>
        <w:spacing w:line="360" w:lineRule="auto"/>
        <w:ind w:firstLine="720"/>
        <w:jc w:val="both"/>
        <w:rPr>
          <w:rFonts w:ascii="Times New Roman" w:hAnsi="Times New Roman" w:cs="Times New Roman"/>
          <w:sz w:val="24"/>
          <w:szCs w:val="24"/>
        </w:rPr>
      </w:pPr>
      <w:r w:rsidRPr="001E1742">
        <w:rPr>
          <w:rFonts w:ascii="Times New Roman" w:hAnsi="Times New Roman" w:cs="Times New Roman"/>
          <w:sz w:val="24"/>
          <w:szCs w:val="24"/>
        </w:rPr>
        <w:t>Analizând activitatea instituțiilor și autorităților publice de comunicare a informațiilor de interes public, se remarcă deficiențe de implementare a actului normativ. În acest sens, studiul de față asupra practicii instanțelor de judecată arată, în primul rând, că acest comportament este deseori sancționat de instanțe. Astfel, acestea sancționează folosirea excesivă de către administrația publică a cazurilor de restricționare a accesului la informațiile de interes public, permise de lege, mai exact a articolului 12.</w:t>
      </w:r>
    </w:p>
    <w:p w:rsidR="007D67F7" w:rsidRPr="00AE5359" w:rsidRDefault="007D67F7" w:rsidP="00A2289F">
      <w:pPr>
        <w:spacing w:line="360" w:lineRule="auto"/>
        <w:ind w:firstLine="720"/>
        <w:jc w:val="both"/>
        <w:rPr>
          <w:rFonts w:ascii="Times New Roman" w:hAnsi="Times New Roman" w:cs="Times New Roman"/>
          <w:b/>
          <w:sz w:val="24"/>
          <w:szCs w:val="24"/>
        </w:rPr>
      </w:pPr>
      <w:r w:rsidRPr="00AE5359">
        <w:rPr>
          <w:rFonts w:ascii="Times New Roman" w:hAnsi="Times New Roman" w:cs="Times New Roman"/>
          <w:b/>
          <w:sz w:val="24"/>
          <w:szCs w:val="24"/>
        </w:rPr>
        <w:t xml:space="preserve">Raportul anual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Potrivit art. 27 din Normele metodologice de aplicare a legii 544, „fiecare instituţie sau autoritate publică, va întocmi anual, prin structurile de informare şi relaţii publice, un raport privind accesul la informaţiile de interes public care va cuprinde:</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a) numărul total de solicitări de informaţii de interes public;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b) numărul total de solicitări, departajat pe domenii de interes;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c) numărul de solicitări rezolvate favorabil;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d) numărul de solicitări respinse, defalcat după motivaţia respingerii (informaţii exceptate de la acces, inexistente etc);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e) numărul de solicitări adresate în scris: 1. pe suport de hârtie şi 2. pe suport electronic; </w:t>
      </w:r>
    </w:p>
    <w:p w:rsidR="007D67F7" w:rsidRDefault="007D67F7" w:rsidP="00A2289F">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7D67F7">
        <w:rPr>
          <w:rFonts w:ascii="Times New Roman" w:hAnsi="Times New Roman" w:cs="Times New Roman"/>
          <w:sz w:val="24"/>
          <w:szCs w:val="24"/>
        </w:rPr>
        <w:t xml:space="preserve">f) numărul de solicitări adresate de persoane fizice ;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g) numărul de solicitări adresate de persoane juridice;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 h) numărul de reclamaţii administrative: 1. rezolvate favorabil; 2. respinse;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lastRenderedPageBreak/>
        <w:t xml:space="preserve">i) numărul de plângeri în instanţă: 1. rezolvate favorabil; 2. respinse; 3. în curs de soluţionare;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j) costurile totale ale compartimentului de informare şi relaţii publice; </w:t>
      </w:r>
    </w:p>
    <w:p w:rsidR="007D67F7"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 xml:space="preserve">k) sumele totale încasate pentru serviciile de copiere a informaţiilor de interes public solicitate; </w:t>
      </w:r>
    </w:p>
    <w:p w:rsidR="00DF5ABD" w:rsidRDefault="007D67F7" w:rsidP="00A2289F">
      <w:pPr>
        <w:spacing w:line="360" w:lineRule="auto"/>
        <w:ind w:firstLine="720"/>
        <w:jc w:val="both"/>
        <w:rPr>
          <w:rFonts w:ascii="Times New Roman" w:hAnsi="Times New Roman" w:cs="Times New Roman"/>
          <w:sz w:val="24"/>
          <w:szCs w:val="24"/>
        </w:rPr>
      </w:pPr>
      <w:r w:rsidRPr="007D67F7">
        <w:rPr>
          <w:rFonts w:ascii="Times New Roman" w:hAnsi="Times New Roman" w:cs="Times New Roman"/>
          <w:sz w:val="24"/>
          <w:szCs w:val="24"/>
        </w:rPr>
        <w:t>l) numărul estimativ de vizitatori ai punctului de informare-documentare”.</w:t>
      </w:r>
    </w:p>
    <w:p w:rsidR="00DF5ABD" w:rsidRPr="0022467F" w:rsidRDefault="00DF5ABD" w:rsidP="00A2289F">
      <w:pPr>
        <w:spacing w:line="360" w:lineRule="auto"/>
        <w:ind w:firstLine="720"/>
        <w:jc w:val="both"/>
        <w:rPr>
          <w:rFonts w:ascii="Times New Roman" w:hAnsi="Times New Roman" w:cs="Times New Roman"/>
          <w:b/>
          <w:sz w:val="24"/>
          <w:szCs w:val="24"/>
        </w:rPr>
      </w:pPr>
      <w:r w:rsidRPr="0022467F">
        <w:rPr>
          <w:rFonts w:ascii="Times New Roman" w:hAnsi="Times New Roman" w:cs="Times New Roman"/>
          <w:b/>
          <w:sz w:val="24"/>
          <w:szCs w:val="24"/>
        </w:rPr>
        <w:t xml:space="preserve">Evoluţia aplicării legii 544 </w:t>
      </w:r>
    </w:p>
    <w:p w:rsidR="00DF5ABD" w:rsidRDefault="00DF5ABD" w:rsidP="00A2289F">
      <w:pPr>
        <w:spacing w:line="360" w:lineRule="auto"/>
        <w:ind w:firstLine="720"/>
        <w:jc w:val="both"/>
        <w:rPr>
          <w:rFonts w:ascii="Times New Roman" w:hAnsi="Times New Roman" w:cs="Times New Roman"/>
          <w:sz w:val="24"/>
          <w:szCs w:val="24"/>
        </w:rPr>
      </w:pPr>
      <w:r w:rsidRPr="00DF5ABD">
        <w:rPr>
          <w:rFonts w:ascii="Times New Roman" w:hAnsi="Times New Roman" w:cs="Times New Roman"/>
          <w:sz w:val="24"/>
          <w:szCs w:val="24"/>
        </w:rPr>
        <w:t>Datele din rapoartele anuale ilustrează la modul general o evoluţie pozitivă a aplicării acestei legi, deşi implementarea bunelor practici nu a devenit o regulă în toate cazurile.</w:t>
      </w:r>
    </w:p>
    <w:p w:rsidR="00DF5ABD" w:rsidRDefault="00DF5ABD" w:rsidP="00A2289F">
      <w:pPr>
        <w:spacing w:line="360" w:lineRule="auto"/>
        <w:ind w:firstLine="720"/>
        <w:jc w:val="both"/>
        <w:rPr>
          <w:rFonts w:ascii="Times New Roman" w:hAnsi="Times New Roman" w:cs="Times New Roman"/>
          <w:sz w:val="24"/>
          <w:szCs w:val="24"/>
        </w:rPr>
      </w:pPr>
      <w:r w:rsidRPr="00DF5ABD">
        <w:rPr>
          <w:rFonts w:ascii="Times New Roman" w:hAnsi="Times New Roman" w:cs="Times New Roman"/>
          <w:sz w:val="24"/>
          <w:szCs w:val="24"/>
        </w:rPr>
        <w:t xml:space="preserve"> - numărul raportat de solicitări de informaţii de interes public a fost în fiecare an foarte mare, în pri</w:t>
      </w:r>
      <w:r w:rsidR="0022467F">
        <w:rPr>
          <w:rFonts w:ascii="Times New Roman" w:hAnsi="Times New Roman" w:cs="Times New Roman"/>
          <w:sz w:val="24"/>
          <w:szCs w:val="24"/>
        </w:rPr>
        <w:t>mul rând datorită solicitărilor;</w:t>
      </w:r>
    </w:p>
    <w:p w:rsidR="00DF5ABD" w:rsidRDefault="00DF5ABD" w:rsidP="00A2289F">
      <w:pPr>
        <w:spacing w:line="360" w:lineRule="auto"/>
        <w:ind w:firstLine="720"/>
        <w:jc w:val="both"/>
        <w:rPr>
          <w:rFonts w:ascii="Times New Roman" w:hAnsi="Times New Roman" w:cs="Times New Roman"/>
          <w:sz w:val="24"/>
          <w:szCs w:val="24"/>
        </w:rPr>
      </w:pPr>
      <w:r w:rsidRPr="00DF5ABD">
        <w:rPr>
          <w:rFonts w:ascii="Times New Roman" w:hAnsi="Times New Roman" w:cs="Times New Roman"/>
          <w:sz w:val="24"/>
          <w:szCs w:val="24"/>
        </w:rPr>
        <w:t>- procentul solicitărilor rezolvate prin furnizarea informaţiilor de interes public solicitate depăseşte 96% din totalul solicitărilor adresate autorităţilor şi instituţiilor publice, fapt ce demonstrează că liberul acces la informaţiile publice s-a generalizat la nivelul întregii administraţii publice;</w:t>
      </w:r>
    </w:p>
    <w:p w:rsidR="00DF5ABD" w:rsidRDefault="00DF5ABD" w:rsidP="00A2289F">
      <w:pPr>
        <w:spacing w:line="360" w:lineRule="auto"/>
        <w:ind w:firstLine="720"/>
        <w:jc w:val="both"/>
        <w:rPr>
          <w:rFonts w:ascii="Times New Roman" w:hAnsi="Times New Roman" w:cs="Times New Roman"/>
          <w:sz w:val="24"/>
          <w:szCs w:val="24"/>
        </w:rPr>
      </w:pPr>
      <w:r w:rsidRPr="00DF5ABD">
        <w:rPr>
          <w:rFonts w:ascii="Times New Roman" w:hAnsi="Times New Roman" w:cs="Times New Roman"/>
          <w:sz w:val="24"/>
          <w:szCs w:val="24"/>
        </w:rPr>
        <w:t xml:space="preserve"> - actele normative şi reglementările au fost domeniul cel mai solicitat de cetăţeni, în condiţiile în care actele legislative sau link-urile către ele sunt încă insuficient prezentate pe paginile de web ale instituţiilor; </w:t>
      </w:r>
    </w:p>
    <w:p w:rsidR="00DF5ABD" w:rsidRDefault="00DF5ABD" w:rsidP="00A2289F">
      <w:pPr>
        <w:spacing w:line="360" w:lineRule="auto"/>
        <w:ind w:firstLine="720"/>
        <w:jc w:val="both"/>
        <w:rPr>
          <w:rFonts w:ascii="Times New Roman" w:hAnsi="Times New Roman" w:cs="Times New Roman"/>
          <w:sz w:val="24"/>
          <w:szCs w:val="24"/>
        </w:rPr>
      </w:pPr>
      <w:r w:rsidRPr="00DF5ABD">
        <w:rPr>
          <w:rFonts w:ascii="Times New Roman" w:hAnsi="Times New Roman" w:cs="Times New Roman"/>
          <w:sz w:val="24"/>
          <w:szCs w:val="24"/>
        </w:rPr>
        <w:t>- principalele domenii de interes din solicitările scrise privesc exact acele categorii de informaţii care, potrivit legii</w:t>
      </w:r>
      <w:r w:rsidR="0022467F">
        <w:rPr>
          <w:rFonts w:ascii="Times New Roman" w:hAnsi="Times New Roman" w:cs="Times New Roman"/>
          <w:sz w:val="24"/>
          <w:szCs w:val="24"/>
        </w:rPr>
        <w:t xml:space="preserve">, trebuie difuzate din oficiu; </w:t>
      </w:r>
    </w:p>
    <w:p w:rsidR="00DF5ABD" w:rsidRDefault="00DF5ABD" w:rsidP="00A2289F">
      <w:pPr>
        <w:spacing w:line="360" w:lineRule="auto"/>
        <w:ind w:firstLine="720"/>
        <w:jc w:val="both"/>
        <w:rPr>
          <w:rFonts w:ascii="Times New Roman" w:hAnsi="Times New Roman" w:cs="Times New Roman"/>
          <w:sz w:val="24"/>
          <w:szCs w:val="24"/>
        </w:rPr>
      </w:pPr>
      <w:r w:rsidRPr="00DF5ABD">
        <w:rPr>
          <w:rFonts w:ascii="Times New Roman" w:hAnsi="Times New Roman" w:cs="Times New Roman"/>
          <w:sz w:val="24"/>
          <w:szCs w:val="24"/>
        </w:rPr>
        <w:t xml:space="preserve">- afişarea la sediul instituţiei rămâne modalitatea predilectă de informare publică din oficiu, deşi este incompletă; </w:t>
      </w:r>
    </w:p>
    <w:p w:rsidR="00DF5ABD" w:rsidRDefault="00DF5ABD" w:rsidP="00A2289F">
      <w:pPr>
        <w:spacing w:line="360" w:lineRule="auto"/>
        <w:ind w:firstLine="720"/>
        <w:jc w:val="both"/>
        <w:rPr>
          <w:rFonts w:ascii="Times New Roman" w:hAnsi="Times New Roman" w:cs="Times New Roman"/>
          <w:sz w:val="24"/>
          <w:szCs w:val="24"/>
        </w:rPr>
      </w:pPr>
      <w:r w:rsidRPr="00DF5ABD">
        <w:rPr>
          <w:rFonts w:ascii="Times New Roman" w:hAnsi="Times New Roman" w:cs="Times New Roman"/>
          <w:sz w:val="24"/>
          <w:szCs w:val="24"/>
        </w:rPr>
        <w:lastRenderedPageBreak/>
        <w:t>- folosirea paginilor proprii de web pentru difuzarea informaţiilor de interes public din oficiu sporeşte continuu, în primul rând în cazul administraţiei centrale, instituţiilor prefectului şi consiliilor judeţene şi orăşeneşti (mediul rural este încă deficitar la acest capitol).</w:t>
      </w:r>
    </w:p>
    <w:p w:rsidR="002152F1" w:rsidRPr="00D31CDB" w:rsidRDefault="002152F1" w:rsidP="004126D9">
      <w:pPr>
        <w:spacing w:line="360" w:lineRule="auto"/>
        <w:ind w:firstLine="720"/>
        <w:jc w:val="center"/>
        <w:rPr>
          <w:rFonts w:ascii="Times New Roman" w:hAnsi="Times New Roman" w:cs="Times New Roman"/>
          <w:b/>
          <w:sz w:val="24"/>
          <w:szCs w:val="24"/>
        </w:rPr>
      </w:pPr>
      <w:r w:rsidRPr="00D31CDB">
        <w:rPr>
          <w:rFonts w:ascii="Times New Roman" w:hAnsi="Times New Roman" w:cs="Times New Roman"/>
          <w:b/>
          <w:sz w:val="24"/>
          <w:szCs w:val="24"/>
        </w:rPr>
        <w:t xml:space="preserve">Legea nr. 52/2003 privind transparenţa decizională în administraţia </w:t>
      </w:r>
      <w:r>
        <w:rPr>
          <w:rFonts w:ascii="Times New Roman" w:hAnsi="Times New Roman" w:cs="Times New Roman"/>
          <w:b/>
          <w:sz w:val="24"/>
          <w:szCs w:val="24"/>
        </w:rPr>
        <w:t>public</w:t>
      </w:r>
    </w:p>
    <w:p w:rsidR="002152F1" w:rsidRPr="00D31CDB" w:rsidRDefault="002152F1" w:rsidP="002152F1">
      <w:pPr>
        <w:spacing w:line="360" w:lineRule="auto"/>
        <w:ind w:firstLine="720"/>
        <w:jc w:val="both"/>
        <w:rPr>
          <w:rFonts w:ascii="Times New Roman" w:hAnsi="Times New Roman" w:cs="Times New Roman"/>
          <w:b/>
          <w:sz w:val="24"/>
          <w:szCs w:val="24"/>
          <w:lang w:val="ro-RO"/>
        </w:rPr>
      </w:pPr>
      <w:r w:rsidRPr="00D31CDB">
        <w:rPr>
          <w:rFonts w:ascii="Times New Roman" w:hAnsi="Times New Roman" w:cs="Times New Roman"/>
          <w:b/>
          <w:sz w:val="24"/>
          <w:szCs w:val="24"/>
        </w:rPr>
        <w:t>Prezentare general</w:t>
      </w:r>
      <w:r w:rsidRPr="00D31CDB">
        <w:rPr>
          <w:rFonts w:ascii="Times New Roman" w:hAnsi="Times New Roman" w:cs="Times New Roman"/>
          <w:b/>
          <w:sz w:val="24"/>
          <w:szCs w:val="24"/>
          <w:lang w:val="ro-RO"/>
        </w:rPr>
        <w:t>ă</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 În România, legea privind liberul acces la informaţiile publice este completată de Legea nr. 52/2003 privind transparenţa decizională în administraţia publică, adoptată de Parlament în ianuarie 2003, în cadrul procesului de realizare a criteriilor politice pentru integrarea în NATO.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Potrivit acestei legi, instituţiile şi autorităţile publice sunt obligate: să facă publice proiectele de acte normative, din oficiu şi la cerere, cu minim 30 de zile înainte de începerea procedurii de avizare şi adoptare; să organizeze dezbateri publice în cazul în care acest lucru a fost solicitat de către o asociaţie legal constituită sau de către o altă autoritate publică; să analizeze toate recomandările primite şi să ţină cont de acestea în forma finală a proiectului de act normativ. În procesul de luare a deciziilor la nivel local, autorităţile publice sunt obligate: să anunţe în avans agenda şedinţelor publice, să permită accesul cetăţenilor şi al mass media la acestea, să publice minutele şedinţelor.</w:t>
      </w:r>
    </w:p>
    <w:p w:rsidR="002152F1" w:rsidRPr="00D639EF" w:rsidRDefault="002152F1" w:rsidP="002152F1">
      <w:pPr>
        <w:spacing w:line="360" w:lineRule="auto"/>
        <w:ind w:firstLine="720"/>
        <w:jc w:val="both"/>
        <w:rPr>
          <w:rFonts w:ascii="Times New Roman" w:hAnsi="Times New Roman" w:cs="Times New Roman"/>
          <w:sz w:val="24"/>
          <w:szCs w:val="24"/>
        </w:rPr>
      </w:pPr>
      <w:r w:rsidRPr="00D639EF">
        <w:rPr>
          <w:rFonts w:ascii="Times New Roman" w:hAnsi="Times New Roman" w:cs="Times New Roman"/>
          <w:sz w:val="24"/>
          <w:szCs w:val="24"/>
        </w:rPr>
        <w:t>Având în vedere obiectivul final al procesului de dezbatere publică, respectiv colectarea punctelor de vedere de la societatea civilă (nu toată specializată în domeniul respectiv dar afectată, ulterior adoptării, de prevederile acestuia), recomandăm ca proiectul de act normativ să fie însoțit de un text sintetic explicativ care lămurește publicul larg, într-un limbaj accesibil, cu privire la conținutul acestuia, scopul pentru care este elaborat, soluțiile pe care le propun inițiatorii și efectele previzibile ale viitorului act normativ direct asupra celor ce vor fi afectați de aplicarea lui.</w:t>
      </w:r>
    </w:p>
    <w:p w:rsidR="002152F1" w:rsidRDefault="002152F1" w:rsidP="002152F1">
      <w:pPr>
        <w:spacing w:line="360" w:lineRule="auto"/>
        <w:ind w:firstLine="720"/>
        <w:jc w:val="both"/>
        <w:rPr>
          <w:rFonts w:ascii="Times New Roman" w:hAnsi="Times New Roman" w:cs="Times New Roman"/>
          <w:sz w:val="24"/>
          <w:szCs w:val="24"/>
        </w:rPr>
      </w:pPr>
      <w:r w:rsidRPr="00D639EF">
        <w:rPr>
          <w:rFonts w:ascii="Times New Roman" w:hAnsi="Times New Roman" w:cs="Times New Roman"/>
          <w:sz w:val="24"/>
          <w:szCs w:val="24"/>
        </w:rPr>
        <w:t>În măsura în care este posibil, informația va fi afișată în format de date deschise</w:t>
      </w:r>
      <w:r>
        <w:rPr>
          <w:rFonts w:ascii="Times New Roman" w:hAnsi="Times New Roman" w:cs="Times New Roman"/>
          <w:sz w:val="24"/>
          <w:szCs w:val="24"/>
        </w:rPr>
        <w:t>.</w:t>
      </w:r>
    </w:p>
    <w:p w:rsidR="002152F1" w:rsidRPr="00D56CEA" w:rsidRDefault="002152F1" w:rsidP="002152F1">
      <w:pPr>
        <w:spacing w:line="360" w:lineRule="auto"/>
        <w:ind w:firstLine="720"/>
        <w:jc w:val="both"/>
        <w:rPr>
          <w:rFonts w:ascii="Times New Roman" w:hAnsi="Times New Roman" w:cs="Times New Roman"/>
          <w:sz w:val="24"/>
          <w:szCs w:val="24"/>
        </w:rPr>
      </w:pPr>
      <w:r w:rsidRPr="00D56CEA">
        <w:rPr>
          <w:rFonts w:ascii="Times New Roman" w:hAnsi="Times New Roman" w:cs="Times New Roman"/>
          <w:sz w:val="24"/>
          <w:szCs w:val="24"/>
        </w:rPr>
        <w:t xml:space="preserve">În conformitate cu angajamentele României privind Guvernarea Deschisă, este preferabil ca, acolo unde este posibil, documentele, mai ales când conțin date statistice, să fie prezentate </w:t>
      </w:r>
      <w:r w:rsidRPr="00D56CEA">
        <w:rPr>
          <w:rFonts w:ascii="Times New Roman" w:hAnsi="Times New Roman" w:cs="Times New Roman"/>
          <w:sz w:val="24"/>
          <w:szCs w:val="24"/>
        </w:rPr>
        <w:lastRenderedPageBreak/>
        <w:t>publicului în format editabil (de pildă: .doc, .xls, .odt etc.). Este vorba despre date care pot fi utilizate de către oricine, respectiv reutilizate (realizarea de grafice, interpretări pe baza lor), redistribuite, etc. Sunt de evitat documente scanate care nu permit folosirea unor instrumente de genul “căutare automată” sau prelucrarea cifrelor din tabele. Formatul editabil permite celor interesați să introducă comentarii ușor identificabile/facil de integrat.</w:t>
      </w:r>
    </w:p>
    <w:p w:rsidR="002152F1" w:rsidRPr="00D56CEA" w:rsidRDefault="002152F1" w:rsidP="002152F1">
      <w:pPr>
        <w:spacing w:line="360" w:lineRule="auto"/>
        <w:ind w:firstLine="720"/>
        <w:jc w:val="both"/>
        <w:rPr>
          <w:rFonts w:ascii="Times New Roman" w:hAnsi="Times New Roman" w:cs="Times New Roman"/>
          <w:sz w:val="24"/>
          <w:szCs w:val="24"/>
        </w:rPr>
      </w:pPr>
      <w:r w:rsidRPr="00D56CEA">
        <w:rPr>
          <w:rFonts w:ascii="Times New Roman" w:hAnsi="Times New Roman" w:cs="Times New Roman"/>
          <w:sz w:val="24"/>
          <w:szCs w:val="24"/>
        </w:rPr>
        <w:t xml:space="preserve"> Atunci când este posibil, documentele vor fi prezentate în formate interogabile, respectiv care să permită copiere, căutare (pentru documente text), realizare de operațiuni numerice sau grafice (pentru documente tip tabel), etc. În cazul în care există planșe, este recomandat să fie afișate în formate vectoriale, nu ca imagine scanată. </w:t>
      </w:r>
    </w:p>
    <w:p w:rsidR="002152F1" w:rsidRDefault="002152F1" w:rsidP="002152F1">
      <w:pPr>
        <w:spacing w:line="360" w:lineRule="auto"/>
        <w:ind w:firstLine="720"/>
        <w:jc w:val="both"/>
        <w:rPr>
          <w:rFonts w:ascii="Times New Roman" w:hAnsi="Times New Roman" w:cs="Times New Roman"/>
          <w:sz w:val="24"/>
          <w:szCs w:val="24"/>
        </w:rPr>
      </w:pPr>
      <w:r w:rsidRPr="00D56CEA">
        <w:rPr>
          <w:rFonts w:ascii="Times New Roman" w:hAnsi="Times New Roman" w:cs="Times New Roman"/>
          <w:sz w:val="24"/>
          <w:szCs w:val="24"/>
        </w:rPr>
        <w:t>În acest scop, este necesară colaborarea dintre responsabilul de aplicarea Legii nr. 52/2003, structura de specialitate inițiatoare (pentru a primi documente în format deschis) și, eventual, responsabilul IT.</w:t>
      </w:r>
    </w:p>
    <w:p w:rsidR="002152F1" w:rsidRPr="007A31A2" w:rsidRDefault="002152F1" w:rsidP="002152F1">
      <w:pPr>
        <w:spacing w:line="360" w:lineRule="auto"/>
        <w:ind w:firstLine="720"/>
        <w:jc w:val="both"/>
        <w:rPr>
          <w:rFonts w:ascii="Times New Roman" w:hAnsi="Times New Roman" w:cs="Times New Roman"/>
          <w:sz w:val="24"/>
          <w:szCs w:val="24"/>
        </w:rPr>
      </w:pPr>
      <w:r w:rsidRPr="007A31A2">
        <w:rPr>
          <w:rFonts w:ascii="Times New Roman" w:hAnsi="Times New Roman" w:cs="Times New Roman"/>
          <w:sz w:val="24"/>
          <w:szCs w:val="24"/>
        </w:rPr>
        <w:t>O atenție deosebită trebuie acordată persoanelor cu nevoi speciale, pentru care autoritatea publică are obligația de a asigura accesul la informație adaptat. Se pot lua în considerare, în funcție de nevoie: folosirea unui font mare, pictograme sau chiar colaborări cu organizaţiile de specialitate.</w:t>
      </w:r>
    </w:p>
    <w:p w:rsidR="002152F1" w:rsidRDefault="002152F1" w:rsidP="002152F1">
      <w:pPr>
        <w:spacing w:line="360" w:lineRule="auto"/>
        <w:ind w:firstLine="720"/>
        <w:jc w:val="both"/>
        <w:rPr>
          <w:rFonts w:ascii="Times New Roman" w:hAnsi="Times New Roman" w:cs="Times New Roman"/>
          <w:sz w:val="24"/>
          <w:szCs w:val="24"/>
        </w:rPr>
      </w:pPr>
      <w:r w:rsidRPr="007A31A2">
        <w:rPr>
          <w:rFonts w:ascii="Times New Roman" w:hAnsi="Times New Roman" w:cs="Times New Roman"/>
          <w:sz w:val="24"/>
          <w:szCs w:val="24"/>
        </w:rPr>
        <w:t xml:space="preserve"> Este de preferat ca în toate paginile de internet ale instituțiilor publice să se folosească regulile de accesibilitate stabilite de Inițiativa pentru Accesibilizarea Internetului (Web Accessibility Initiative - WAI).</w:t>
      </w:r>
    </w:p>
    <w:p w:rsidR="002152F1" w:rsidRPr="000D625A" w:rsidRDefault="002152F1" w:rsidP="002152F1">
      <w:pPr>
        <w:spacing w:line="360" w:lineRule="auto"/>
        <w:ind w:firstLine="720"/>
        <w:jc w:val="both"/>
        <w:rPr>
          <w:rFonts w:ascii="Times New Roman" w:hAnsi="Times New Roman" w:cs="Times New Roman"/>
          <w:sz w:val="24"/>
          <w:szCs w:val="24"/>
        </w:rPr>
      </w:pPr>
      <w:r w:rsidRPr="000D625A">
        <w:rPr>
          <w:rFonts w:ascii="Times New Roman" w:hAnsi="Times New Roman" w:cs="Times New Roman"/>
          <w:sz w:val="24"/>
          <w:szCs w:val="24"/>
        </w:rPr>
        <w:t>Toate documentele supuse consultării publice trebuie să fie clare, concise şi să includă toate informațiile necesare pentru a facilita obținerea de răspunsuri</w:t>
      </w:r>
      <w:r w:rsidRPr="000D625A">
        <w:rPr>
          <w:rStyle w:val="FootnoteReference"/>
          <w:rFonts w:ascii="Times New Roman" w:hAnsi="Times New Roman" w:cs="Times New Roman"/>
          <w:sz w:val="24"/>
          <w:szCs w:val="24"/>
        </w:rPr>
        <w:footnoteReference w:id="1"/>
      </w:r>
      <w:r w:rsidRPr="000D625A">
        <w:rPr>
          <w:rFonts w:ascii="Times New Roman" w:hAnsi="Times New Roman" w:cs="Times New Roman"/>
          <w:sz w:val="24"/>
          <w:szCs w:val="24"/>
        </w:rPr>
        <w:t>. Acestea vor fi redactate într-un limbaj cât mai simplu, usor de înţeles de către publicul-ţintă, evitându-se jargonul sau abrevierile, fără explicitarea lor.</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lastRenderedPageBreak/>
        <w:t xml:space="preserve"> Autorităţile şi instituţiile publice trebuie să întocmească şi să facă public un raport anual privind transparenţa decizională, raport care, la fel ca în cazul Legii nr. 544/2001, era trimis MIP/ASG pentru a fi centralizat într-un raport la nivel naţional. </w:t>
      </w:r>
    </w:p>
    <w:p w:rsidR="002152F1" w:rsidRDefault="002152F1" w:rsidP="002152F1">
      <w:pPr>
        <w:spacing w:line="360" w:lineRule="auto"/>
        <w:ind w:firstLine="720"/>
        <w:jc w:val="both"/>
        <w:rPr>
          <w:rFonts w:ascii="Times New Roman" w:hAnsi="Times New Roman" w:cs="Times New Roman"/>
          <w:sz w:val="24"/>
          <w:szCs w:val="24"/>
        </w:rPr>
      </w:pPr>
      <w:r w:rsidRPr="00D3530C">
        <w:rPr>
          <w:rFonts w:ascii="Times New Roman" w:hAnsi="Times New Roman" w:cs="Times New Roman"/>
          <w:sz w:val="24"/>
          <w:szCs w:val="24"/>
        </w:rPr>
        <w:t>Procesele de consultare publică la nivelul administrației</w:t>
      </w:r>
      <w:r>
        <w:rPr>
          <w:rFonts w:ascii="Times New Roman" w:hAnsi="Times New Roman" w:cs="Times New Roman"/>
          <w:sz w:val="24"/>
          <w:szCs w:val="24"/>
        </w:rPr>
        <w:t xml:space="preserve"> </w:t>
      </w:r>
      <w:r w:rsidRPr="00D3530C">
        <w:rPr>
          <w:rFonts w:ascii="Times New Roman" w:hAnsi="Times New Roman" w:cs="Times New Roman"/>
          <w:sz w:val="24"/>
          <w:szCs w:val="24"/>
        </w:rPr>
        <w:t>publice din România sunt reglementate de Legea nr.</w:t>
      </w:r>
      <w:r>
        <w:rPr>
          <w:rFonts w:ascii="Times New Roman" w:hAnsi="Times New Roman" w:cs="Times New Roman"/>
          <w:sz w:val="24"/>
          <w:szCs w:val="24"/>
        </w:rPr>
        <w:t xml:space="preserve"> </w:t>
      </w:r>
      <w:r w:rsidRPr="00D3530C">
        <w:rPr>
          <w:rFonts w:ascii="Times New Roman" w:hAnsi="Times New Roman" w:cs="Times New Roman"/>
          <w:sz w:val="24"/>
          <w:szCs w:val="24"/>
        </w:rPr>
        <w:t>52/2003 privind transparența decizională în</w:t>
      </w:r>
      <w:r>
        <w:rPr>
          <w:rFonts w:ascii="Times New Roman" w:hAnsi="Times New Roman" w:cs="Times New Roman"/>
          <w:sz w:val="24"/>
          <w:szCs w:val="24"/>
        </w:rPr>
        <w:t xml:space="preserve"> </w:t>
      </w:r>
      <w:r w:rsidRPr="00D3530C">
        <w:rPr>
          <w:rFonts w:ascii="Times New Roman" w:hAnsi="Times New Roman" w:cs="Times New Roman"/>
          <w:sz w:val="24"/>
          <w:szCs w:val="24"/>
        </w:rPr>
        <w:t xml:space="preserve">administrația publică, </w:t>
      </w:r>
      <w:r>
        <w:rPr>
          <w:rFonts w:ascii="Times New Roman" w:hAnsi="Times New Roman" w:cs="Times New Roman"/>
          <w:sz w:val="24"/>
          <w:szCs w:val="24"/>
        </w:rPr>
        <w:t>r</w:t>
      </w:r>
      <w:r w:rsidRPr="00D3530C">
        <w:rPr>
          <w:rFonts w:ascii="Times New Roman" w:hAnsi="Times New Roman" w:cs="Times New Roman"/>
          <w:sz w:val="24"/>
          <w:szCs w:val="24"/>
        </w:rPr>
        <w:t>epublicată, unul dintre cele mai</w:t>
      </w:r>
      <w:r>
        <w:rPr>
          <w:rFonts w:ascii="Times New Roman" w:hAnsi="Times New Roman" w:cs="Times New Roman"/>
          <w:sz w:val="24"/>
          <w:szCs w:val="24"/>
        </w:rPr>
        <w:t xml:space="preserve"> </w:t>
      </w:r>
      <w:r w:rsidRPr="00D3530C">
        <w:rPr>
          <w:rFonts w:ascii="Times New Roman" w:hAnsi="Times New Roman" w:cs="Times New Roman"/>
          <w:sz w:val="24"/>
          <w:szCs w:val="24"/>
        </w:rPr>
        <w:t>moderne acte normative, inspirat din țările cu o</w:t>
      </w:r>
      <w:r>
        <w:rPr>
          <w:rFonts w:ascii="Times New Roman" w:hAnsi="Times New Roman" w:cs="Times New Roman"/>
          <w:sz w:val="24"/>
          <w:szCs w:val="24"/>
        </w:rPr>
        <w:t xml:space="preserve"> </w:t>
      </w:r>
      <w:r w:rsidRPr="00D3530C">
        <w:rPr>
          <w:rFonts w:ascii="Times New Roman" w:hAnsi="Times New Roman" w:cs="Times New Roman"/>
          <w:sz w:val="24"/>
          <w:szCs w:val="24"/>
        </w:rPr>
        <w:t xml:space="preserve">democrație consolidată, dar, din păcate, </w:t>
      </w:r>
      <w:r>
        <w:rPr>
          <w:rFonts w:ascii="Times New Roman" w:hAnsi="Times New Roman" w:cs="Times New Roman"/>
          <w:sz w:val="24"/>
          <w:szCs w:val="24"/>
        </w:rPr>
        <w:t xml:space="preserve">insufficient </w:t>
      </w:r>
      <w:r w:rsidRPr="00D3530C">
        <w:rPr>
          <w:rFonts w:ascii="Times New Roman" w:hAnsi="Times New Roman" w:cs="Times New Roman"/>
          <w:sz w:val="24"/>
          <w:szCs w:val="24"/>
        </w:rPr>
        <w:t>valorificat în sensul potențialului de practicare a unor</w:t>
      </w:r>
      <w:r>
        <w:rPr>
          <w:rFonts w:ascii="Times New Roman" w:hAnsi="Times New Roman" w:cs="Times New Roman"/>
          <w:sz w:val="24"/>
          <w:szCs w:val="24"/>
        </w:rPr>
        <w:t xml:space="preserve"> </w:t>
      </w:r>
      <w:r w:rsidRPr="00D3530C">
        <w:rPr>
          <w:rFonts w:ascii="Times New Roman" w:hAnsi="Times New Roman" w:cs="Times New Roman"/>
          <w:sz w:val="24"/>
          <w:szCs w:val="24"/>
        </w:rPr>
        <w:t>procese de luare a deciziilor publice democratice,</w:t>
      </w:r>
      <w:r>
        <w:rPr>
          <w:rFonts w:ascii="Times New Roman" w:hAnsi="Times New Roman" w:cs="Times New Roman"/>
          <w:sz w:val="24"/>
          <w:szCs w:val="24"/>
        </w:rPr>
        <w:t xml:space="preserve"> </w:t>
      </w:r>
      <w:r w:rsidRPr="00D3530C">
        <w:rPr>
          <w:rFonts w:ascii="Times New Roman" w:hAnsi="Times New Roman" w:cs="Times New Roman"/>
          <w:sz w:val="24"/>
          <w:szCs w:val="24"/>
        </w:rPr>
        <w:t>participative și, foarte important, legitime și, implicit,</w:t>
      </w:r>
      <w:r>
        <w:rPr>
          <w:rFonts w:ascii="Times New Roman" w:hAnsi="Times New Roman" w:cs="Times New Roman"/>
          <w:sz w:val="24"/>
          <w:szCs w:val="24"/>
        </w:rPr>
        <w:t xml:space="preserve"> </w:t>
      </w:r>
      <w:r w:rsidRPr="00D3530C">
        <w:rPr>
          <w:rFonts w:ascii="Times New Roman" w:hAnsi="Times New Roman" w:cs="Times New Roman"/>
          <w:sz w:val="24"/>
          <w:szCs w:val="24"/>
        </w:rPr>
        <w:t>durabile.</w:t>
      </w:r>
    </w:p>
    <w:p w:rsidR="002152F1" w:rsidRDefault="002152F1" w:rsidP="002152F1">
      <w:pPr>
        <w:spacing w:line="360" w:lineRule="auto"/>
        <w:ind w:firstLine="720"/>
        <w:jc w:val="both"/>
        <w:rPr>
          <w:rFonts w:ascii="Times New Roman" w:hAnsi="Times New Roman" w:cs="Times New Roman"/>
          <w:sz w:val="24"/>
          <w:szCs w:val="24"/>
        </w:rPr>
      </w:pPr>
      <w:r w:rsidRPr="00D3530C">
        <w:rPr>
          <w:rFonts w:ascii="Times New Roman" w:hAnsi="Times New Roman" w:cs="Times New Roman"/>
          <w:sz w:val="24"/>
          <w:szCs w:val="24"/>
        </w:rPr>
        <w:t>Cum situația curentă evidențiază încă lacune în</w:t>
      </w:r>
      <w:r>
        <w:rPr>
          <w:rFonts w:ascii="Times New Roman" w:hAnsi="Times New Roman" w:cs="Times New Roman"/>
          <w:sz w:val="24"/>
          <w:szCs w:val="24"/>
        </w:rPr>
        <w:t xml:space="preserve"> </w:t>
      </w:r>
      <w:r w:rsidRPr="00D3530C">
        <w:rPr>
          <w:rFonts w:ascii="Times New Roman" w:hAnsi="Times New Roman" w:cs="Times New Roman"/>
          <w:sz w:val="24"/>
          <w:szCs w:val="24"/>
        </w:rPr>
        <w:t>practicile de lucru și, în general, în activitatea</w:t>
      </w:r>
      <w:r>
        <w:rPr>
          <w:rFonts w:ascii="Times New Roman" w:hAnsi="Times New Roman" w:cs="Times New Roman"/>
          <w:sz w:val="24"/>
          <w:szCs w:val="24"/>
        </w:rPr>
        <w:t xml:space="preserve"> </w:t>
      </w:r>
      <w:r w:rsidRPr="00D3530C">
        <w:rPr>
          <w:rFonts w:ascii="Times New Roman" w:hAnsi="Times New Roman" w:cs="Times New Roman"/>
          <w:sz w:val="24"/>
          <w:szCs w:val="24"/>
        </w:rPr>
        <w:t xml:space="preserve">autorităților publice pentru asigurarea unui </w:t>
      </w:r>
      <w:r>
        <w:rPr>
          <w:rFonts w:ascii="Times New Roman" w:hAnsi="Times New Roman" w:cs="Times New Roman"/>
          <w:sz w:val="24"/>
          <w:szCs w:val="24"/>
        </w:rPr>
        <w:t xml:space="preserve">process </w:t>
      </w:r>
      <w:r w:rsidRPr="00D3530C">
        <w:rPr>
          <w:rFonts w:ascii="Times New Roman" w:hAnsi="Times New Roman" w:cs="Times New Roman"/>
          <w:sz w:val="24"/>
          <w:szCs w:val="24"/>
        </w:rPr>
        <w:t>decizional participativ/reprezentativ, după un amplu</w:t>
      </w:r>
      <w:r>
        <w:rPr>
          <w:rFonts w:ascii="Times New Roman" w:hAnsi="Times New Roman" w:cs="Times New Roman"/>
          <w:sz w:val="24"/>
          <w:szCs w:val="24"/>
        </w:rPr>
        <w:t xml:space="preserve"> </w:t>
      </w:r>
      <w:r w:rsidRPr="00D3530C">
        <w:rPr>
          <w:rFonts w:ascii="Times New Roman" w:hAnsi="Times New Roman" w:cs="Times New Roman"/>
          <w:sz w:val="24"/>
          <w:szCs w:val="24"/>
        </w:rPr>
        <w:t>proces de documentare legat de stadiul implementării</w:t>
      </w:r>
      <w:r>
        <w:rPr>
          <w:rFonts w:ascii="Times New Roman" w:hAnsi="Times New Roman" w:cs="Times New Roman"/>
          <w:sz w:val="24"/>
          <w:szCs w:val="24"/>
        </w:rPr>
        <w:t xml:space="preserve"> </w:t>
      </w:r>
      <w:r w:rsidRPr="00D3530C">
        <w:rPr>
          <w:rFonts w:ascii="Times New Roman" w:hAnsi="Times New Roman" w:cs="Times New Roman"/>
          <w:sz w:val="24"/>
          <w:szCs w:val="24"/>
        </w:rPr>
        <w:t>prevederilor legale în aplicarea legii-cadru privind</w:t>
      </w:r>
      <w:r>
        <w:rPr>
          <w:rFonts w:ascii="Times New Roman" w:hAnsi="Times New Roman" w:cs="Times New Roman"/>
          <w:sz w:val="24"/>
          <w:szCs w:val="24"/>
        </w:rPr>
        <w:t xml:space="preserve"> </w:t>
      </w:r>
      <w:r w:rsidRPr="00D3530C">
        <w:rPr>
          <w:rFonts w:ascii="Times New Roman" w:hAnsi="Times New Roman" w:cs="Times New Roman"/>
          <w:sz w:val="24"/>
          <w:szCs w:val="24"/>
        </w:rPr>
        <w:t>consultarea publică pe proiecte de acte normative</w:t>
      </w:r>
      <w:r>
        <w:rPr>
          <w:rFonts w:ascii="Times New Roman" w:hAnsi="Times New Roman" w:cs="Times New Roman"/>
          <w:sz w:val="24"/>
          <w:szCs w:val="24"/>
        </w:rPr>
        <w:t xml:space="preserve"> a fost scoasă în evidență nevoia</w:t>
      </w:r>
      <w:r w:rsidRPr="00D3530C">
        <w:rPr>
          <w:rFonts w:ascii="Times New Roman" w:hAnsi="Times New Roman" w:cs="Times New Roman"/>
          <w:sz w:val="24"/>
          <w:szCs w:val="24"/>
        </w:rPr>
        <w:t>, unei interpretări unitare a legii în practica proceselor</w:t>
      </w:r>
      <w:r>
        <w:rPr>
          <w:rFonts w:ascii="Times New Roman" w:hAnsi="Times New Roman" w:cs="Times New Roman"/>
          <w:sz w:val="24"/>
          <w:szCs w:val="24"/>
        </w:rPr>
        <w:t xml:space="preserve"> de consultare publică și a </w:t>
      </w:r>
      <w:r w:rsidRPr="00D3530C">
        <w:rPr>
          <w:rFonts w:ascii="Times New Roman" w:hAnsi="Times New Roman" w:cs="Times New Roman"/>
          <w:sz w:val="24"/>
          <w:szCs w:val="24"/>
        </w:rPr>
        <w:t>extinderii practicii și la nivelul recomandărilor de bună</w:t>
      </w:r>
      <w:r>
        <w:rPr>
          <w:rFonts w:ascii="Times New Roman" w:hAnsi="Times New Roman" w:cs="Times New Roman"/>
          <w:sz w:val="24"/>
          <w:szCs w:val="24"/>
        </w:rPr>
        <w:t xml:space="preserve"> </w:t>
      </w:r>
      <w:r w:rsidRPr="00D3530C">
        <w:rPr>
          <w:rFonts w:ascii="Times New Roman" w:hAnsi="Times New Roman" w:cs="Times New Roman"/>
          <w:sz w:val="24"/>
          <w:szCs w:val="24"/>
        </w:rPr>
        <w:t>practică privind consultarea publică.</w:t>
      </w:r>
    </w:p>
    <w:p w:rsidR="002152F1" w:rsidRDefault="002152F1" w:rsidP="002152F1">
      <w:pPr>
        <w:spacing w:line="360" w:lineRule="auto"/>
        <w:ind w:firstLine="720"/>
        <w:jc w:val="both"/>
        <w:rPr>
          <w:rFonts w:ascii="Times New Roman" w:hAnsi="Times New Roman" w:cs="Times New Roman"/>
          <w:b/>
          <w:sz w:val="28"/>
          <w:szCs w:val="28"/>
        </w:rPr>
      </w:pPr>
    </w:p>
    <w:p w:rsidR="004126D9" w:rsidRDefault="004126D9" w:rsidP="002152F1">
      <w:pPr>
        <w:spacing w:line="360" w:lineRule="auto"/>
        <w:ind w:firstLine="720"/>
        <w:jc w:val="both"/>
        <w:rPr>
          <w:rFonts w:ascii="Times New Roman" w:hAnsi="Times New Roman" w:cs="Times New Roman"/>
          <w:b/>
          <w:sz w:val="28"/>
          <w:szCs w:val="28"/>
        </w:rPr>
      </w:pPr>
    </w:p>
    <w:p w:rsidR="004126D9" w:rsidRDefault="004126D9" w:rsidP="002152F1">
      <w:pPr>
        <w:spacing w:line="360" w:lineRule="auto"/>
        <w:ind w:firstLine="720"/>
        <w:jc w:val="both"/>
        <w:rPr>
          <w:rFonts w:ascii="Times New Roman" w:hAnsi="Times New Roman" w:cs="Times New Roman"/>
          <w:b/>
          <w:sz w:val="28"/>
          <w:szCs w:val="28"/>
        </w:rPr>
      </w:pPr>
    </w:p>
    <w:p w:rsidR="004126D9" w:rsidRDefault="004126D9" w:rsidP="002152F1">
      <w:pPr>
        <w:spacing w:line="360" w:lineRule="auto"/>
        <w:ind w:firstLine="720"/>
        <w:jc w:val="both"/>
        <w:rPr>
          <w:rFonts w:ascii="Times New Roman" w:hAnsi="Times New Roman" w:cs="Times New Roman"/>
          <w:b/>
          <w:sz w:val="28"/>
          <w:szCs w:val="28"/>
        </w:rPr>
      </w:pPr>
    </w:p>
    <w:p w:rsidR="004126D9" w:rsidRDefault="004126D9" w:rsidP="002152F1">
      <w:pPr>
        <w:spacing w:line="360" w:lineRule="auto"/>
        <w:ind w:firstLine="720"/>
        <w:jc w:val="both"/>
        <w:rPr>
          <w:rFonts w:ascii="Times New Roman" w:hAnsi="Times New Roman" w:cs="Times New Roman"/>
          <w:b/>
          <w:sz w:val="28"/>
          <w:szCs w:val="28"/>
        </w:rPr>
      </w:pPr>
    </w:p>
    <w:p w:rsidR="004126D9" w:rsidRDefault="004126D9" w:rsidP="002152F1">
      <w:pPr>
        <w:spacing w:line="360" w:lineRule="auto"/>
        <w:ind w:firstLine="720"/>
        <w:jc w:val="both"/>
        <w:rPr>
          <w:rFonts w:ascii="Times New Roman" w:hAnsi="Times New Roman" w:cs="Times New Roman"/>
          <w:b/>
          <w:sz w:val="28"/>
          <w:szCs w:val="28"/>
        </w:rPr>
      </w:pPr>
    </w:p>
    <w:p w:rsidR="004126D9" w:rsidRDefault="004126D9" w:rsidP="002152F1">
      <w:pPr>
        <w:spacing w:line="360" w:lineRule="auto"/>
        <w:ind w:firstLine="720"/>
        <w:jc w:val="both"/>
        <w:rPr>
          <w:rFonts w:ascii="Times New Roman" w:hAnsi="Times New Roman" w:cs="Times New Roman"/>
          <w:b/>
          <w:sz w:val="28"/>
          <w:szCs w:val="28"/>
        </w:rPr>
      </w:pPr>
    </w:p>
    <w:p w:rsidR="002152F1" w:rsidRPr="00B56E67" w:rsidRDefault="002152F1" w:rsidP="004126D9">
      <w:pPr>
        <w:spacing w:line="360" w:lineRule="auto"/>
        <w:ind w:firstLine="720"/>
        <w:jc w:val="center"/>
        <w:rPr>
          <w:rFonts w:ascii="Times New Roman" w:hAnsi="Times New Roman" w:cs="Times New Roman"/>
          <w:b/>
          <w:sz w:val="28"/>
          <w:szCs w:val="28"/>
        </w:rPr>
      </w:pPr>
      <w:r w:rsidRPr="00B56E67">
        <w:rPr>
          <w:rFonts w:ascii="Times New Roman" w:hAnsi="Times New Roman" w:cs="Times New Roman"/>
          <w:b/>
          <w:sz w:val="28"/>
          <w:szCs w:val="28"/>
        </w:rPr>
        <w:lastRenderedPageBreak/>
        <w:t>Beneficiile consultării publice pentru administrația publică din România</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Deschiderea proceselor de pregătire a deciziilor către părţile interesate îi aduce oricărei instituții, pe orice tematică, un capital enorm de expertiză şi legitimitate, pe care nu l-ar fi putut obţine eficient, cu alte mijloace. În acest fel este suplinită o nevoie de resurse importantă (atât materială, cât și de expertiză) cu care se confruntă orice instituție a administrației publice. </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O instituție care depune eforturi în privinţa comunicării active despre problemele şi soluţiile identificate, a fundamentării proiectului şi a dezvăluirii oneste a obiectivelor pe care le urmăreşte, determină toți actorii interesați de problematica respectivă să se angajeze în documentarea şi elaborarea unor recomandări substanțiale. Instituția primește practic echivalentul unor adevărate studii de specialitate, de care adesea o instituție publică nu poate beneficia în alt mod, în timp util și cu resurse limitate.</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t xml:space="preserve"> </w:t>
      </w: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Recomandările primite în cadrul procesului de elaborare a unui act normativ reprezintă piatra de temelie a colaborării dintre instituţia publică şi comunitatea pe care o deserveşte. </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Implicarea tuturor actorilor interesați previne numeroase probleme în privința calității deciziei/actului normativ, dar mai ales în implementarea acestuia la nivelul comunității.</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t xml:space="preserve"> </w:t>
      </w: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O instituție deschisă la cooperare va primi recomandări utile, concrete şi valoroase din partea participanţilor la procesul de consultare pe marginea proiectului de act normativ. </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Participarea publicului creşte încrederea în administraţia publică. O instituție deschisă la cooperare se bucură de legitimitate în ochii întregii comunități. </w:t>
      </w:r>
    </w:p>
    <w:p w:rsidR="002152F1" w:rsidRDefault="002152F1" w:rsidP="002152F1">
      <w:pPr>
        <w:spacing w:line="360" w:lineRule="auto"/>
        <w:ind w:left="720"/>
        <w:jc w:val="both"/>
        <w:rPr>
          <w:rFonts w:ascii="Times New Roman" w:hAnsi="Times New Roman" w:cs="Times New Roman"/>
          <w:sz w:val="24"/>
          <w:szCs w:val="24"/>
        </w:rPr>
      </w:pP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Participarea cetăţenilor la procesul decizional duce la îmbunătăţirea relaţiilor din comunitate. </w:t>
      </w:r>
    </w:p>
    <w:p w:rsidR="002152F1" w:rsidRDefault="002152F1" w:rsidP="002152F1">
      <w:pPr>
        <w:spacing w:line="360" w:lineRule="auto"/>
        <w:ind w:left="720"/>
        <w:jc w:val="both"/>
        <w:rPr>
          <w:rFonts w:ascii="Times New Roman" w:hAnsi="Times New Roman" w:cs="Times New Roman"/>
          <w:sz w:val="24"/>
          <w:szCs w:val="24"/>
        </w:rPr>
      </w:pPr>
      <w:r w:rsidRPr="00392305">
        <w:rPr>
          <w:rFonts w:ascii="Times New Roman" w:hAnsi="Times New Roman" w:cs="Times New Roman"/>
          <w:sz w:val="24"/>
          <w:szCs w:val="24"/>
        </w:rPr>
        <w:sym w:font="Symbol" w:char="F0B7"/>
      </w:r>
      <w:r w:rsidRPr="00392305">
        <w:rPr>
          <w:rFonts w:ascii="Times New Roman" w:hAnsi="Times New Roman" w:cs="Times New Roman"/>
          <w:sz w:val="24"/>
          <w:szCs w:val="24"/>
        </w:rPr>
        <w:t xml:space="preserve"> Participarea cetăţenilor creşte potenţialul de dezvoltare al comunității.</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lastRenderedPageBreak/>
        <w:t>Conform prevederilor Legii nr. 52/2003, este supus dezbaterii publice orice act administrativ cu caracter normativ, adică orice act cu aplicabilitate generală emis sau adoptat de o autoritate publică, oricare ar fi nivelul la care se face reglementarea.</w:t>
      </w:r>
    </w:p>
    <w:p w:rsidR="002152F1" w:rsidRPr="00392305" w:rsidRDefault="002152F1" w:rsidP="002152F1">
      <w:pPr>
        <w:spacing w:line="360" w:lineRule="auto"/>
        <w:jc w:val="both"/>
        <w:rPr>
          <w:rFonts w:ascii="Times New Roman" w:hAnsi="Times New Roman" w:cs="Times New Roman"/>
          <w:sz w:val="24"/>
          <w:szCs w:val="24"/>
        </w:rPr>
      </w:pPr>
      <w:r w:rsidRPr="00392305">
        <w:rPr>
          <w:rFonts w:ascii="Times New Roman" w:hAnsi="Times New Roman" w:cs="Times New Roman"/>
          <w:sz w:val="24"/>
          <w:szCs w:val="24"/>
        </w:rPr>
        <w:t xml:space="preserve"> </w:t>
      </w:r>
      <w:r w:rsidRPr="00392305">
        <w:rPr>
          <w:rFonts w:ascii="Times New Roman" w:hAnsi="Times New Roman" w:cs="Times New Roman"/>
          <w:sz w:val="24"/>
          <w:szCs w:val="24"/>
        </w:rPr>
        <w:tab/>
        <w:t xml:space="preserve">Cu alte cuvinte, cu excepția actelor administrative cu un caracter individual (acte ce vizează în mod explicit anumite persoane, clar individualizate), se supun consultării publice toate actele normative, indiferent de categoria sau ierarhia lor (inclusiv ordinele emise de ministru/președinte de agenție/prefect în exercitarea atribuțiilor sale, precum și hotărârile adoptate de consiliu local și dispozițiile emise de primari). </w:t>
      </w:r>
    </w:p>
    <w:p w:rsidR="002152F1" w:rsidRPr="00392305"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b/>
          <w:sz w:val="24"/>
          <w:szCs w:val="24"/>
        </w:rPr>
        <w:t>Excepție:</w:t>
      </w:r>
      <w:r w:rsidRPr="00392305">
        <w:rPr>
          <w:rFonts w:ascii="Times New Roman" w:hAnsi="Times New Roman" w:cs="Times New Roman"/>
          <w:sz w:val="24"/>
          <w:szCs w:val="24"/>
        </w:rPr>
        <w:t xml:space="preserve"> autorizațiile de mediu sunt acte administrative cu caracter individual, dar sunt supuse consultării publice prin procedura specifică de mediu, procedură stabilită printr-o normă specială ce derogă de la norma legală generală. </w:t>
      </w:r>
    </w:p>
    <w:p w:rsidR="002152F1" w:rsidRDefault="002152F1" w:rsidP="002152F1">
      <w:pPr>
        <w:spacing w:line="360" w:lineRule="auto"/>
        <w:ind w:firstLine="720"/>
        <w:jc w:val="both"/>
        <w:rPr>
          <w:rFonts w:ascii="Times New Roman" w:hAnsi="Times New Roman" w:cs="Times New Roman"/>
          <w:sz w:val="24"/>
          <w:szCs w:val="24"/>
        </w:rPr>
      </w:pPr>
      <w:r w:rsidRPr="00392305">
        <w:rPr>
          <w:rFonts w:ascii="Times New Roman" w:hAnsi="Times New Roman" w:cs="Times New Roman"/>
          <w:sz w:val="24"/>
          <w:szCs w:val="24"/>
        </w:rPr>
        <w:t>În prezent, un număr redus de acte normative sunt supuse procedurii de transparență decizională reglementată prin Legea nr. 52/2003, comparativ cu numărul actelor adoptate de către instituțiile publice.</w:t>
      </w:r>
    </w:p>
    <w:p w:rsidR="002152F1" w:rsidRDefault="002152F1" w:rsidP="002152F1">
      <w:pPr>
        <w:spacing w:line="360" w:lineRule="auto"/>
        <w:ind w:firstLine="720"/>
        <w:jc w:val="both"/>
        <w:rPr>
          <w:rFonts w:ascii="Times New Roman" w:hAnsi="Times New Roman" w:cs="Times New Roman"/>
          <w:sz w:val="24"/>
          <w:szCs w:val="24"/>
        </w:rPr>
      </w:pPr>
      <w:r w:rsidRPr="00B56E67">
        <w:rPr>
          <w:rFonts w:ascii="Times New Roman" w:hAnsi="Times New Roman" w:cs="Times New Roman"/>
          <w:sz w:val="24"/>
          <w:szCs w:val="24"/>
        </w:rPr>
        <w:t xml:space="preserve">Unul din motivele evocate se referă la încadrarea în categoria actului normativ. Definiția, conform Legii nr. 52/2003 este </w:t>
      </w:r>
      <w:r w:rsidRPr="00B56E67">
        <w:rPr>
          <w:rFonts w:ascii="Times New Roman" w:hAnsi="Times New Roman" w:cs="Times New Roman"/>
          <w:i/>
          <w:sz w:val="24"/>
          <w:szCs w:val="24"/>
        </w:rPr>
        <w:t>“act normativ - actul emis sau adoptat de o autoritate publică, cu aplicabilitate generală”</w:t>
      </w:r>
      <w:r w:rsidRPr="00B56E67">
        <w:rPr>
          <w:rFonts w:ascii="Times New Roman" w:hAnsi="Times New Roman" w:cs="Times New Roman"/>
          <w:sz w:val="24"/>
          <w:szCs w:val="24"/>
        </w:rPr>
        <w:t>. Cu alte cuvinte, este vorba despre un act care cuprinde reguli generale de conduită, impersonale și de aplicabilitate repetată, în vederea aplicării la un număr nedeterminat de subiecți.</w:t>
      </w:r>
    </w:p>
    <w:p w:rsidR="002152F1" w:rsidRPr="00EE68EA" w:rsidRDefault="002152F1" w:rsidP="002152F1">
      <w:pPr>
        <w:spacing w:line="360" w:lineRule="auto"/>
        <w:ind w:firstLine="720"/>
        <w:jc w:val="both"/>
        <w:rPr>
          <w:rFonts w:ascii="Times New Roman" w:hAnsi="Times New Roman" w:cs="Times New Roman"/>
          <w:sz w:val="24"/>
          <w:szCs w:val="24"/>
        </w:rPr>
      </w:pPr>
      <w:r w:rsidRPr="00EE68EA">
        <w:rPr>
          <w:rFonts w:ascii="Times New Roman" w:hAnsi="Times New Roman" w:cs="Times New Roman"/>
          <w:sz w:val="24"/>
          <w:szCs w:val="24"/>
        </w:rPr>
        <w:t>În practică, majoritatea consultărilor organizate în baza Legii nr. 52/2003 se referă la o etapă finală a procesului de elaborare a actului normativ: momentul în care există deja o formă redactată, care este supusă atenției publicului. Reamintim însă că Legea stabilește detaliat această obligație, fără să interzică ci, dimpotrivă, prin prisma scopului său să recomande organizarea de consultări și în etapele premergătoare: de identificare a problemei, de identificare și fundamentare a alternativelor de rezolvare sau a soluției alese etc.</w:t>
      </w:r>
    </w:p>
    <w:p w:rsidR="002152F1" w:rsidRPr="00162719" w:rsidRDefault="002152F1" w:rsidP="002152F1">
      <w:pPr>
        <w:spacing w:line="360" w:lineRule="auto"/>
        <w:ind w:firstLine="720"/>
        <w:jc w:val="both"/>
        <w:rPr>
          <w:rFonts w:ascii="Times New Roman" w:hAnsi="Times New Roman" w:cs="Times New Roman"/>
          <w:sz w:val="24"/>
          <w:szCs w:val="24"/>
        </w:rPr>
      </w:pPr>
      <w:r w:rsidRPr="00162719">
        <w:rPr>
          <w:rFonts w:ascii="Times New Roman" w:hAnsi="Times New Roman" w:cs="Times New Roman"/>
          <w:sz w:val="24"/>
          <w:szCs w:val="24"/>
        </w:rPr>
        <w:lastRenderedPageBreak/>
        <w:t xml:space="preserve">Responsabilul de aplicarea Legii nr. 52/2003 este o persoană cu un rol cheie în dialogul cu publicul și cu părțile interesate (coaliții, asociații, grupuri informale etc.). Prin rolul său, este primul punct de contact al unor actori autentic interesați de activitatea instituției, care pot deopotrivă contribui și critica rezultatele acesteia. De aceea, mai ales în contextul în care modul intern de organizare al unei instituții este adesea puțin cunoscut de publicul larg și îndeosebi de cei care nu lucrează în sistemul public, această persoană are un rol de ambasador în relațiile cu terții. Vizibilitatea sa și, mai ales, o bună colaborare a sa cu celelalte structuri (direcțiile de specialitate, cele de comunicare etc. – vezi mai jos) este absolut necesară pentru ca activitatea de care este responsabilă să devină o carte de vizită a instituției și nu un risc de imagine. În lipsa răspunsurilor prompte și complete sau în cazul unor blocaje în traseul decizional sau în circuitul documentelor, sunt afectate deopotrivă prestigiul instituției și calitatea deciziei finale. </w:t>
      </w:r>
    </w:p>
    <w:p w:rsidR="002152F1" w:rsidRDefault="002152F1" w:rsidP="002152F1">
      <w:pPr>
        <w:spacing w:line="360" w:lineRule="auto"/>
        <w:ind w:firstLine="720"/>
        <w:jc w:val="both"/>
        <w:rPr>
          <w:rFonts w:ascii="Times New Roman" w:hAnsi="Times New Roman" w:cs="Times New Roman"/>
          <w:sz w:val="24"/>
          <w:szCs w:val="24"/>
        </w:rPr>
      </w:pPr>
      <w:r w:rsidRPr="00162719">
        <w:rPr>
          <w:rFonts w:ascii="Times New Roman" w:hAnsi="Times New Roman" w:cs="Times New Roman"/>
          <w:sz w:val="24"/>
          <w:szCs w:val="24"/>
        </w:rPr>
        <w:t>Așadar, datele de contact ale responsabilului de aplicarea Legii nr. 52/2003 vor fi făcute publice pe pagina de internet a instituției, pentru a facilita comunicarea cu părțile interesate.</w:t>
      </w:r>
    </w:p>
    <w:p w:rsidR="002152F1" w:rsidRPr="0097280A" w:rsidRDefault="002152F1" w:rsidP="002152F1">
      <w:pPr>
        <w:spacing w:line="360" w:lineRule="auto"/>
        <w:ind w:firstLine="720"/>
        <w:jc w:val="both"/>
        <w:rPr>
          <w:rFonts w:ascii="Times New Roman" w:hAnsi="Times New Roman" w:cs="Times New Roman"/>
          <w:sz w:val="24"/>
          <w:szCs w:val="24"/>
        </w:rPr>
      </w:pPr>
      <w:r w:rsidRPr="0097280A">
        <w:rPr>
          <w:rFonts w:ascii="Times New Roman" w:hAnsi="Times New Roman" w:cs="Times New Roman"/>
          <w:sz w:val="24"/>
          <w:szCs w:val="24"/>
        </w:rPr>
        <w:t xml:space="preserve">Pentru o cât mai bună accesibilitate a informațiilor privind transparența decizională, recomandăm ca pe paginile de internet ale instituțiilor și autorităților publice să fie regăsită o secțiune special creată în acest sens, numită </w:t>
      </w:r>
      <w:r w:rsidRPr="0097280A">
        <w:rPr>
          <w:rFonts w:ascii="Times New Roman" w:hAnsi="Times New Roman" w:cs="Times New Roman"/>
          <w:i/>
          <w:sz w:val="24"/>
          <w:szCs w:val="24"/>
        </w:rPr>
        <w:t>Transparență decizională</w:t>
      </w:r>
      <w:r w:rsidRPr="0097280A">
        <w:rPr>
          <w:rFonts w:ascii="Times New Roman" w:hAnsi="Times New Roman" w:cs="Times New Roman"/>
          <w:sz w:val="24"/>
          <w:szCs w:val="24"/>
        </w:rPr>
        <w:t>, cu următoarele subsecțiuni:</w:t>
      </w:r>
    </w:p>
    <w:p w:rsidR="002152F1" w:rsidRPr="0097280A" w:rsidRDefault="002152F1" w:rsidP="002152F1">
      <w:pPr>
        <w:spacing w:line="360" w:lineRule="auto"/>
        <w:ind w:firstLine="720"/>
        <w:jc w:val="both"/>
        <w:rPr>
          <w:rFonts w:ascii="Times New Roman" w:hAnsi="Times New Roman" w:cs="Times New Roman"/>
          <w:sz w:val="24"/>
          <w:szCs w:val="24"/>
        </w:rPr>
      </w:pPr>
      <w:r w:rsidRPr="0097280A">
        <w:rPr>
          <w:rFonts w:ascii="Times New Roman" w:hAnsi="Times New Roman" w:cs="Times New Roman"/>
          <w:sz w:val="24"/>
          <w:szCs w:val="24"/>
        </w:rPr>
        <w:t xml:space="preserve"> TRANSPARENȚĂ DECIZIONALĂ </w:t>
      </w:r>
    </w:p>
    <w:p w:rsidR="002152F1" w:rsidRPr="0097280A" w:rsidRDefault="002152F1" w:rsidP="002152F1">
      <w:pPr>
        <w:spacing w:line="360" w:lineRule="auto"/>
        <w:ind w:firstLine="720"/>
        <w:jc w:val="both"/>
        <w:rPr>
          <w:rFonts w:ascii="Times New Roman" w:hAnsi="Times New Roman" w:cs="Times New Roman"/>
          <w:sz w:val="24"/>
          <w:szCs w:val="24"/>
        </w:rPr>
      </w:pPr>
      <w:r w:rsidRPr="0097280A">
        <w:rPr>
          <w:rFonts w:ascii="Times New Roman" w:hAnsi="Times New Roman" w:cs="Times New Roman"/>
          <w:sz w:val="24"/>
          <w:szCs w:val="24"/>
        </w:rPr>
        <w:sym w:font="Symbol" w:char="F0B7"/>
      </w:r>
      <w:r w:rsidRPr="0097280A">
        <w:rPr>
          <w:rFonts w:ascii="Times New Roman" w:hAnsi="Times New Roman" w:cs="Times New Roman"/>
          <w:sz w:val="24"/>
          <w:szCs w:val="24"/>
        </w:rPr>
        <w:t xml:space="preserve"> Explicarea transparenței decizionale pe înțelesul publicului larg și informații cu privire la:</w:t>
      </w:r>
    </w:p>
    <w:p w:rsidR="002152F1" w:rsidRPr="0097280A" w:rsidRDefault="002152F1" w:rsidP="002152F1">
      <w:pPr>
        <w:pStyle w:val="ListParagraph"/>
        <w:numPr>
          <w:ilvl w:val="0"/>
          <w:numId w:val="2"/>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responsabilul din partea instituției; </w:t>
      </w:r>
    </w:p>
    <w:p w:rsidR="002152F1" w:rsidRPr="0097280A" w:rsidRDefault="002152F1" w:rsidP="002152F1">
      <w:pPr>
        <w:pStyle w:val="ListParagraph"/>
        <w:numPr>
          <w:ilvl w:val="0"/>
          <w:numId w:val="2"/>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proceduri și formulare; </w:t>
      </w:r>
    </w:p>
    <w:p w:rsidR="002152F1" w:rsidRPr="0097280A" w:rsidRDefault="002152F1" w:rsidP="002152F1">
      <w:pPr>
        <w:pStyle w:val="ListParagraph"/>
        <w:numPr>
          <w:ilvl w:val="0"/>
          <w:numId w:val="2"/>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orar de funcționare; </w:t>
      </w:r>
    </w:p>
    <w:p w:rsidR="002152F1" w:rsidRDefault="002152F1" w:rsidP="002152F1">
      <w:pPr>
        <w:pStyle w:val="ListParagraph"/>
        <w:numPr>
          <w:ilvl w:val="0"/>
          <w:numId w:val="2"/>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legături cu secțiunile dedicate petițiilor sau cererilor făcute în baza Legii nr. 544/2001 etc. </w:t>
      </w:r>
    </w:p>
    <w:p w:rsidR="00486D2E" w:rsidRPr="0097280A" w:rsidRDefault="00486D2E" w:rsidP="00486D2E">
      <w:pPr>
        <w:pStyle w:val="ListParagraph"/>
        <w:spacing w:line="360" w:lineRule="auto"/>
        <w:ind w:left="2206"/>
        <w:jc w:val="both"/>
        <w:rPr>
          <w:rFonts w:ascii="Times New Roman" w:hAnsi="Times New Roman" w:cs="Times New Roman"/>
          <w:sz w:val="24"/>
          <w:szCs w:val="24"/>
        </w:rPr>
      </w:pPr>
    </w:p>
    <w:p w:rsidR="002152F1" w:rsidRPr="0097280A" w:rsidRDefault="002152F1" w:rsidP="002152F1">
      <w:p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lastRenderedPageBreak/>
        <w:sym w:font="Symbol" w:char="F0B7"/>
      </w:r>
      <w:r w:rsidRPr="0097280A">
        <w:rPr>
          <w:rFonts w:ascii="Times New Roman" w:hAnsi="Times New Roman" w:cs="Times New Roman"/>
          <w:sz w:val="24"/>
          <w:szCs w:val="24"/>
        </w:rPr>
        <w:t xml:space="preserve"> Proiecte de acte normative, unde vor fi publicate: </w:t>
      </w:r>
    </w:p>
    <w:p w:rsidR="002152F1" w:rsidRPr="0097280A" w:rsidRDefault="002152F1" w:rsidP="002152F1">
      <w:pPr>
        <w:pStyle w:val="ListParagraph"/>
        <w:numPr>
          <w:ilvl w:val="0"/>
          <w:numId w:val="5"/>
        </w:numPr>
        <w:spacing w:line="360" w:lineRule="auto"/>
        <w:ind w:firstLine="43"/>
        <w:jc w:val="both"/>
        <w:rPr>
          <w:rFonts w:ascii="Times New Roman" w:hAnsi="Times New Roman" w:cs="Times New Roman"/>
          <w:sz w:val="24"/>
          <w:szCs w:val="24"/>
        </w:rPr>
      </w:pPr>
      <w:r w:rsidRPr="0097280A">
        <w:rPr>
          <w:rFonts w:ascii="Times New Roman" w:hAnsi="Times New Roman" w:cs="Times New Roman"/>
          <w:sz w:val="24"/>
          <w:szCs w:val="24"/>
        </w:rPr>
        <w:t>anunțurile privind actele normative supuse consultării publice, conținând:</w:t>
      </w:r>
    </w:p>
    <w:p w:rsidR="002152F1" w:rsidRPr="0097280A" w:rsidRDefault="002152F1" w:rsidP="002152F1">
      <w:pPr>
        <w:pStyle w:val="ListParagraph"/>
        <w:numPr>
          <w:ilvl w:val="1"/>
          <w:numId w:val="6"/>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textul actului normativ și documentele aferente; </w:t>
      </w:r>
    </w:p>
    <w:p w:rsidR="002152F1" w:rsidRPr="0097280A" w:rsidRDefault="002152F1" w:rsidP="002152F1">
      <w:pPr>
        <w:pStyle w:val="ListParagraph"/>
        <w:numPr>
          <w:ilvl w:val="1"/>
          <w:numId w:val="6"/>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forma actului normativ la finalul etapei de consultare publică; </w:t>
      </w:r>
    </w:p>
    <w:p w:rsidR="002152F1" w:rsidRPr="0097280A" w:rsidRDefault="002152F1" w:rsidP="002152F1">
      <w:pPr>
        <w:pStyle w:val="ListParagraph"/>
        <w:numPr>
          <w:ilvl w:val="1"/>
          <w:numId w:val="6"/>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forma actului normativ la finalul etapei de avizare; o anunțurile de dezbateri publice - evidențiate </w:t>
      </w:r>
    </w:p>
    <w:p w:rsidR="002152F1" w:rsidRPr="0097280A" w:rsidRDefault="002152F1" w:rsidP="002152F1">
      <w:pPr>
        <w:pStyle w:val="ListParagraph"/>
        <w:numPr>
          <w:ilvl w:val="0"/>
          <w:numId w:val="7"/>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Acte normative adoptate, subsecțiune conținând arhiva actelor normative adoptate: </w:t>
      </w:r>
    </w:p>
    <w:p w:rsidR="002152F1" w:rsidRPr="0097280A" w:rsidRDefault="002152F1" w:rsidP="002152F1">
      <w:pPr>
        <w:pStyle w:val="ListParagraph"/>
        <w:spacing w:line="360" w:lineRule="auto"/>
        <w:ind w:left="768"/>
        <w:jc w:val="both"/>
        <w:rPr>
          <w:rFonts w:ascii="Times New Roman" w:hAnsi="Times New Roman" w:cs="Times New Roman"/>
          <w:b/>
          <w:sz w:val="24"/>
          <w:szCs w:val="24"/>
        </w:rPr>
      </w:pPr>
      <w:r w:rsidRPr="0097280A">
        <w:rPr>
          <w:rFonts w:ascii="Times New Roman" w:hAnsi="Times New Roman" w:cs="Times New Roman"/>
          <w:b/>
          <w:sz w:val="24"/>
          <w:szCs w:val="24"/>
        </w:rPr>
        <w:t xml:space="preserve">Pentru administrația centrală: </w:t>
      </w:r>
    </w:p>
    <w:p w:rsidR="002152F1" w:rsidRPr="0097280A" w:rsidRDefault="003873D4" w:rsidP="002152F1">
      <w:pPr>
        <w:pStyle w:val="ListParagraph"/>
        <w:numPr>
          <w:ilvl w:val="1"/>
          <w:numId w:val="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hotârâri de Guvern; </w:t>
      </w:r>
      <w:r w:rsidR="002152F1" w:rsidRPr="0097280A">
        <w:rPr>
          <w:rFonts w:ascii="Times New Roman" w:hAnsi="Times New Roman" w:cs="Times New Roman"/>
          <w:sz w:val="24"/>
          <w:szCs w:val="24"/>
        </w:rPr>
        <w:t xml:space="preserve">ordonanțe; </w:t>
      </w:r>
    </w:p>
    <w:p w:rsidR="002152F1" w:rsidRPr="0097280A" w:rsidRDefault="002152F1" w:rsidP="002152F1">
      <w:pPr>
        <w:pStyle w:val="ListParagraph"/>
        <w:numPr>
          <w:ilvl w:val="1"/>
          <w:numId w:val="5"/>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ordine cu caracter normativ ale conducătorului instituției. </w:t>
      </w:r>
    </w:p>
    <w:p w:rsidR="002152F1" w:rsidRPr="0097280A" w:rsidRDefault="002152F1" w:rsidP="002152F1">
      <w:pPr>
        <w:spacing w:line="360" w:lineRule="auto"/>
        <w:ind w:firstLine="720"/>
        <w:jc w:val="both"/>
        <w:rPr>
          <w:rFonts w:ascii="Times New Roman" w:hAnsi="Times New Roman" w:cs="Times New Roman"/>
          <w:b/>
          <w:sz w:val="24"/>
          <w:szCs w:val="24"/>
        </w:rPr>
      </w:pPr>
      <w:r w:rsidRPr="0097280A">
        <w:rPr>
          <w:rFonts w:ascii="Times New Roman" w:hAnsi="Times New Roman" w:cs="Times New Roman"/>
          <w:b/>
          <w:sz w:val="24"/>
          <w:szCs w:val="24"/>
        </w:rPr>
        <w:t>Pentru administrația locală:</w:t>
      </w:r>
    </w:p>
    <w:p w:rsidR="002152F1" w:rsidRPr="0097280A" w:rsidRDefault="002152F1" w:rsidP="002152F1">
      <w:pPr>
        <w:pStyle w:val="ListParagraph"/>
        <w:numPr>
          <w:ilvl w:val="0"/>
          <w:numId w:val="8"/>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hotărâri de consiliu local; </w:t>
      </w:r>
    </w:p>
    <w:p w:rsidR="002152F1" w:rsidRPr="0097280A" w:rsidRDefault="002152F1" w:rsidP="002152F1">
      <w:pPr>
        <w:pStyle w:val="ListParagraph"/>
        <w:numPr>
          <w:ilvl w:val="0"/>
          <w:numId w:val="8"/>
        </w:num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dispoziții de primar.</w:t>
      </w:r>
    </w:p>
    <w:p w:rsidR="002152F1" w:rsidRPr="0097280A" w:rsidRDefault="002152F1" w:rsidP="002152F1">
      <w:p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w:t>
      </w:r>
      <w:r w:rsidRPr="0097280A">
        <w:rPr>
          <w:rFonts w:ascii="Times New Roman" w:hAnsi="Times New Roman" w:cs="Times New Roman"/>
          <w:sz w:val="24"/>
          <w:szCs w:val="24"/>
        </w:rPr>
        <w:sym w:font="Symbol" w:char="F0B7"/>
      </w:r>
      <w:r w:rsidRPr="0097280A">
        <w:rPr>
          <w:rFonts w:ascii="Times New Roman" w:hAnsi="Times New Roman" w:cs="Times New Roman"/>
          <w:sz w:val="24"/>
          <w:szCs w:val="24"/>
        </w:rPr>
        <w:t xml:space="preserve"> Rapoartele anuale referitoare la transparența decizională;</w:t>
      </w:r>
    </w:p>
    <w:p w:rsidR="002152F1" w:rsidRPr="0097280A" w:rsidRDefault="002152F1" w:rsidP="002152F1">
      <w:pPr>
        <w:spacing w:line="360" w:lineRule="auto"/>
        <w:jc w:val="both"/>
        <w:rPr>
          <w:rFonts w:ascii="Times New Roman" w:hAnsi="Times New Roman" w:cs="Times New Roman"/>
          <w:sz w:val="24"/>
          <w:szCs w:val="24"/>
        </w:rPr>
      </w:pPr>
      <w:r w:rsidRPr="0097280A">
        <w:rPr>
          <w:rFonts w:ascii="Times New Roman" w:hAnsi="Times New Roman" w:cs="Times New Roman"/>
          <w:sz w:val="24"/>
          <w:szCs w:val="24"/>
        </w:rPr>
        <w:t xml:space="preserve"> </w:t>
      </w:r>
      <w:r w:rsidRPr="0097280A">
        <w:rPr>
          <w:rFonts w:ascii="Times New Roman" w:hAnsi="Times New Roman" w:cs="Times New Roman"/>
          <w:sz w:val="24"/>
          <w:szCs w:val="24"/>
        </w:rPr>
        <w:sym w:font="Symbol" w:char="F0B7"/>
      </w:r>
      <w:r w:rsidRPr="0097280A">
        <w:rPr>
          <w:rFonts w:ascii="Times New Roman" w:hAnsi="Times New Roman" w:cs="Times New Roman"/>
          <w:sz w:val="24"/>
          <w:szCs w:val="24"/>
        </w:rPr>
        <w:t xml:space="preserve"> Orice alte informații considerate relevante.</w:t>
      </w:r>
    </w:p>
    <w:p w:rsidR="00486D2E" w:rsidRDefault="00486D2E" w:rsidP="002152F1">
      <w:pPr>
        <w:spacing w:line="360" w:lineRule="auto"/>
        <w:ind w:firstLine="720"/>
        <w:jc w:val="both"/>
        <w:rPr>
          <w:rFonts w:ascii="Times New Roman" w:hAnsi="Times New Roman" w:cs="Times New Roman"/>
          <w:b/>
          <w:sz w:val="24"/>
          <w:szCs w:val="24"/>
        </w:rPr>
      </w:pPr>
    </w:p>
    <w:p w:rsidR="002152F1" w:rsidRDefault="002152F1" w:rsidP="002152F1">
      <w:pPr>
        <w:spacing w:line="360" w:lineRule="auto"/>
        <w:ind w:firstLine="720"/>
        <w:jc w:val="both"/>
        <w:rPr>
          <w:rFonts w:ascii="Times New Roman" w:hAnsi="Times New Roman" w:cs="Times New Roman"/>
          <w:b/>
          <w:sz w:val="24"/>
          <w:szCs w:val="24"/>
        </w:rPr>
      </w:pPr>
      <w:r>
        <w:rPr>
          <w:rFonts w:ascii="Times New Roman" w:hAnsi="Times New Roman" w:cs="Times New Roman"/>
          <w:b/>
          <w:sz w:val="24"/>
          <w:szCs w:val="24"/>
        </w:rPr>
        <w:t>Raport</w:t>
      </w:r>
      <w:r w:rsidRPr="00357EF0">
        <w:rPr>
          <w:rFonts w:ascii="Times New Roman" w:hAnsi="Times New Roman" w:cs="Times New Roman"/>
          <w:b/>
          <w:sz w:val="24"/>
          <w:szCs w:val="24"/>
        </w:rPr>
        <w:t xml:space="preserve"> </w:t>
      </w:r>
      <w:r w:rsidR="00486D2E">
        <w:rPr>
          <w:rFonts w:ascii="Times New Roman" w:hAnsi="Times New Roman" w:cs="Times New Roman"/>
          <w:b/>
          <w:sz w:val="24"/>
          <w:szCs w:val="24"/>
        </w:rPr>
        <w:t>anual</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 Potrivit art. 12 din legea 52/2003 „autorităţile publice prevăzute la art. 4 (este vorba despre autorităţile administraţiei publice centrale: ministerele, alte organe centrale ale administraţiei publice din subordinea Guvernului sau a ministerelor, serviciile publice descentralizate ale acestora, precum şi autorităţile administrative autonome; autorităţile administraţiei publice locale: consiliile judeţene, consiliile locale, primarii, instituţiile şi serviciile publice de interes local sau judeţean) sunt obligate să întocmească şi să facă public un raport anual privind transparenţa decizională, care va cuprinde cel puţin următoarele elemente: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lastRenderedPageBreak/>
        <w:t xml:space="preserve">a) numărul total al recomandărilor primite;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b) numărul total al recomandărilor incluse în proiectele de acte normative şi în conţinutul deciziilor luate;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c) numărul particip</w:t>
      </w:r>
      <w:r>
        <w:rPr>
          <w:rFonts w:ascii="Times New Roman" w:hAnsi="Times New Roman" w:cs="Times New Roman"/>
          <w:sz w:val="24"/>
          <w:szCs w:val="24"/>
        </w:rPr>
        <w:t xml:space="preserve">anţilor la şedinţele publice;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 d) numărul dezbaterilor publice organizate pe marginea proiectelor de acte normative; </w:t>
      </w:r>
    </w:p>
    <w:p w:rsidR="002152F1" w:rsidRDefault="002152F1" w:rsidP="002152F1">
      <w:pPr>
        <w:spacing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sidRPr="00D31CDB">
        <w:rPr>
          <w:rFonts w:ascii="Times New Roman" w:hAnsi="Times New Roman" w:cs="Times New Roman"/>
          <w:sz w:val="24"/>
          <w:szCs w:val="24"/>
        </w:rPr>
        <w:t xml:space="preserve">e) situaţia cazurilor în care autoritatea publică a fost acţionată în justiţie pentru nerespectarea prevederilor prezentei legi;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f) evaluarea proprie a parteneriatului cu cetăţenii şi asociaţiile legal constituite ale acestora;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g) numărul şedinţelor care nu au fost publice şi motivaţia restricţionării accesului. </w:t>
      </w:r>
    </w:p>
    <w:p w:rsidR="002152F1" w:rsidRDefault="002152F1" w:rsidP="002152F1">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În continuare se stipulează că „raportul anual privind transparenţa decizională va fi făcut public în site-ul propriu, prin afişare la sediul propriu într-un spaţiu accesibil publicului sau prin prezentare în şedinţă publică”.</w:t>
      </w:r>
    </w:p>
    <w:p w:rsidR="002152F1" w:rsidRDefault="002152F1" w:rsidP="002152F1">
      <w:pPr>
        <w:spacing w:line="360" w:lineRule="auto"/>
        <w:ind w:firstLine="720"/>
        <w:jc w:val="both"/>
        <w:rPr>
          <w:rFonts w:ascii="Times New Roman" w:hAnsi="Times New Roman" w:cs="Times New Roman"/>
          <w:sz w:val="24"/>
          <w:szCs w:val="24"/>
        </w:rPr>
      </w:pPr>
      <w:r w:rsidRPr="00D560CC">
        <w:rPr>
          <w:rFonts w:ascii="Times New Roman" w:hAnsi="Times New Roman" w:cs="Times New Roman"/>
          <w:sz w:val="24"/>
          <w:szCs w:val="24"/>
        </w:rPr>
        <w:t>Datele din rapoartele anuale arată o evoluţie a aplicării legii, în general, bună, cu unele diferenţe calitative între nivelul central şi local: de exemplu, dacă afişarea la sediu rămâne mijlocul cel mai utilizat pentru anunţarea proiectelor de acte normative elaborate de autorităţile publice locale, în schimb, administraţia centrală preferă utilizarea paginilor proprii de web.</w:t>
      </w:r>
    </w:p>
    <w:p w:rsidR="002152F1" w:rsidRDefault="002152F1" w:rsidP="002152F1">
      <w:pPr>
        <w:spacing w:line="360" w:lineRule="auto"/>
        <w:ind w:firstLine="720"/>
        <w:jc w:val="both"/>
        <w:rPr>
          <w:rFonts w:ascii="Times New Roman" w:hAnsi="Times New Roman" w:cs="Times New Roman"/>
          <w:sz w:val="24"/>
          <w:szCs w:val="24"/>
        </w:rPr>
      </w:pPr>
      <w:r w:rsidRPr="00D560CC">
        <w:rPr>
          <w:rFonts w:ascii="Times New Roman" w:hAnsi="Times New Roman" w:cs="Times New Roman"/>
          <w:sz w:val="24"/>
          <w:szCs w:val="24"/>
        </w:rPr>
        <w:t>Lipsa rapoartelor anuale sau difuzarea lor cu întârziere se adaugă unor probleme comunicaţionale inexplicabile, cu impact major asupra celor interesaţi, precum site-urile incomplete, lipsite de informaţiile esenţiale privind funcţionarea autorităţii sau instituţiei publice.</w:t>
      </w:r>
    </w:p>
    <w:p w:rsidR="002152F1" w:rsidRPr="00D560CC" w:rsidRDefault="002152F1" w:rsidP="002152F1">
      <w:pPr>
        <w:spacing w:line="360" w:lineRule="auto"/>
        <w:ind w:firstLine="720"/>
        <w:jc w:val="both"/>
        <w:rPr>
          <w:rFonts w:ascii="Times New Roman" w:hAnsi="Times New Roman" w:cs="Times New Roman"/>
          <w:sz w:val="24"/>
          <w:szCs w:val="24"/>
        </w:rPr>
      </w:pPr>
      <w:r w:rsidRPr="00D560CC">
        <w:rPr>
          <w:rFonts w:ascii="Times New Roman" w:hAnsi="Times New Roman" w:cs="Times New Roman"/>
          <w:sz w:val="24"/>
          <w:szCs w:val="24"/>
        </w:rPr>
        <w:t xml:space="preserve"> Toate aceste constatări privind aplicarea legii 52/2003 conduc la concluzia că, după atâţia ani de la intrarea în vigoare, a sosit timpul unor schimbări calitative în relaţia dintre instituţia publică şi cetăţean, care să alinieze efectiv practica transparenţei instituţionale din România cu standardele curente de la nivel european.</w:t>
      </w:r>
    </w:p>
    <w:p w:rsidR="002152F1" w:rsidRDefault="002152F1" w:rsidP="002152F1">
      <w:pPr>
        <w:spacing w:line="360" w:lineRule="auto"/>
        <w:ind w:firstLine="720"/>
        <w:jc w:val="both"/>
        <w:rPr>
          <w:rFonts w:ascii="Times New Roman" w:hAnsi="Times New Roman" w:cs="Times New Roman"/>
          <w:b/>
          <w:sz w:val="24"/>
          <w:szCs w:val="24"/>
        </w:rPr>
      </w:pPr>
      <w:r w:rsidRPr="00FB2F25">
        <w:rPr>
          <w:rFonts w:ascii="Times New Roman" w:hAnsi="Times New Roman" w:cs="Times New Roman"/>
          <w:b/>
          <w:sz w:val="24"/>
          <w:szCs w:val="24"/>
        </w:rPr>
        <w:lastRenderedPageBreak/>
        <w:t xml:space="preserve">Concluzii şi recomandări </w:t>
      </w:r>
    </w:p>
    <w:p w:rsidR="002152F1" w:rsidRDefault="002152F1" w:rsidP="002152F1">
      <w:pPr>
        <w:spacing w:line="360" w:lineRule="auto"/>
        <w:ind w:firstLine="720"/>
        <w:jc w:val="both"/>
        <w:rPr>
          <w:rFonts w:ascii="Times New Roman" w:hAnsi="Times New Roman" w:cs="Times New Roman"/>
          <w:sz w:val="24"/>
          <w:szCs w:val="24"/>
        </w:rPr>
      </w:pPr>
      <w:r w:rsidRPr="00BD4DC9">
        <w:rPr>
          <w:rFonts w:ascii="Times New Roman" w:hAnsi="Times New Roman" w:cs="Times New Roman"/>
          <w:sz w:val="24"/>
          <w:szCs w:val="24"/>
        </w:rPr>
        <w:t>Guvernarea deschisă reprezintă o caracteristică esențială a unui stat democratic și un factor</w:t>
      </w:r>
      <w:r>
        <w:rPr>
          <w:rFonts w:ascii="Times New Roman" w:hAnsi="Times New Roman" w:cs="Times New Roman"/>
          <w:sz w:val="24"/>
          <w:szCs w:val="24"/>
        </w:rPr>
        <w:t xml:space="preserve"> </w:t>
      </w:r>
      <w:r w:rsidRPr="00BD4DC9">
        <w:rPr>
          <w:rFonts w:ascii="Times New Roman" w:hAnsi="Times New Roman" w:cs="Times New Roman"/>
          <w:sz w:val="24"/>
          <w:szCs w:val="24"/>
        </w:rPr>
        <w:t>important în modernizarea activității publice. Aderarea României încă din anul 2011 la</w:t>
      </w:r>
      <w:r>
        <w:rPr>
          <w:rFonts w:ascii="Times New Roman" w:hAnsi="Times New Roman" w:cs="Times New Roman"/>
          <w:sz w:val="24"/>
          <w:szCs w:val="24"/>
        </w:rPr>
        <w:t xml:space="preserve"> </w:t>
      </w:r>
      <w:r w:rsidRPr="00BD4DC9">
        <w:rPr>
          <w:rFonts w:ascii="Times New Roman" w:hAnsi="Times New Roman" w:cs="Times New Roman"/>
          <w:sz w:val="24"/>
          <w:szCs w:val="24"/>
        </w:rPr>
        <w:t>Parteneriatul pentru o Guvernare Deschisă a exprimat dorința acesteia de a angaja politici</w:t>
      </w:r>
      <w:r>
        <w:rPr>
          <w:rFonts w:ascii="Times New Roman" w:hAnsi="Times New Roman" w:cs="Times New Roman"/>
          <w:sz w:val="24"/>
          <w:szCs w:val="24"/>
        </w:rPr>
        <w:t xml:space="preserve"> </w:t>
      </w:r>
      <w:r w:rsidRPr="00BD4DC9">
        <w:rPr>
          <w:rFonts w:ascii="Times New Roman" w:hAnsi="Times New Roman" w:cs="Times New Roman"/>
          <w:sz w:val="24"/>
          <w:szCs w:val="24"/>
        </w:rPr>
        <w:t>necesare pentru a deveni un guvern mai deschis, mai responsabil și mai eficient prin</w:t>
      </w:r>
      <w:r>
        <w:rPr>
          <w:rFonts w:ascii="Times New Roman" w:hAnsi="Times New Roman" w:cs="Times New Roman"/>
          <w:sz w:val="24"/>
          <w:szCs w:val="24"/>
        </w:rPr>
        <w:t xml:space="preserve"> </w:t>
      </w:r>
      <w:r w:rsidRPr="00BD4DC9">
        <w:rPr>
          <w:rFonts w:ascii="Times New Roman" w:hAnsi="Times New Roman" w:cs="Times New Roman"/>
          <w:sz w:val="24"/>
          <w:szCs w:val="24"/>
        </w:rPr>
        <w:t>promovarea transparenţei guvernamentale, încurajarea participării civice la viaţa publică,</w:t>
      </w:r>
      <w:r>
        <w:rPr>
          <w:rFonts w:ascii="Times New Roman" w:hAnsi="Times New Roman" w:cs="Times New Roman"/>
          <w:sz w:val="24"/>
          <w:szCs w:val="24"/>
        </w:rPr>
        <w:t xml:space="preserve"> </w:t>
      </w:r>
      <w:r w:rsidRPr="00BD4DC9">
        <w:rPr>
          <w:rFonts w:ascii="Times New Roman" w:hAnsi="Times New Roman" w:cs="Times New Roman"/>
          <w:sz w:val="24"/>
          <w:szCs w:val="24"/>
        </w:rPr>
        <w:t>folosirea noilor tehnologii în administrație şi combaterea corupţiei.</w:t>
      </w:r>
    </w:p>
    <w:p w:rsidR="002152F1" w:rsidRPr="00BD4DC9" w:rsidRDefault="002152F1" w:rsidP="002152F1">
      <w:pPr>
        <w:spacing w:line="360" w:lineRule="auto"/>
        <w:ind w:firstLine="720"/>
        <w:jc w:val="both"/>
        <w:rPr>
          <w:rFonts w:ascii="Times New Roman" w:hAnsi="Times New Roman" w:cs="Times New Roman"/>
          <w:sz w:val="24"/>
          <w:szCs w:val="24"/>
        </w:rPr>
      </w:pPr>
      <w:r w:rsidRPr="00BD4DC9">
        <w:rPr>
          <w:rFonts w:ascii="Times New Roman" w:hAnsi="Times New Roman" w:cs="Times New Roman"/>
          <w:sz w:val="24"/>
          <w:szCs w:val="24"/>
        </w:rPr>
        <w:t>Aceste obiective s-au reflectat în primele angajamente ale Guvernului României, asumate prin</w:t>
      </w:r>
      <w:r>
        <w:rPr>
          <w:rFonts w:ascii="Times New Roman" w:hAnsi="Times New Roman" w:cs="Times New Roman"/>
          <w:sz w:val="24"/>
          <w:szCs w:val="24"/>
        </w:rPr>
        <w:t xml:space="preserve"> </w:t>
      </w:r>
      <w:r w:rsidRPr="00BD4DC9">
        <w:rPr>
          <w:rFonts w:ascii="Times New Roman" w:hAnsi="Times New Roman" w:cs="Times New Roman"/>
          <w:sz w:val="24"/>
          <w:szCs w:val="24"/>
        </w:rPr>
        <w:t>Memorandumul de aprobare a primului Plan național de acțiune (iulie 2012-iunie 2014), și</w:t>
      </w:r>
      <w:r>
        <w:rPr>
          <w:rFonts w:ascii="Times New Roman" w:hAnsi="Times New Roman" w:cs="Times New Roman"/>
          <w:sz w:val="24"/>
          <w:szCs w:val="24"/>
        </w:rPr>
        <w:t xml:space="preserve"> </w:t>
      </w:r>
      <w:r w:rsidRPr="00BD4DC9">
        <w:rPr>
          <w:rFonts w:ascii="Times New Roman" w:hAnsi="Times New Roman" w:cs="Times New Roman"/>
          <w:sz w:val="24"/>
          <w:szCs w:val="24"/>
        </w:rPr>
        <w:t>s-au concretizat în special printr-o serie de măsuri privind deschiderea și împărtășirea datelor</w:t>
      </w:r>
      <w:r>
        <w:rPr>
          <w:rFonts w:ascii="Times New Roman" w:hAnsi="Times New Roman" w:cs="Times New Roman"/>
          <w:sz w:val="24"/>
          <w:szCs w:val="24"/>
        </w:rPr>
        <w:t xml:space="preserve"> </w:t>
      </w:r>
      <w:r w:rsidRPr="00BD4DC9">
        <w:rPr>
          <w:rFonts w:ascii="Times New Roman" w:hAnsi="Times New Roman" w:cs="Times New Roman"/>
          <w:sz w:val="24"/>
          <w:szCs w:val="24"/>
        </w:rPr>
        <w:t>publice și încurajarea dialogului între reprezentanții administrației și societatea civilă.</w:t>
      </w:r>
    </w:p>
    <w:p w:rsidR="002152F1" w:rsidRDefault="002152F1" w:rsidP="002152F1">
      <w:pPr>
        <w:spacing w:line="360" w:lineRule="auto"/>
        <w:ind w:firstLine="720"/>
        <w:jc w:val="both"/>
        <w:rPr>
          <w:rFonts w:ascii="Times New Roman" w:hAnsi="Times New Roman" w:cs="Times New Roman"/>
          <w:sz w:val="24"/>
          <w:szCs w:val="24"/>
        </w:rPr>
      </w:pPr>
      <w:r w:rsidRPr="00ED4387">
        <w:rPr>
          <w:rFonts w:ascii="Times New Roman" w:hAnsi="Times New Roman" w:cs="Times New Roman"/>
          <w:sz w:val="24"/>
          <w:szCs w:val="24"/>
        </w:rPr>
        <w:t>Procesul de elaborare de acte cu caracter normativ a înregistrat, de la intrarea în vigoare a legii 52, potrivit rapoartelor sectoriale primite, un număr exagerat de proiecte de acte normative, în primul rând la nivel local, multe dint</w:t>
      </w:r>
      <w:r>
        <w:rPr>
          <w:rFonts w:ascii="Times New Roman" w:hAnsi="Times New Roman" w:cs="Times New Roman"/>
          <w:sz w:val="24"/>
          <w:szCs w:val="24"/>
        </w:rPr>
        <w:t xml:space="preserve">re ele fără a avea caracterul </w:t>
      </w:r>
      <w:r w:rsidRPr="00ED4387">
        <w:rPr>
          <w:rFonts w:ascii="Times New Roman" w:hAnsi="Times New Roman" w:cs="Times New Roman"/>
          <w:sz w:val="24"/>
          <w:szCs w:val="24"/>
        </w:rPr>
        <w:t xml:space="preserve">normativ necesar, potrivit prevederilor legii transparenţei decizionale. Înregistrarea neunitară a acestor proiecte în rapoartele anuale şi confuzia între deciziile ordinare şi cele cu caracter normativ ridică în mod nejustificat numărul lor pe parcursul unui an. </w:t>
      </w:r>
    </w:p>
    <w:p w:rsidR="002152F1" w:rsidRDefault="002152F1" w:rsidP="002152F1">
      <w:pPr>
        <w:spacing w:line="360" w:lineRule="auto"/>
        <w:ind w:firstLine="720"/>
        <w:jc w:val="both"/>
        <w:rPr>
          <w:rFonts w:ascii="Times New Roman" w:hAnsi="Times New Roman" w:cs="Times New Roman"/>
          <w:sz w:val="24"/>
          <w:szCs w:val="24"/>
        </w:rPr>
      </w:pPr>
      <w:r w:rsidRPr="00ED4387">
        <w:rPr>
          <w:rFonts w:ascii="Times New Roman" w:hAnsi="Times New Roman" w:cs="Times New Roman"/>
          <w:sz w:val="24"/>
          <w:szCs w:val="24"/>
        </w:rPr>
        <w:t xml:space="preserve">Procentul recomandărilor incluse în actele normative adoptate creşte constant, mai ales după completarea legii, dar nu există încă dovezi consistente că autorităţile şi instituţiile publice ar promova în mod susţinut implicarea cetăţenilor şi organizaţiilor neguvernamentale în procesul decizional, potrivit legii. </w:t>
      </w:r>
    </w:p>
    <w:p w:rsidR="002152F1" w:rsidRDefault="002152F1" w:rsidP="002152F1">
      <w:pPr>
        <w:spacing w:line="360" w:lineRule="auto"/>
        <w:ind w:firstLine="720"/>
        <w:jc w:val="both"/>
        <w:rPr>
          <w:rFonts w:ascii="Times New Roman" w:hAnsi="Times New Roman" w:cs="Times New Roman"/>
          <w:sz w:val="24"/>
          <w:szCs w:val="24"/>
        </w:rPr>
      </w:pPr>
      <w:r w:rsidRPr="00ED4387">
        <w:rPr>
          <w:rFonts w:ascii="Times New Roman" w:hAnsi="Times New Roman" w:cs="Times New Roman"/>
          <w:sz w:val="24"/>
          <w:szCs w:val="24"/>
        </w:rPr>
        <w:t xml:space="preserve">Deşi este vorba de cazuri punctuale, intervenţia în justiţie pentru nerespectarea legii transparenţei decizionale conduce, invariabil, la pierderea proceselor de către autorităţile publice, cu repercusiuni grave pentru imaginea şi credibilitatea lor. Funcţionarea concomitentă a legilor 544 şi 52, dar şi a altor acte normative din domeniul transparenţei instituţionale, a ridicat valoarea socială a procesului decizional şi justiţia intervine prompt atunci când este sesizată. Este vorba despre un aspect calitativ ale funcţionării administraţiei publice pe care unele organizaţii </w:t>
      </w:r>
      <w:r w:rsidRPr="00ED4387">
        <w:rPr>
          <w:rFonts w:ascii="Times New Roman" w:hAnsi="Times New Roman" w:cs="Times New Roman"/>
          <w:sz w:val="24"/>
          <w:szCs w:val="24"/>
        </w:rPr>
        <w:lastRenderedPageBreak/>
        <w:t xml:space="preserve">neguvernamentale l-au apreciat în mod just, dar nu toate autorităţile şi instituţiile publice sunt conştiente de schimbarea indusă de aceste legi. </w:t>
      </w:r>
    </w:p>
    <w:p w:rsidR="002152F1" w:rsidRDefault="002152F1" w:rsidP="002152F1">
      <w:pPr>
        <w:spacing w:line="360" w:lineRule="auto"/>
        <w:ind w:firstLine="720"/>
        <w:jc w:val="both"/>
        <w:rPr>
          <w:rFonts w:ascii="Times New Roman" w:hAnsi="Times New Roman" w:cs="Times New Roman"/>
          <w:sz w:val="24"/>
          <w:szCs w:val="24"/>
        </w:rPr>
      </w:pPr>
      <w:r w:rsidRPr="005F5BFD">
        <w:rPr>
          <w:rFonts w:ascii="Times New Roman" w:hAnsi="Times New Roman" w:cs="Times New Roman"/>
          <w:sz w:val="24"/>
          <w:szCs w:val="24"/>
        </w:rPr>
        <w:t>Funcţionarea concomitentă a legilor 544 şi 52, dar şi a altor acte normative din domeniul transparenţei instituţionale, a ridicat valoarea socială a procesului decizional şi justiţia intervine prompt atunci când este sesizată. Este vorba despre un aspect calitativ ale funcţionării administraţiei publice pe care organizaţiile societății civile îl au în vedere destul de consecvent.</w:t>
      </w:r>
    </w:p>
    <w:p w:rsidR="002152F1" w:rsidRPr="005F5BFD" w:rsidRDefault="002152F1" w:rsidP="002152F1">
      <w:pPr>
        <w:spacing w:line="360" w:lineRule="auto"/>
        <w:ind w:firstLine="720"/>
        <w:jc w:val="both"/>
        <w:rPr>
          <w:rFonts w:ascii="Times New Roman" w:hAnsi="Times New Roman" w:cs="Times New Roman"/>
          <w:b/>
          <w:sz w:val="24"/>
          <w:szCs w:val="24"/>
        </w:rPr>
      </w:pPr>
      <w:r w:rsidRPr="005F5BFD">
        <w:rPr>
          <w:rFonts w:ascii="Times New Roman" w:hAnsi="Times New Roman" w:cs="Times New Roman"/>
          <w:sz w:val="24"/>
          <w:szCs w:val="24"/>
        </w:rPr>
        <w:t xml:space="preserve"> În final, se poate afirma, ca o recomandare generală, valabilă întotdeauna, că acolo unde accesul liber şi neîngrădit la informaţiile de interes public este regula, iar limitarea accesului la informaţie – excepţia, principii precum informarea, consultarea şi participarea activă a cetăţenilor la luarea deciziilor şi la procesul de elaborare a proiectelor de acte normative sunt piloni de bază ai activităţii administrative. În acest context, evaluarea parteneriatului cu cetăţenii şi asociaţiile legal constituite devine indicatorul-pivot pentru buna aplicare a Legii nr.52</w:t>
      </w:r>
    </w:p>
    <w:p w:rsidR="00767FE6" w:rsidRDefault="00767FE6" w:rsidP="00767FE6">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În cadrul proiectului SIPOCA 35 </w:t>
      </w:r>
      <w:r w:rsidRPr="00781DBC">
        <w:rPr>
          <w:rFonts w:ascii="Times New Roman" w:hAnsi="Times New Roman" w:cs="Times New Roman"/>
          <w:b/>
          <w:sz w:val="24"/>
          <w:szCs w:val="24"/>
          <w:lang w:val="ro-RO"/>
        </w:rPr>
        <w:t>“Guvernare transparentă, deschisă și participativă-standardizare, armonizare, dialog îmbunătățit”</w:t>
      </w:r>
      <w:r>
        <w:rPr>
          <w:rFonts w:ascii="Times New Roman" w:hAnsi="Times New Roman" w:cs="Times New Roman"/>
          <w:b/>
          <w:sz w:val="24"/>
          <w:szCs w:val="24"/>
          <w:lang w:val="ro-RO"/>
        </w:rPr>
        <w:t xml:space="preserve">, </w:t>
      </w:r>
      <w:r>
        <w:rPr>
          <w:rFonts w:ascii="Times New Roman" w:hAnsi="Times New Roman" w:cs="Times New Roman"/>
          <w:sz w:val="24"/>
          <w:szCs w:val="24"/>
          <w:lang w:val="ro-RO"/>
        </w:rPr>
        <w:t>s-</w:t>
      </w:r>
      <w:r w:rsidRPr="00781DBC">
        <w:rPr>
          <w:rFonts w:ascii="Times New Roman" w:hAnsi="Times New Roman" w:cs="Times New Roman"/>
          <w:sz w:val="24"/>
          <w:szCs w:val="24"/>
          <w:lang w:val="ro-RO"/>
        </w:rPr>
        <w:t xml:space="preserve">a </w:t>
      </w:r>
      <w:r>
        <w:rPr>
          <w:rFonts w:ascii="Times New Roman" w:hAnsi="Times New Roman" w:cs="Times New Roman"/>
          <w:sz w:val="24"/>
          <w:szCs w:val="24"/>
          <w:lang w:val="ro-RO"/>
        </w:rPr>
        <w:t>procedat la realizarea unei evaluări-diagnoză a stadiului actual al respectării prevederilor legale în ceea ce privește afișarea din oficiu a informațiilor privind transparența decizională și a informațiilor de interes public pe paginile web ale instituțiilor din grupul țintă.</w:t>
      </w:r>
    </w:p>
    <w:p w:rsidR="00767FE6" w:rsidRDefault="00767FE6" w:rsidP="00767FE6">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Printre instrumentele utilizate au fost un chestionar on-line cuprinzând 43 de întrebări ce au vizat obligațiile din Memorandum-ul </w:t>
      </w:r>
      <w:r w:rsidRPr="00AB5A1F">
        <w:rPr>
          <w:rFonts w:ascii="Times New Roman" w:hAnsi="Times New Roman" w:cs="Times New Roman"/>
          <w:b/>
          <w:sz w:val="24"/>
          <w:szCs w:val="24"/>
          <w:lang w:val="ro-RO"/>
        </w:rPr>
        <w:t>”Creșterea transparenței și standardizarea afișării informațiilor de interes public”</w:t>
      </w:r>
      <w:r>
        <w:rPr>
          <w:rFonts w:ascii="Times New Roman" w:hAnsi="Times New Roman" w:cs="Times New Roman"/>
          <w:sz w:val="24"/>
          <w:szCs w:val="24"/>
          <w:lang w:val="ro-RO"/>
        </w:rPr>
        <w:t xml:space="preserve">, legea 52/2003  privind transparența decizionala în administrația publică și legea 544/2001 privind liberul acces la informațiile de interes public împreună cu H.G. 123/2002 pentru aprobarea Normelor metodologice de aplicare a legii 544/2001. </w:t>
      </w:r>
    </w:p>
    <w:p w:rsidR="00767FE6" w:rsidRPr="00781DBC" w:rsidRDefault="00767FE6" w:rsidP="00767FE6">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S-a mai utilizat, de asemenea, și un tablou de bord ce a verificat 23 de indicatori, informații pe care legislația în materie le prescrie a fi obligatorii de publicat, pe paginile web ale celor 211 instituții vizate.</w:t>
      </w:r>
    </w:p>
    <w:p w:rsidR="00767FE6" w:rsidRDefault="00767FE6" w:rsidP="00767FE6">
      <w:pPr>
        <w:ind w:firstLine="720"/>
        <w:jc w:val="both"/>
        <w:rPr>
          <w:rFonts w:ascii="Times New Roman" w:hAnsi="Times New Roman" w:cs="Times New Roman"/>
          <w:sz w:val="24"/>
          <w:szCs w:val="24"/>
          <w:lang w:val="ro-RO"/>
        </w:rPr>
      </w:pPr>
      <w:r>
        <w:rPr>
          <w:rFonts w:ascii="Times New Roman" w:hAnsi="Times New Roman" w:cs="Times New Roman"/>
          <w:sz w:val="24"/>
          <w:szCs w:val="24"/>
          <w:lang w:val="ro-RO"/>
        </w:rPr>
        <w:t>Indicatorii vizați în cadrul monitorizării și întocmirii tabloului de bord, au fost următorii:</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Acte normative de funcționare și organizare a structurii</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Structura organizatorică</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Atribuțiile departamentelor</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lastRenderedPageBreak/>
        <w:t>Programul de funcționare</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Programul de audiențe</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Numele și prenumele persoanelor din conducere și ale funcționarului public responsabil cu difuzarea informațiilor publice</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Datele de contact ale instituției</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Sursele financiare</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Bugetul pentru anul 2017</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Bilanțul contabil</w:t>
      </w:r>
      <w:r>
        <w:rPr>
          <w:rFonts w:ascii="Times New Roman" w:hAnsi="Times New Roman" w:cs="Times New Roman"/>
          <w:sz w:val="24"/>
          <w:szCs w:val="24"/>
          <w:lang w:val="ro-RO"/>
        </w:rPr>
        <w:t xml:space="preserve"> </w:t>
      </w:r>
      <w:r w:rsidRPr="001D01A0">
        <w:rPr>
          <w:rFonts w:ascii="Times New Roman" w:hAnsi="Times New Roman" w:cs="Times New Roman"/>
          <w:sz w:val="24"/>
          <w:szCs w:val="24"/>
          <w:lang w:val="ro-RO"/>
        </w:rPr>
        <w:t>pentru anul 2016</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Programele și strategiile proprii</w:t>
      </w:r>
      <w:r>
        <w:rPr>
          <w:rFonts w:ascii="Times New Roman" w:hAnsi="Times New Roman" w:cs="Times New Roman"/>
          <w:sz w:val="24"/>
          <w:szCs w:val="24"/>
          <w:lang w:val="ro-RO"/>
        </w:rPr>
        <w:t xml:space="preserve"> </w:t>
      </w:r>
      <w:r w:rsidRPr="001D01A0">
        <w:rPr>
          <w:rFonts w:ascii="Times New Roman" w:hAnsi="Times New Roman" w:cs="Times New Roman"/>
          <w:sz w:val="24"/>
          <w:szCs w:val="24"/>
          <w:lang w:val="ro-RO"/>
        </w:rPr>
        <w:t>(2017)</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Lista cu documente de interes public</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Lista cu categoriile de documente produse / gestionate conform legii</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Modalitati de contestare ale deciziilor autorității publice</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Raport periodic 544 pentru anul 2016</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Raport periodic Legea 52/2003 pentru anul 2016</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Pr>
          <w:rFonts w:ascii="Times New Roman" w:hAnsi="Times New Roman" w:cs="Times New Roman"/>
          <w:sz w:val="24"/>
          <w:szCs w:val="24"/>
          <w:lang w:val="ro-RO"/>
        </w:rPr>
        <w:t>Planul anual de a</w:t>
      </w:r>
      <w:r w:rsidRPr="001D01A0">
        <w:rPr>
          <w:rFonts w:ascii="Times New Roman" w:hAnsi="Times New Roman" w:cs="Times New Roman"/>
          <w:sz w:val="24"/>
          <w:szCs w:val="24"/>
          <w:lang w:val="ro-RO"/>
        </w:rPr>
        <w:t>chiziții publice</w:t>
      </w:r>
      <w:r>
        <w:rPr>
          <w:rFonts w:ascii="Times New Roman" w:hAnsi="Times New Roman" w:cs="Times New Roman"/>
          <w:sz w:val="24"/>
          <w:szCs w:val="24"/>
          <w:lang w:val="ro-RO"/>
        </w:rPr>
        <w:t xml:space="preserve"> </w:t>
      </w:r>
      <w:r w:rsidRPr="001D01A0">
        <w:rPr>
          <w:rFonts w:ascii="Times New Roman" w:hAnsi="Times New Roman" w:cs="Times New Roman"/>
          <w:sz w:val="24"/>
          <w:szCs w:val="24"/>
          <w:lang w:val="ro-RO"/>
        </w:rPr>
        <w:t>2016</w:t>
      </w:r>
      <w:r>
        <w:rPr>
          <w:rFonts w:ascii="Times New Roman" w:hAnsi="Times New Roman" w:cs="Times New Roman"/>
          <w:sz w:val="24"/>
          <w:szCs w:val="24"/>
          <w:lang w:val="ro-RO"/>
        </w:rPr>
        <w:t>;</w:t>
      </w:r>
    </w:p>
    <w:p w:rsidR="00767FE6" w:rsidRDefault="00767FE6" w:rsidP="00767FE6">
      <w:pPr>
        <w:pStyle w:val="ListParagraph"/>
        <w:numPr>
          <w:ilvl w:val="0"/>
          <w:numId w:val="9"/>
        </w:numPr>
        <w:spacing w:after="160" w:line="259" w:lineRule="auto"/>
        <w:jc w:val="both"/>
        <w:rPr>
          <w:rFonts w:ascii="Times New Roman" w:hAnsi="Times New Roman" w:cs="Times New Roman"/>
          <w:sz w:val="24"/>
          <w:szCs w:val="24"/>
          <w:lang w:val="ro-RO"/>
        </w:rPr>
      </w:pPr>
      <w:r w:rsidRPr="001D01A0">
        <w:rPr>
          <w:rFonts w:ascii="Times New Roman" w:hAnsi="Times New Roman" w:cs="Times New Roman"/>
          <w:sz w:val="24"/>
          <w:szCs w:val="24"/>
          <w:lang w:val="ro-RO"/>
        </w:rPr>
        <w:t>Raport de activitate</w:t>
      </w:r>
      <w:r>
        <w:rPr>
          <w:rFonts w:ascii="Times New Roman" w:hAnsi="Times New Roman" w:cs="Times New Roman"/>
          <w:sz w:val="24"/>
          <w:szCs w:val="24"/>
          <w:lang w:val="ro-RO"/>
        </w:rPr>
        <w:t xml:space="preserve"> pentru anul</w:t>
      </w:r>
      <w:r w:rsidRPr="001D01A0">
        <w:rPr>
          <w:rFonts w:ascii="Times New Roman" w:hAnsi="Times New Roman" w:cs="Times New Roman"/>
          <w:sz w:val="24"/>
          <w:szCs w:val="24"/>
          <w:lang w:val="ro-RO"/>
        </w:rPr>
        <w:t xml:space="preserve"> 2016</w:t>
      </w:r>
      <w:r>
        <w:rPr>
          <w:rFonts w:ascii="Times New Roman" w:hAnsi="Times New Roman" w:cs="Times New Roman"/>
          <w:sz w:val="24"/>
          <w:szCs w:val="24"/>
          <w:lang w:val="ro-RO"/>
        </w:rPr>
        <w:t>.</w:t>
      </w:r>
    </w:p>
    <w:p w:rsidR="00767FE6" w:rsidRDefault="00767FE6" w:rsidP="00767FE6">
      <w:pPr>
        <w:pStyle w:val="ListParagraph"/>
        <w:ind w:left="1440"/>
        <w:jc w:val="both"/>
        <w:rPr>
          <w:rFonts w:ascii="Times New Roman" w:hAnsi="Times New Roman" w:cs="Times New Roman"/>
          <w:sz w:val="24"/>
          <w:szCs w:val="24"/>
          <w:lang w:val="ro-RO"/>
        </w:rPr>
      </w:pPr>
    </w:p>
    <w:p w:rsidR="00767FE6" w:rsidRPr="00767FE6" w:rsidRDefault="00767FE6" w:rsidP="000B5053">
      <w:pPr>
        <w:spacing w:line="360" w:lineRule="auto"/>
        <w:ind w:left="720" w:firstLine="360"/>
        <w:jc w:val="both"/>
        <w:rPr>
          <w:rFonts w:ascii="Times New Roman" w:hAnsi="Times New Roman" w:cs="Times New Roman"/>
          <w:b/>
          <w:sz w:val="24"/>
          <w:szCs w:val="24"/>
        </w:rPr>
      </w:pPr>
      <w:r w:rsidRPr="00767FE6">
        <w:rPr>
          <w:rFonts w:ascii="Times New Roman" w:hAnsi="Times New Roman" w:cs="Times New Roman"/>
          <w:sz w:val="24"/>
          <w:szCs w:val="24"/>
        </w:rPr>
        <w:t xml:space="preserve">În </w:t>
      </w:r>
      <w:r>
        <w:rPr>
          <w:rFonts w:ascii="Times New Roman" w:hAnsi="Times New Roman" w:cs="Times New Roman"/>
          <w:sz w:val="24"/>
          <w:szCs w:val="24"/>
        </w:rPr>
        <w:t xml:space="preserve">ceea </w:t>
      </w:r>
      <w:r w:rsidRPr="00767FE6">
        <w:rPr>
          <w:rFonts w:ascii="Times New Roman" w:hAnsi="Times New Roman" w:cs="Times New Roman"/>
          <w:sz w:val="24"/>
          <w:szCs w:val="24"/>
        </w:rPr>
        <w:t>ce urmează</w:t>
      </w:r>
      <w:r>
        <w:rPr>
          <w:rFonts w:ascii="Times New Roman" w:hAnsi="Times New Roman" w:cs="Times New Roman"/>
          <w:sz w:val="24"/>
          <w:szCs w:val="24"/>
        </w:rPr>
        <w:t xml:space="preserve">, prezentăm situația </w:t>
      </w:r>
      <w:r w:rsidR="00AC228D">
        <w:rPr>
          <w:rFonts w:ascii="Times New Roman" w:hAnsi="Times New Roman" w:cs="Times New Roman"/>
          <w:sz w:val="24"/>
          <w:szCs w:val="24"/>
        </w:rPr>
        <w:t xml:space="preserve">implementării de către cele 211 instituții </w:t>
      </w:r>
      <w:r w:rsidR="00904C52">
        <w:rPr>
          <w:rFonts w:ascii="Times New Roman" w:hAnsi="Times New Roman" w:cs="Times New Roman"/>
          <w:sz w:val="24"/>
          <w:szCs w:val="24"/>
        </w:rPr>
        <w:t>menționate anterior</w:t>
      </w:r>
      <w:r w:rsidR="00AC228D">
        <w:rPr>
          <w:rFonts w:ascii="Times New Roman" w:hAnsi="Times New Roman" w:cs="Times New Roman"/>
          <w:sz w:val="24"/>
          <w:szCs w:val="24"/>
        </w:rPr>
        <w:t xml:space="preserve">, </w:t>
      </w:r>
      <w:r w:rsidR="000372CE">
        <w:rPr>
          <w:rFonts w:ascii="Times New Roman" w:hAnsi="Times New Roman" w:cs="Times New Roman"/>
          <w:sz w:val="24"/>
          <w:szCs w:val="24"/>
        </w:rPr>
        <w:t>respectării și implementării</w:t>
      </w:r>
      <w:bookmarkStart w:id="0" w:name="_GoBack"/>
      <w:bookmarkEnd w:id="0"/>
      <w:r w:rsidR="00AC228D">
        <w:rPr>
          <w:rFonts w:ascii="Times New Roman" w:hAnsi="Times New Roman" w:cs="Times New Roman"/>
          <w:sz w:val="24"/>
          <w:szCs w:val="24"/>
        </w:rPr>
        <w:t xml:space="preserve"> prevederilor legii 52/2003 </w:t>
      </w:r>
      <w:r w:rsidR="000B5053">
        <w:rPr>
          <w:rFonts w:ascii="Times New Roman" w:hAnsi="Times New Roman" w:cs="Times New Roman"/>
          <w:sz w:val="24"/>
          <w:szCs w:val="24"/>
          <w:lang w:val="ro-RO"/>
        </w:rPr>
        <w:t>privind transparența decizionala în administrația publică și legea 544/2001 privind liberul acces la informațiile de interes public împreună cu H.G. 123/2002 pentru aprobarea Normelor metodologice de aplicare a legii 544/2001.</w:t>
      </w:r>
    </w:p>
    <w:p w:rsidR="00767FE6" w:rsidRPr="00767FE6" w:rsidRDefault="00767FE6" w:rsidP="00A2289F">
      <w:pPr>
        <w:spacing w:line="360" w:lineRule="auto"/>
        <w:jc w:val="center"/>
        <w:rPr>
          <w:rFonts w:ascii="Times New Roman" w:hAnsi="Times New Roman" w:cs="Times New Roman"/>
          <w:b/>
          <w:sz w:val="24"/>
          <w:szCs w:val="24"/>
        </w:rPr>
      </w:pPr>
    </w:p>
    <w:p w:rsidR="00767FE6" w:rsidRPr="00767FE6" w:rsidRDefault="00767FE6" w:rsidP="00A2289F">
      <w:pPr>
        <w:spacing w:line="360" w:lineRule="auto"/>
        <w:jc w:val="center"/>
        <w:rPr>
          <w:rFonts w:ascii="Times New Roman" w:hAnsi="Times New Roman" w:cs="Times New Roman"/>
          <w:b/>
          <w:sz w:val="24"/>
          <w:szCs w:val="24"/>
        </w:rPr>
      </w:pPr>
    </w:p>
    <w:p w:rsidR="00767FE6" w:rsidRDefault="00767FE6" w:rsidP="00A2289F">
      <w:pPr>
        <w:spacing w:line="360" w:lineRule="auto"/>
        <w:jc w:val="center"/>
        <w:rPr>
          <w:rFonts w:ascii="Times New Roman" w:hAnsi="Times New Roman" w:cs="Times New Roman"/>
          <w:b/>
          <w:sz w:val="32"/>
          <w:szCs w:val="32"/>
        </w:rPr>
      </w:pPr>
    </w:p>
    <w:p w:rsidR="00767FE6" w:rsidRDefault="00767FE6" w:rsidP="00A2289F">
      <w:pPr>
        <w:spacing w:line="360" w:lineRule="auto"/>
        <w:jc w:val="center"/>
        <w:rPr>
          <w:rFonts w:ascii="Times New Roman" w:hAnsi="Times New Roman" w:cs="Times New Roman"/>
          <w:b/>
          <w:sz w:val="32"/>
          <w:szCs w:val="32"/>
        </w:rPr>
      </w:pPr>
    </w:p>
    <w:p w:rsidR="00767FE6" w:rsidRDefault="00767FE6" w:rsidP="00A2289F">
      <w:pPr>
        <w:spacing w:line="360" w:lineRule="auto"/>
        <w:jc w:val="center"/>
        <w:rPr>
          <w:rFonts w:ascii="Times New Roman" w:hAnsi="Times New Roman" w:cs="Times New Roman"/>
          <w:b/>
          <w:sz w:val="32"/>
          <w:szCs w:val="32"/>
        </w:rPr>
      </w:pPr>
    </w:p>
    <w:p w:rsidR="00767FE6" w:rsidRDefault="00767FE6" w:rsidP="00A2289F">
      <w:pPr>
        <w:spacing w:line="360" w:lineRule="auto"/>
        <w:jc w:val="center"/>
        <w:rPr>
          <w:rFonts w:ascii="Times New Roman" w:hAnsi="Times New Roman" w:cs="Times New Roman"/>
          <w:b/>
          <w:sz w:val="32"/>
          <w:szCs w:val="32"/>
        </w:rPr>
      </w:pPr>
    </w:p>
    <w:p w:rsidR="00D6215F" w:rsidRDefault="00D6215F" w:rsidP="00A2289F">
      <w:pPr>
        <w:spacing w:line="360" w:lineRule="auto"/>
        <w:jc w:val="center"/>
        <w:rPr>
          <w:rFonts w:ascii="Times New Roman" w:hAnsi="Times New Roman" w:cs="Times New Roman"/>
          <w:b/>
          <w:sz w:val="32"/>
          <w:szCs w:val="32"/>
        </w:rPr>
        <w:sectPr w:rsidR="00D6215F" w:rsidSect="00FD268F">
          <w:headerReference w:type="default" r:id="rId8"/>
          <w:footerReference w:type="default" r:id="rId9"/>
          <w:pgSz w:w="12240" w:h="15840"/>
          <w:pgMar w:top="1440" w:right="1440" w:bottom="1440" w:left="1440" w:header="720" w:footer="720" w:gutter="0"/>
          <w:cols w:space="720"/>
          <w:docGrid w:linePitch="360"/>
        </w:sectPr>
      </w:pPr>
    </w:p>
    <w:p w:rsidR="00FF225D" w:rsidRPr="00A2289F" w:rsidRDefault="00FF225D" w:rsidP="00A2289F">
      <w:pPr>
        <w:spacing w:line="360" w:lineRule="auto"/>
        <w:jc w:val="center"/>
        <w:rPr>
          <w:rFonts w:ascii="Times New Roman" w:hAnsi="Times New Roman" w:cs="Times New Roman"/>
          <w:b/>
          <w:sz w:val="32"/>
          <w:szCs w:val="32"/>
          <w:lang w:val="ro-RO"/>
        </w:rPr>
      </w:pPr>
      <w:r w:rsidRPr="00A2289F">
        <w:rPr>
          <w:rFonts w:ascii="Times New Roman" w:hAnsi="Times New Roman" w:cs="Times New Roman"/>
          <w:b/>
          <w:sz w:val="32"/>
          <w:szCs w:val="32"/>
        </w:rPr>
        <w:lastRenderedPageBreak/>
        <w:t>Evaluare - diagnoză națională cuprinzând grupul țintă</w:t>
      </w:r>
    </w:p>
    <w:p w:rsidR="00FF225D" w:rsidRPr="00A2289F" w:rsidRDefault="00FF225D" w:rsidP="00A2289F">
      <w:pPr>
        <w:spacing w:line="360" w:lineRule="auto"/>
        <w:jc w:val="both"/>
        <w:rPr>
          <w:rFonts w:ascii="Times New Roman" w:hAnsi="Times New Roman" w:cs="Times New Roman"/>
          <w:b/>
        </w:rPr>
      </w:pPr>
      <w:r w:rsidRPr="00A2289F">
        <w:rPr>
          <w:rFonts w:ascii="Times New Roman" w:hAnsi="Times New Roman" w:cs="Times New Roman"/>
          <w:b/>
        </w:rPr>
        <w:t>Consilii Județene</w:t>
      </w:r>
    </w:p>
    <w:p w:rsidR="00FF225D" w:rsidRDefault="00FF225D" w:rsidP="00A2289F">
      <w:pPr>
        <w:spacing w:line="360" w:lineRule="auto"/>
        <w:jc w:val="both"/>
        <w:rPr>
          <w:lang w:val="ro-RO"/>
        </w:rPr>
      </w:pPr>
      <w:r w:rsidRPr="00F85598">
        <w:rPr>
          <w:noProof/>
        </w:rPr>
        <w:drawing>
          <wp:inline distT="0" distB="0" distL="0" distR="0">
            <wp:extent cx="8963025" cy="3857625"/>
            <wp:effectExtent l="19050" t="0" r="9525"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A0ABA" w:rsidRDefault="007A0ABA" w:rsidP="00A2289F">
      <w:pPr>
        <w:spacing w:line="360" w:lineRule="auto"/>
        <w:jc w:val="both"/>
        <w:rPr>
          <w:rFonts w:ascii="Times New Roman" w:hAnsi="Times New Roman" w:cs="Times New Roman"/>
          <w:b/>
          <w:sz w:val="24"/>
          <w:szCs w:val="24"/>
          <w:lang w:val="ro-RO"/>
        </w:rPr>
      </w:pPr>
    </w:p>
    <w:p w:rsidR="00FF225D" w:rsidRPr="00A2289F" w:rsidRDefault="00FF225D" w:rsidP="00A2289F">
      <w:pPr>
        <w:spacing w:line="360" w:lineRule="auto"/>
        <w:jc w:val="both"/>
        <w:rPr>
          <w:rFonts w:ascii="Times New Roman" w:hAnsi="Times New Roman" w:cs="Times New Roman"/>
          <w:b/>
          <w:sz w:val="24"/>
          <w:szCs w:val="24"/>
          <w:lang w:val="ro-RO"/>
        </w:rPr>
      </w:pPr>
      <w:r w:rsidRPr="00A2289F">
        <w:rPr>
          <w:rFonts w:ascii="Times New Roman" w:hAnsi="Times New Roman" w:cs="Times New Roman"/>
          <w:b/>
          <w:sz w:val="24"/>
          <w:szCs w:val="24"/>
          <w:lang w:val="ro-RO"/>
        </w:rPr>
        <w:lastRenderedPageBreak/>
        <w:t>Prefecturi</w:t>
      </w:r>
    </w:p>
    <w:p w:rsidR="00FF225D" w:rsidRDefault="00FF225D" w:rsidP="00A2289F">
      <w:pPr>
        <w:spacing w:line="360" w:lineRule="auto"/>
        <w:jc w:val="both"/>
        <w:rPr>
          <w:lang w:val="ro-RO"/>
        </w:rPr>
      </w:pPr>
      <w:r w:rsidRPr="004D4A1B">
        <w:rPr>
          <w:noProof/>
        </w:rPr>
        <w:drawing>
          <wp:inline distT="0" distB="0" distL="0" distR="0">
            <wp:extent cx="8934450" cy="3981450"/>
            <wp:effectExtent l="19050" t="0" r="1905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033B4" w:rsidRDefault="00FF225D" w:rsidP="00A2289F">
      <w:pPr>
        <w:spacing w:line="360" w:lineRule="auto"/>
        <w:jc w:val="both"/>
        <w:rPr>
          <w:rFonts w:ascii="Times New Roman" w:hAnsi="Times New Roman" w:cs="Times New Roman"/>
          <w:b/>
          <w:lang w:val="ro-RO"/>
        </w:rPr>
        <w:sectPr w:rsidR="002033B4" w:rsidSect="00D6215F">
          <w:pgSz w:w="15840" w:h="12240" w:orient="landscape"/>
          <w:pgMar w:top="1440" w:right="1440" w:bottom="1440" w:left="1440" w:header="720" w:footer="720" w:gutter="0"/>
          <w:cols w:space="720"/>
          <w:docGrid w:linePitch="360"/>
        </w:sectPr>
      </w:pPr>
      <w:r w:rsidRPr="00A2289F">
        <w:rPr>
          <w:rFonts w:ascii="Times New Roman" w:hAnsi="Times New Roman" w:cs="Times New Roman"/>
          <w:b/>
          <w:lang w:val="ro-RO"/>
        </w:rPr>
        <w:lastRenderedPageBreak/>
        <w:t>Ministere</w:t>
      </w:r>
      <w:r w:rsidRPr="0025367D">
        <w:rPr>
          <w:noProof/>
        </w:rPr>
        <w:drawing>
          <wp:inline distT="0" distB="0" distL="0" distR="0">
            <wp:extent cx="8601075" cy="4019550"/>
            <wp:effectExtent l="19050" t="0" r="9525"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874CF" w:rsidRPr="007F0F29" w:rsidRDefault="00A874CF" w:rsidP="00A2289F">
      <w:pPr>
        <w:spacing w:line="360" w:lineRule="auto"/>
        <w:jc w:val="both"/>
      </w:pPr>
      <w:r>
        <w:rPr>
          <w:noProof/>
        </w:rPr>
        <w:lastRenderedPageBreak/>
        <w:drawing>
          <wp:anchor distT="0" distB="0" distL="114300" distR="114300" simplePos="0" relativeHeight="251658240" behindDoc="0" locked="0" layoutInCell="1" allowOverlap="1">
            <wp:simplePos x="0" y="0"/>
            <wp:positionH relativeFrom="column">
              <wp:posOffset>66675</wp:posOffset>
            </wp:positionH>
            <wp:positionV relativeFrom="paragraph">
              <wp:posOffset>325755</wp:posOffset>
            </wp:positionV>
            <wp:extent cx="6934200" cy="8629650"/>
            <wp:effectExtent l="19050" t="0" r="19050" b="0"/>
            <wp:wrapSquare wrapText="bothSides"/>
            <wp:docPr id="1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t>Municipii</w:t>
      </w:r>
    </w:p>
    <w:p w:rsidR="00D31CDB" w:rsidRPr="00E3507A" w:rsidRDefault="004F7D26" w:rsidP="00A2289F">
      <w:pPr>
        <w:spacing w:line="360" w:lineRule="auto"/>
        <w:ind w:firstLine="720"/>
        <w:jc w:val="both"/>
        <w:rPr>
          <w:rFonts w:ascii="Times New Roman" w:hAnsi="Times New Roman" w:cs="Times New Roman"/>
          <w:b/>
          <w:sz w:val="24"/>
          <w:szCs w:val="24"/>
        </w:rPr>
      </w:pPr>
      <w:r w:rsidRPr="00E3507A">
        <w:rPr>
          <w:rFonts w:ascii="Times New Roman" w:hAnsi="Times New Roman" w:cs="Times New Roman"/>
          <w:b/>
          <w:sz w:val="24"/>
          <w:szCs w:val="24"/>
        </w:rPr>
        <w:lastRenderedPageBreak/>
        <w:t xml:space="preserve">Recomandări </w:t>
      </w:r>
    </w:p>
    <w:p w:rsidR="00D31CDB" w:rsidRDefault="00D31CDB" w:rsidP="00A2289F">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Este necesar ca procesul de monitorizare a aplicării Legii nr. 544/2001 să intre şi în România într-o nouă etapă, urmând ca, de acum încolo, să fie abordate cu prioritate aspecte de eficienţă şi responsabilitate, dincolo de aplicarea </w:t>
      </w:r>
      <w:r>
        <w:rPr>
          <w:rFonts w:ascii="Times New Roman" w:hAnsi="Times New Roman" w:cs="Times New Roman"/>
          <w:sz w:val="24"/>
          <w:szCs w:val="24"/>
        </w:rPr>
        <w:t xml:space="preserve">formală a prevederilor legii. </w:t>
      </w:r>
    </w:p>
    <w:p w:rsidR="002C7C11" w:rsidRPr="00D31CDB" w:rsidRDefault="00D31CDB" w:rsidP="00A2289F">
      <w:pPr>
        <w:spacing w:line="360" w:lineRule="auto"/>
        <w:ind w:firstLine="720"/>
        <w:jc w:val="both"/>
        <w:rPr>
          <w:rFonts w:ascii="Times New Roman" w:hAnsi="Times New Roman" w:cs="Times New Roman"/>
          <w:sz w:val="24"/>
          <w:szCs w:val="24"/>
        </w:rPr>
      </w:pPr>
      <w:r w:rsidRPr="00D31CDB">
        <w:rPr>
          <w:rFonts w:ascii="Times New Roman" w:hAnsi="Times New Roman" w:cs="Times New Roman"/>
          <w:sz w:val="24"/>
          <w:szCs w:val="24"/>
        </w:rPr>
        <w:t xml:space="preserve"> Modul în care autorităţile şi instituţiile publice efectuează informarea publică proactivă trebuie să fie un obiectiv principal a fiecărei autorităţi sau instituţii publice. </w:t>
      </w:r>
    </w:p>
    <w:p w:rsidR="00ED2190" w:rsidRDefault="00ED2190" w:rsidP="00A2289F">
      <w:pPr>
        <w:spacing w:line="360" w:lineRule="auto"/>
        <w:jc w:val="both"/>
        <w:rPr>
          <w:rFonts w:ascii="Times New Roman" w:hAnsi="Times New Roman" w:cs="Times New Roman"/>
          <w:color w:val="FF0000"/>
          <w:sz w:val="24"/>
          <w:szCs w:val="24"/>
        </w:rPr>
      </w:pPr>
    </w:p>
    <w:p w:rsidR="00ED2190" w:rsidRPr="00AC4438" w:rsidRDefault="00ED2190" w:rsidP="006A5A6A">
      <w:pPr>
        <w:pStyle w:val="NormalWeb"/>
        <w:spacing w:before="0" w:beforeAutospacing="0" w:after="0" w:afterAutospacing="0" w:line="360" w:lineRule="auto"/>
        <w:jc w:val="center"/>
        <w:rPr>
          <w:b/>
          <w:color w:val="FF0000"/>
        </w:rPr>
      </w:pPr>
      <w:r w:rsidRPr="00AC4438">
        <w:rPr>
          <w:b/>
          <w:color w:val="FF0000"/>
        </w:rPr>
        <w:t>MODEL de structurare a informaţiilor publicate din oficiu pe pagina web a unei instituţii publice</w:t>
      </w:r>
    </w:p>
    <w:p w:rsidR="00ED2190" w:rsidRPr="00ED2190" w:rsidRDefault="006A5A6A" w:rsidP="00A2289F">
      <w:pPr>
        <w:pStyle w:val="NormalWeb"/>
        <w:spacing w:before="0" w:beforeAutospacing="0" w:after="0" w:afterAutospacing="0" w:line="360" w:lineRule="auto"/>
        <w:jc w:val="both"/>
        <w:rPr>
          <w:color w:val="0000FF"/>
        </w:rPr>
      </w:pPr>
      <w:r>
        <w:rPr>
          <w:noProof/>
          <w:color w:val="0000FF"/>
        </w:rPr>
        <w:drawing>
          <wp:inline distT="0" distB="0" distL="0" distR="0">
            <wp:extent cx="5935980" cy="3939540"/>
            <wp:effectExtent l="0" t="0" r="0" b="0"/>
            <wp:docPr id="4" name="Picture 4" descr="C:\Users\OTILIA\AppData\Local\Microsoft\Windows\INetCache\Content.Word\anexa 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ILIA\AppData\Local\Microsoft\Windows\INetCache\Content.Word\anexa 12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5980" cy="3939540"/>
                    </a:xfrm>
                    <a:prstGeom prst="rect">
                      <a:avLst/>
                    </a:prstGeom>
                    <a:noFill/>
                    <a:ln>
                      <a:noFill/>
                    </a:ln>
                  </pic:spPr>
                </pic:pic>
              </a:graphicData>
            </a:graphic>
          </wp:inline>
        </w:drawing>
      </w:r>
    </w:p>
    <w:p w:rsidR="00ED2190" w:rsidRDefault="00ED2190" w:rsidP="00A2289F">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Courier New" w:hAnsi="Courier New" w:cs="Courier New"/>
          <w:color w:val="0000FF"/>
          <w:sz w:val="11"/>
          <w:szCs w:val="11"/>
        </w:rPr>
      </w:pPr>
    </w:p>
    <w:p w:rsidR="007A0ABA" w:rsidRDefault="007A0ABA" w:rsidP="00A2289F">
      <w:pPr>
        <w:pStyle w:val="NormalWeb"/>
        <w:spacing w:before="0" w:beforeAutospacing="0" w:after="0" w:afterAutospacing="0" w:line="360" w:lineRule="auto"/>
        <w:ind w:firstLine="720"/>
        <w:jc w:val="both"/>
      </w:pPr>
    </w:p>
    <w:p w:rsidR="00AC4438" w:rsidRPr="00AC4438" w:rsidRDefault="00AC4438" w:rsidP="00A2289F">
      <w:pPr>
        <w:pStyle w:val="NormalWeb"/>
        <w:spacing w:before="0" w:beforeAutospacing="0" w:after="0" w:afterAutospacing="0" w:line="360" w:lineRule="auto"/>
        <w:ind w:firstLine="720"/>
        <w:jc w:val="both"/>
      </w:pPr>
      <w:r w:rsidRPr="00AC4438">
        <w:lastRenderedPageBreak/>
        <w:t>Formatul documentelor comunicate din oficiu, în cazul în care acestea se regăsesc în instituţie într-un format prelucrabil automat de către calculator, va fi:</w:t>
      </w:r>
    </w:p>
    <w:p w:rsidR="00AC4438" w:rsidRPr="00AC4438" w:rsidRDefault="00AC4438" w:rsidP="00A2289F">
      <w:pPr>
        <w:pStyle w:val="NormalWeb"/>
        <w:spacing w:before="0" w:beforeAutospacing="0" w:after="0" w:afterAutospacing="0" w:line="360" w:lineRule="auto"/>
        <w:jc w:val="both"/>
      </w:pPr>
      <w:r w:rsidRPr="00AC4438">
        <w:t> </w:t>
      </w:r>
      <w:r w:rsidRPr="00AC4438">
        <w:t> </w:t>
      </w:r>
      <w:r w:rsidRPr="00AC4438">
        <w:t>- legislaţie - actele normative vor fi publicate în format pdf, având şi linkuri către portalul http://legislaţie.just.ro;</w:t>
      </w:r>
    </w:p>
    <w:p w:rsidR="00AC4438" w:rsidRPr="00AC4438" w:rsidRDefault="00AC4438" w:rsidP="00A2289F">
      <w:pPr>
        <w:pStyle w:val="NormalWeb"/>
        <w:spacing w:before="0" w:beforeAutospacing="0" w:after="0" w:afterAutospacing="0" w:line="360" w:lineRule="auto"/>
        <w:jc w:val="both"/>
      </w:pPr>
      <w:r w:rsidRPr="00AC4438">
        <w:t> </w:t>
      </w:r>
      <w:r w:rsidRPr="00AC4438">
        <w:t> </w:t>
      </w:r>
      <w:r w:rsidRPr="00AC4438">
        <w:t>- programe şi strategii - format .pdf, .pdf inteligent, .doc, .docx, .odt şi alte formate text;</w:t>
      </w:r>
    </w:p>
    <w:p w:rsidR="00AC4438" w:rsidRPr="00AC4438" w:rsidRDefault="00AC4438" w:rsidP="00A2289F">
      <w:pPr>
        <w:pStyle w:val="NormalWeb"/>
        <w:spacing w:before="0" w:beforeAutospacing="0" w:after="0" w:afterAutospacing="0" w:line="360" w:lineRule="auto"/>
        <w:jc w:val="both"/>
      </w:pPr>
      <w:r w:rsidRPr="00AC4438">
        <w:t> </w:t>
      </w:r>
      <w:r w:rsidRPr="00AC4438">
        <w:t> </w:t>
      </w:r>
      <w:r w:rsidRPr="00AC4438">
        <w:t>- rapoarte şi studii - format .doc, .docx, .odt şi alte formate text;</w:t>
      </w:r>
    </w:p>
    <w:p w:rsidR="00AC4438" w:rsidRPr="00AC4438" w:rsidRDefault="00AC4438" w:rsidP="00A2289F">
      <w:pPr>
        <w:pStyle w:val="NormalWeb"/>
        <w:spacing w:before="0" w:beforeAutospacing="0" w:after="0" w:afterAutospacing="0" w:line="360" w:lineRule="auto"/>
        <w:jc w:val="both"/>
      </w:pPr>
      <w:r w:rsidRPr="00AC4438">
        <w:t> </w:t>
      </w:r>
      <w:r w:rsidRPr="00AC4438">
        <w:t> </w:t>
      </w:r>
      <w:r w:rsidRPr="00AC4438">
        <w:t>- formular pentru solicitare în baza Legii nr. 544/2001</w:t>
      </w:r>
    </w:p>
    <w:p w:rsidR="00AC4438" w:rsidRPr="00AC4438" w:rsidRDefault="00AC4438" w:rsidP="00A2289F">
      <w:pPr>
        <w:pStyle w:val="NormalWeb"/>
        <w:spacing w:before="0" w:beforeAutospacing="0" w:after="0" w:afterAutospacing="0" w:line="360" w:lineRule="auto"/>
        <w:jc w:val="both"/>
      </w:pPr>
      <w:r w:rsidRPr="00AC4438">
        <w:t>cu modificările şi completările ulterioare, şi formular pentru contestarea deciziei - format .pdf, .pdf inteligent, .doc, .docx, .odt şi alte formate text;</w:t>
      </w:r>
    </w:p>
    <w:p w:rsidR="00AC4438" w:rsidRPr="00AC4438" w:rsidRDefault="00AC4438" w:rsidP="00A2289F">
      <w:pPr>
        <w:pStyle w:val="NormalWeb"/>
        <w:spacing w:before="0" w:beforeAutospacing="0" w:after="0" w:afterAutospacing="0" w:line="360" w:lineRule="auto"/>
        <w:jc w:val="both"/>
      </w:pPr>
      <w:r w:rsidRPr="00AC4438">
        <w:t> </w:t>
      </w:r>
      <w:r w:rsidRPr="00AC4438">
        <w:t> </w:t>
      </w:r>
      <w:r w:rsidRPr="00AC4438">
        <w:t>- buget, situaţia plăţilor, situaţia drepturilor salariale, plan de achiziţii, plan de investiţii, centralizatorul contractelor de achiziţie - format .ods, .xml, .xls sau .xlsx;</w:t>
      </w:r>
    </w:p>
    <w:p w:rsidR="00AC4438" w:rsidRPr="00AC4438" w:rsidRDefault="00AC4438" w:rsidP="00A2289F">
      <w:pPr>
        <w:pStyle w:val="NormalWeb"/>
        <w:spacing w:before="0" w:beforeAutospacing="0" w:after="0" w:afterAutospacing="0" w:line="360" w:lineRule="auto"/>
        <w:jc w:val="both"/>
      </w:pPr>
      <w:r w:rsidRPr="00AC4438">
        <w:t> </w:t>
      </w:r>
      <w:r w:rsidRPr="00AC4438">
        <w:t> </w:t>
      </w:r>
      <w:r w:rsidRPr="00AC4438">
        <w:t>- formulare-tip folosite de instituţie în relaţia cu cetăţenii - format .pdf inteligent, .doc, .docx, .odt sau în variantă online (în cazul utilizării unei proceduri online de completare a respectivului formular).</w:t>
      </w:r>
    </w:p>
    <w:p w:rsidR="00AC4438" w:rsidRPr="00AC4438" w:rsidRDefault="00AC4438" w:rsidP="00A2289F">
      <w:pPr>
        <w:spacing w:line="360" w:lineRule="auto"/>
        <w:jc w:val="both"/>
        <w:rPr>
          <w:rFonts w:ascii="Times New Roman" w:hAnsi="Times New Roman" w:cs="Times New Roman"/>
          <w:color w:val="FF0000"/>
          <w:sz w:val="24"/>
          <w:szCs w:val="24"/>
        </w:rPr>
      </w:pPr>
    </w:p>
    <w:p w:rsidR="007421A4" w:rsidRPr="00D31CDB" w:rsidRDefault="007421A4" w:rsidP="00A2289F">
      <w:pPr>
        <w:spacing w:line="360" w:lineRule="auto"/>
        <w:ind w:firstLine="720"/>
        <w:jc w:val="both"/>
        <w:rPr>
          <w:rFonts w:ascii="Times New Roman" w:hAnsi="Times New Roman" w:cs="Times New Roman"/>
          <w:b/>
          <w:color w:val="FF0000"/>
          <w:sz w:val="24"/>
          <w:szCs w:val="24"/>
        </w:rPr>
      </w:pPr>
    </w:p>
    <w:p w:rsidR="008F5339" w:rsidRDefault="008F5339" w:rsidP="00A2289F">
      <w:pPr>
        <w:spacing w:line="360" w:lineRule="auto"/>
        <w:ind w:firstLine="720"/>
        <w:jc w:val="both"/>
        <w:rPr>
          <w:rFonts w:ascii="Times New Roman" w:hAnsi="Times New Roman" w:cs="Times New Roman"/>
          <w:b/>
          <w:sz w:val="24"/>
          <w:szCs w:val="24"/>
        </w:rPr>
      </w:pPr>
    </w:p>
    <w:p w:rsidR="008F5339" w:rsidRDefault="008F5339" w:rsidP="00A2289F">
      <w:pPr>
        <w:spacing w:line="360" w:lineRule="auto"/>
        <w:ind w:firstLine="720"/>
        <w:jc w:val="both"/>
        <w:rPr>
          <w:rFonts w:ascii="Times New Roman" w:hAnsi="Times New Roman" w:cs="Times New Roman"/>
          <w:b/>
          <w:sz w:val="24"/>
          <w:szCs w:val="24"/>
        </w:rPr>
      </w:pPr>
    </w:p>
    <w:p w:rsidR="00A2289F" w:rsidRDefault="00A2289F" w:rsidP="00A2289F">
      <w:pPr>
        <w:spacing w:line="360" w:lineRule="auto"/>
        <w:ind w:firstLine="720"/>
        <w:jc w:val="both"/>
        <w:rPr>
          <w:rFonts w:ascii="Times New Roman" w:hAnsi="Times New Roman" w:cs="Times New Roman"/>
          <w:b/>
          <w:sz w:val="24"/>
          <w:szCs w:val="24"/>
        </w:rPr>
      </w:pPr>
    </w:p>
    <w:p w:rsidR="00A2289F" w:rsidRDefault="00A2289F" w:rsidP="00A2289F">
      <w:pPr>
        <w:spacing w:line="360" w:lineRule="auto"/>
        <w:ind w:firstLine="720"/>
        <w:jc w:val="both"/>
        <w:rPr>
          <w:rFonts w:ascii="Times New Roman" w:hAnsi="Times New Roman" w:cs="Times New Roman"/>
          <w:b/>
          <w:sz w:val="24"/>
          <w:szCs w:val="24"/>
        </w:rPr>
      </w:pPr>
    </w:p>
    <w:p w:rsidR="00A2289F" w:rsidRDefault="00A2289F" w:rsidP="00A2289F">
      <w:pPr>
        <w:spacing w:line="360" w:lineRule="auto"/>
        <w:ind w:firstLine="720"/>
        <w:jc w:val="both"/>
        <w:rPr>
          <w:rFonts w:ascii="Times New Roman" w:hAnsi="Times New Roman" w:cs="Times New Roman"/>
          <w:b/>
          <w:sz w:val="24"/>
          <w:szCs w:val="24"/>
        </w:rPr>
      </w:pPr>
    </w:p>
    <w:p w:rsidR="00A2289F" w:rsidRDefault="00A2289F" w:rsidP="00A2289F">
      <w:pPr>
        <w:spacing w:line="360" w:lineRule="auto"/>
        <w:ind w:firstLine="720"/>
        <w:jc w:val="both"/>
        <w:rPr>
          <w:rFonts w:ascii="Times New Roman" w:hAnsi="Times New Roman" w:cs="Times New Roman"/>
          <w:b/>
          <w:sz w:val="24"/>
          <w:szCs w:val="24"/>
        </w:rPr>
      </w:pPr>
    </w:p>
    <w:p w:rsidR="00A2289F" w:rsidRDefault="00A2289F" w:rsidP="00A2289F">
      <w:pPr>
        <w:spacing w:line="360" w:lineRule="auto"/>
        <w:ind w:firstLine="720"/>
        <w:jc w:val="both"/>
        <w:rPr>
          <w:rFonts w:ascii="Times New Roman" w:hAnsi="Times New Roman" w:cs="Times New Roman"/>
          <w:b/>
          <w:sz w:val="24"/>
          <w:szCs w:val="24"/>
        </w:rPr>
      </w:pPr>
    </w:p>
    <w:p w:rsidR="007A0ABA" w:rsidRDefault="007A0ABA" w:rsidP="00A2289F">
      <w:pPr>
        <w:spacing w:line="360" w:lineRule="auto"/>
        <w:ind w:firstLine="720"/>
        <w:jc w:val="both"/>
        <w:rPr>
          <w:rFonts w:ascii="Times New Roman" w:hAnsi="Times New Roman" w:cs="Times New Roman"/>
          <w:b/>
          <w:sz w:val="24"/>
          <w:szCs w:val="24"/>
        </w:rPr>
      </w:pPr>
    </w:p>
    <w:sectPr w:rsidR="007A0ABA" w:rsidSect="002033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0036" w:rsidRDefault="00650036" w:rsidP="00FF225D">
      <w:pPr>
        <w:spacing w:after="0" w:line="240" w:lineRule="auto"/>
      </w:pPr>
      <w:r>
        <w:separator/>
      </w:r>
    </w:p>
  </w:endnote>
  <w:endnote w:type="continuationSeparator" w:id="0">
    <w:p w:rsidR="00650036" w:rsidRDefault="00650036" w:rsidP="00FF2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3223796"/>
      <w:docPartObj>
        <w:docPartGallery w:val="Page Numbers (Bottom of Page)"/>
        <w:docPartUnique/>
      </w:docPartObj>
    </w:sdtPr>
    <w:sdtEndPr>
      <w:rPr>
        <w:noProof/>
      </w:rPr>
    </w:sdtEndPr>
    <w:sdtContent>
      <w:p w:rsidR="004F7D26" w:rsidRDefault="004F7D26">
        <w:pPr>
          <w:pStyle w:val="Footer"/>
          <w:jc w:val="right"/>
        </w:pPr>
        <w:r>
          <w:fldChar w:fldCharType="begin"/>
        </w:r>
        <w:r>
          <w:instrText xml:space="preserve"> PAGE   \* MERGEFORMAT </w:instrText>
        </w:r>
        <w:r>
          <w:fldChar w:fldCharType="separate"/>
        </w:r>
        <w:r w:rsidR="000372CE">
          <w:rPr>
            <w:noProof/>
          </w:rPr>
          <w:t>27</w:t>
        </w:r>
        <w:r>
          <w:rPr>
            <w:noProof/>
          </w:rPr>
          <w:fldChar w:fldCharType="end"/>
        </w:r>
      </w:p>
    </w:sdtContent>
  </w:sdt>
  <w:p w:rsidR="00C84F00" w:rsidRPr="006D0220" w:rsidRDefault="00C84F00" w:rsidP="00C84F00">
    <w:pPr>
      <w:pStyle w:val="Footer"/>
      <w:jc w:val="center"/>
      <w:rPr>
        <w:rFonts w:ascii="Trebuchet MS" w:hAnsi="Trebuchet MS"/>
        <w:sz w:val="13"/>
        <w:szCs w:val="1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0036" w:rsidRDefault="00650036" w:rsidP="00FF225D">
      <w:pPr>
        <w:spacing w:after="0" w:line="240" w:lineRule="auto"/>
      </w:pPr>
      <w:r>
        <w:separator/>
      </w:r>
    </w:p>
  </w:footnote>
  <w:footnote w:type="continuationSeparator" w:id="0">
    <w:p w:rsidR="00650036" w:rsidRDefault="00650036" w:rsidP="00FF225D">
      <w:pPr>
        <w:spacing w:after="0" w:line="240" w:lineRule="auto"/>
      </w:pPr>
      <w:r>
        <w:continuationSeparator/>
      </w:r>
    </w:p>
  </w:footnote>
  <w:footnote w:id="1">
    <w:p w:rsidR="002152F1" w:rsidRPr="007A31A2" w:rsidRDefault="002152F1" w:rsidP="002152F1">
      <w:pPr>
        <w:pStyle w:val="FootnoteText"/>
        <w:rPr>
          <w:rFonts w:ascii="Times New Roman" w:hAnsi="Times New Roman" w:cs="Times New Roman"/>
          <w:sz w:val="18"/>
          <w:szCs w:val="18"/>
          <w:lang w:val="ro-RO"/>
        </w:rPr>
      </w:pPr>
      <w:r>
        <w:rPr>
          <w:rStyle w:val="FootnoteReference"/>
        </w:rPr>
        <w:footnoteRef/>
      </w:r>
      <w:r>
        <w:t xml:space="preserve"> </w:t>
      </w:r>
      <w:r w:rsidRPr="007A31A2">
        <w:rPr>
          <w:rFonts w:ascii="Times New Roman" w:hAnsi="Times New Roman" w:cs="Times New Roman"/>
          <w:sz w:val="18"/>
          <w:szCs w:val="18"/>
        </w:rPr>
        <w:t xml:space="preserve">Recomandarea se bazează pe </w:t>
      </w:r>
      <w:r w:rsidRPr="007A31A2">
        <w:rPr>
          <w:rFonts w:ascii="Times New Roman" w:hAnsi="Times New Roman" w:cs="Times New Roman"/>
          <w:b/>
          <w:i/>
          <w:sz w:val="18"/>
          <w:szCs w:val="18"/>
        </w:rPr>
        <w:t>Comunicarea Comisiei Europene</w:t>
      </w:r>
      <w:r w:rsidRPr="007A31A2">
        <w:rPr>
          <w:rFonts w:ascii="Times New Roman" w:hAnsi="Times New Roman" w:cs="Times New Roman"/>
          <w:i/>
          <w:sz w:val="18"/>
          <w:szCs w:val="18"/>
        </w:rPr>
        <w:t xml:space="preserve">: Principii generale și standarde minimale pentru dezbaterea părților interesate </w:t>
      </w:r>
      <w:r w:rsidRPr="007A31A2">
        <w:rPr>
          <w:rFonts w:ascii="Times New Roman" w:hAnsi="Times New Roman" w:cs="Times New Roman"/>
          <w:sz w:val="18"/>
          <w:szCs w:val="18"/>
        </w:rPr>
        <w:t>- 2002 și pe Principii ale Consultărilor Publice stabilite de Guvernul Regatului Unit al Marii Britanii și al Irlandei de Nord pentru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25D" w:rsidRDefault="00FF225D" w:rsidP="00FF225D">
    <w:pPr>
      <w:pStyle w:val="Header"/>
      <w:jc w:val="center"/>
    </w:pPr>
    <w:r w:rsidRPr="0047341E">
      <w:rPr>
        <w:noProof/>
      </w:rPr>
      <w:drawing>
        <wp:inline distT="0" distB="0" distL="0" distR="0">
          <wp:extent cx="6004572" cy="627889"/>
          <wp:effectExtent l="19050" t="0" r="0" b="0"/>
          <wp:docPr id="9" name="Picture 0" descr="Header A4 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 A4 Portrait.png"/>
                  <pic:cNvPicPr/>
                </pic:nvPicPr>
                <pic:blipFill>
                  <a:blip r:embed="rId1"/>
                  <a:stretch>
                    <a:fillRect/>
                  </a:stretch>
                </pic:blipFill>
                <pic:spPr>
                  <a:xfrm>
                    <a:off x="0" y="0"/>
                    <a:ext cx="6004572" cy="627889"/>
                  </a:xfrm>
                  <a:prstGeom prst="rect">
                    <a:avLst/>
                  </a:prstGeom>
                </pic:spPr>
              </pic:pic>
            </a:graphicData>
          </a:graphic>
        </wp:inline>
      </w:drawing>
    </w:r>
  </w:p>
  <w:p w:rsidR="00FF225D" w:rsidRDefault="00FF225D" w:rsidP="00FF225D">
    <w:pPr>
      <w:pStyle w:val="Header"/>
    </w:pPr>
  </w:p>
  <w:p w:rsidR="00FF225D" w:rsidRDefault="00FF22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97480"/>
    <w:multiLevelType w:val="hybridMultilevel"/>
    <w:tmpl w:val="D25CB754"/>
    <w:lvl w:ilvl="0" w:tplc="0809000B">
      <w:start w:val="1"/>
      <w:numFmt w:val="bullet"/>
      <w:lvlText w:val=""/>
      <w:lvlJc w:val="left"/>
      <w:pPr>
        <w:ind w:left="1800" w:hanging="360"/>
      </w:pPr>
      <w:rPr>
        <w:rFonts w:ascii="Wingdings" w:hAnsi="Wingdings" w:hint="default"/>
      </w:rPr>
    </w:lvl>
    <w:lvl w:ilvl="1" w:tplc="0809000B">
      <w:start w:val="1"/>
      <w:numFmt w:val="bullet"/>
      <w:lvlText w:val=""/>
      <w:lvlJc w:val="left"/>
      <w:pPr>
        <w:ind w:left="2204" w:hanging="360"/>
      </w:pPr>
      <w:rPr>
        <w:rFonts w:ascii="Wingdings" w:hAnsi="Wingdings" w:hint="default"/>
        <w:sz w:val="22"/>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21D7625E"/>
    <w:multiLevelType w:val="hybridMultilevel"/>
    <w:tmpl w:val="F926D3E6"/>
    <w:lvl w:ilvl="0" w:tplc="0809000B">
      <w:start w:val="1"/>
      <w:numFmt w:val="bullet"/>
      <w:lvlText w:val=""/>
      <w:lvlJc w:val="left"/>
      <w:pPr>
        <w:ind w:left="2880" w:hanging="360"/>
      </w:pPr>
      <w:rPr>
        <w:rFonts w:ascii="Wingdings" w:hAnsi="Wingdings"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 w15:restartNumberingAfterBreak="0">
    <w:nsid w:val="29427E47"/>
    <w:multiLevelType w:val="hybridMultilevel"/>
    <w:tmpl w:val="68A88458"/>
    <w:lvl w:ilvl="0" w:tplc="0809000B">
      <w:start w:val="1"/>
      <w:numFmt w:val="bullet"/>
      <w:lvlText w:val=""/>
      <w:lvlJc w:val="left"/>
      <w:pPr>
        <w:ind w:left="2206" w:hanging="360"/>
      </w:pPr>
      <w:rPr>
        <w:rFonts w:ascii="Wingdings" w:hAnsi="Wingdings" w:hint="default"/>
      </w:rPr>
    </w:lvl>
    <w:lvl w:ilvl="1" w:tplc="08090003" w:tentative="1">
      <w:start w:val="1"/>
      <w:numFmt w:val="bullet"/>
      <w:lvlText w:val="o"/>
      <w:lvlJc w:val="left"/>
      <w:pPr>
        <w:ind w:left="2926" w:hanging="360"/>
      </w:pPr>
      <w:rPr>
        <w:rFonts w:ascii="Courier New" w:hAnsi="Courier New" w:cs="Courier New" w:hint="default"/>
      </w:rPr>
    </w:lvl>
    <w:lvl w:ilvl="2" w:tplc="08090005" w:tentative="1">
      <w:start w:val="1"/>
      <w:numFmt w:val="bullet"/>
      <w:lvlText w:val=""/>
      <w:lvlJc w:val="left"/>
      <w:pPr>
        <w:ind w:left="3646" w:hanging="360"/>
      </w:pPr>
      <w:rPr>
        <w:rFonts w:ascii="Wingdings" w:hAnsi="Wingdings" w:hint="default"/>
      </w:rPr>
    </w:lvl>
    <w:lvl w:ilvl="3" w:tplc="08090001" w:tentative="1">
      <w:start w:val="1"/>
      <w:numFmt w:val="bullet"/>
      <w:lvlText w:val=""/>
      <w:lvlJc w:val="left"/>
      <w:pPr>
        <w:ind w:left="4366" w:hanging="360"/>
      </w:pPr>
      <w:rPr>
        <w:rFonts w:ascii="Symbol" w:hAnsi="Symbol" w:hint="default"/>
      </w:rPr>
    </w:lvl>
    <w:lvl w:ilvl="4" w:tplc="08090003" w:tentative="1">
      <w:start w:val="1"/>
      <w:numFmt w:val="bullet"/>
      <w:lvlText w:val="o"/>
      <w:lvlJc w:val="left"/>
      <w:pPr>
        <w:ind w:left="5086" w:hanging="360"/>
      </w:pPr>
      <w:rPr>
        <w:rFonts w:ascii="Courier New" w:hAnsi="Courier New" w:cs="Courier New" w:hint="default"/>
      </w:rPr>
    </w:lvl>
    <w:lvl w:ilvl="5" w:tplc="08090005" w:tentative="1">
      <w:start w:val="1"/>
      <w:numFmt w:val="bullet"/>
      <w:lvlText w:val=""/>
      <w:lvlJc w:val="left"/>
      <w:pPr>
        <w:ind w:left="5806" w:hanging="360"/>
      </w:pPr>
      <w:rPr>
        <w:rFonts w:ascii="Wingdings" w:hAnsi="Wingdings" w:hint="default"/>
      </w:rPr>
    </w:lvl>
    <w:lvl w:ilvl="6" w:tplc="08090001" w:tentative="1">
      <w:start w:val="1"/>
      <w:numFmt w:val="bullet"/>
      <w:lvlText w:val=""/>
      <w:lvlJc w:val="left"/>
      <w:pPr>
        <w:ind w:left="6526" w:hanging="360"/>
      </w:pPr>
      <w:rPr>
        <w:rFonts w:ascii="Symbol" w:hAnsi="Symbol" w:hint="default"/>
      </w:rPr>
    </w:lvl>
    <w:lvl w:ilvl="7" w:tplc="08090003" w:tentative="1">
      <w:start w:val="1"/>
      <w:numFmt w:val="bullet"/>
      <w:lvlText w:val="o"/>
      <w:lvlJc w:val="left"/>
      <w:pPr>
        <w:ind w:left="7246" w:hanging="360"/>
      </w:pPr>
      <w:rPr>
        <w:rFonts w:ascii="Courier New" w:hAnsi="Courier New" w:cs="Courier New" w:hint="default"/>
      </w:rPr>
    </w:lvl>
    <w:lvl w:ilvl="8" w:tplc="08090005" w:tentative="1">
      <w:start w:val="1"/>
      <w:numFmt w:val="bullet"/>
      <w:lvlText w:val=""/>
      <w:lvlJc w:val="left"/>
      <w:pPr>
        <w:ind w:left="7966" w:hanging="360"/>
      </w:pPr>
      <w:rPr>
        <w:rFonts w:ascii="Wingdings" w:hAnsi="Wingdings" w:hint="default"/>
      </w:rPr>
    </w:lvl>
  </w:abstractNum>
  <w:abstractNum w:abstractNumId="3" w15:restartNumberingAfterBreak="0">
    <w:nsid w:val="29B84384"/>
    <w:multiLevelType w:val="hybridMultilevel"/>
    <w:tmpl w:val="CF604FD4"/>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49A0441C"/>
    <w:multiLevelType w:val="hybridMultilevel"/>
    <w:tmpl w:val="32B83D2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B5132AF"/>
    <w:multiLevelType w:val="hybridMultilevel"/>
    <w:tmpl w:val="5F68B82C"/>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6" w15:restartNumberingAfterBreak="0">
    <w:nsid w:val="54075B98"/>
    <w:multiLevelType w:val="hybridMultilevel"/>
    <w:tmpl w:val="FF4E0064"/>
    <w:lvl w:ilvl="0" w:tplc="08090009">
      <w:start w:val="1"/>
      <w:numFmt w:val="bullet"/>
      <w:lvlText w:val=""/>
      <w:lvlJc w:val="left"/>
      <w:pPr>
        <w:ind w:left="2928" w:hanging="360"/>
      </w:pPr>
      <w:rPr>
        <w:rFonts w:ascii="Wingdings" w:hAnsi="Wingdings" w:hint="default"/>
      </w:rPr>
    </w:lvl>
    <w:lvl w:ilvl="1" w:tplc="08090009">
      <w:start w:val="1"/>
      <w:numFmt w:val="bullet"/>
      <w:lvlText w:val=""/>
      <w:lvlJc w:val="left"/>
      <w:pPr>
        <w:ind w:left="3648" w:hanging="360"/>
      </w:pPr>
      <w:rPr>
        <w:rFonts w:ascii="Wingdings" w:hAnsi="Wingdings" w:hint="default"/>
      </w:rPr>
    </w:lvl>
    <w:lvl w:ilvl="2" w:tplc="08090005" w:tentative="1">
      <w:start w:val="1"/>
      <w:numFmt w:val="bullet"/>
      <w:lvlText w:val=""/>
      <w:lvlJc w:val="left"/>
      <w:pPr>
        <w:ind w:left="4368" w:hanging="360"/>
      </w:pPr>
      <w:rPr>
        <w:rFonts w:ascii="Wingdings" w:hAnsi="Wingdings" w:hint="default"/>
      </w:rPr>
    </w:lvl>
    <w:lvl w:ilvl="3" w:tplc="08090001" w:tentative="1">
      <w:start w:val="1"/>
      <w:numFmt w:val="bullet"/>
      <w:lvlText w:val=""/>
      <w:lvlJc w:val="left"/>
      <w:pPr>
        <w:ind w:left="5088" w:hanging="360"/>
      </w:pPr>
      <w:rPr>
        <w:rFonts w:ascii="Symbol" w:hAnsi="Symbol" w:hint="default"/>
      </w:rPr>
    </w:lvl>
    <w:lvl w:ilvl="4" w:tplc="08090003" w:tentative="1">
      <w:start w:val="1"/>
      <w:numFmt w:val="bullet"/>
      <w:lvlText w:val="o"/>
      <w:lvlJc w:val="left"/>
      <w:pPr>
        <w:ind w:left="5808" w:hanging="360"/>
      </w:pPr>
      <w:rPr>
        <w:rFonts w:ascii="Courier New" w:hAnsi="Courier New" w:cs="Courier New" w:hint="default"/>
      </w:rPr>
    </w:lvl>
    <w:lvl w:ilvl="5" w:tplc="08090005" w:tentative="1">
      <w:start w:val="1"/>
      <w:numFmt w:val="bullet"/>
      <w:lvlText w:val=""/>
      <w:lvlJc w:val="left"/>
      <w:pPr>
        <w:ind w:left="6528" w:hanging="360"/>
      </w:pPr>
      <w:rPr>
        <w:rFonts w:ascii="Wingdings" w:hAnsi="Wingdings" w:hint="default"/>
      </w:rPr>
    </w:lvl>
    <w:lvl w:ilvl="6" w:tplc="08090001" w:tentative="1">
      <w:start w:val="1"/>
      <w:numFmt w:val="bullet"/>
      <w:lvlText w:val=""/>
      <w:lvlJc w:val="left"/>
      <w:pPr>
        <w:ind w:left="7248" w:hanging="360"/>
      </w:pPr>
      <w:rPr>
        <w:rFonts w:ascii="Symbol" w:hAnsi="Symbol" w:hint="default"/>
      </w:rPr>
    </w:lvl>
    <w:lvl w:ilvl="7" w:tplc="08090003" w:tentative="1">
      <w:start w:val="1"/>
      <w:numFmt w:val="bullet"/>
      <w:lvlText w:val="o"/>
      <w:lvlJc w:val="left"/>
      <w:pPr>
        <w:ind w:left="7968" w:hanging="360"/>
      </w:pPr>
      <w:rPr>
        <w:rFonts w:ascii="Courier New" w:hAnsi="Courier New" w:cs="Courier New" w:hint="default"/>
      </w:rPr>
    </w:lvl>
    <w:lvl w:ilvl="8" w:tplc="08090005" w:tentative="1">
      <w:start w:val="1"/>
      <w:numFmt w:val="bullet"/>
      <w:lvlText w:val=""/>
      <w:lvlJc w:val="left"/>
      <w:pPr>
        <w:ind w:left="8688" w:hanging="360"/>
      </w:pPr>
      <w:rPr>
        <w:rFonts w:ascii="Wingdings" w:hAnsi="Wingdings" w:hint="default"/>
      </w:rPr>
    </w:lvl>
  </w:abstractNum>
  <w:abstractNum w:abstractNumId="7" w15:restartNumberingAfterBreak="0">
    <w:nsid w:val="60281B9C"/>
    <w:multiLevelType w:val="hybridMultilevel"/>
    <w:tmpl w:val="F1CCE634"/>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8" w15:restartNumberingAfterBreak="0">
    <w:nsid w:val="68183131"/>
    <w:multiLevelType w:val="hybridMultilevel"/>
    <w:tmpl w:val="C152F702"/>
    <w:lvl w:ilvl="0" w:tplc="08090001">
      <w:start w:val="1"/>
      <w:numFmt w:val="bullet"/>
      <w:lvlText w:val=""/>
      <w:lvlJc w:val="left"/>
      <w:pPr>
        <w:ind w:left="1488" w:hanging="360"/>
      </w:pPr>
      <w:rPr>
        <w:rFonts w:ascii="Symbol" w:hAnsi="Symbol" w:hint="default"/>
      </w:rPr>
    </w:lvl>
    <w:lvl w:ilvl="1" w:tplc="08090003" w:tentative="1">
      <w:start w:val="1"/>
      <w:numFmt w:val="bullet"/>
      <w:lvlText w:val="o"/>
      <w:lvlJc w:val="left"/>
      <w:pPr>
        <w:ind w:left="2208" w:hanging="360"/>
      </w:pPr>
      <w:rPr>
        <w:rFonts w:ascii="Courier New" w:hAnsi="Courier New" w:cs="Courier New" w:hint="default"/>
      </w:rPr>
    </w:lvl>
    <w:lvl w:ilvl="2" w:tplc="08090005" w:tentative="1">
      <w:start w:val="1"/>
      <w:numFmt w:val="bullet"/>
      <w:lvlText w:val=""/>
      <w:lvlJc w:val="left"/>
      <w:pPr>
        <w:ind w:left="2928" w:hanging="360"/>
      </w:pPr>
      <w:rPr>
        <w:rFonts w:ascii="Wingdings" w:hAnsi="Wingdings" w:hint="default"/>
      </w:rPr>
    </w:lvl>
    <w:lvl w:ilvl="3" w:tplc="08090001" w:tentative="1">
      <w:start w:val="1"/>
      <w:numFmt w:val="bullet"/>
      <w:lvlText w:val=""/>
      <w:lvlJc w:val="left"/>
      <w:pPr>
        <w:ind w:left="3648" w:hanging="360"/>
      </w:pPr>
      <w:rPr>
        <w:rFonts w:ascii="Symbol" w:hAnsi="Symbol" w:hint="default"/>
      </w:rPr>
    </w:lvl>
    <w:lvl w:ilvl="4" w:tplc="08090003" w:tentative="1">
      <w:start w:val="1"/>
      <w:numFmt w:val="bullet"/>
      <w:lvlText w:val="o"/>
      <w:lvlJc w:val="left"/>
      <w:pPr>
        <w:ind w:left="4368" w:hanging="360"/>
      </w:pPr>
      <w:rPr>
        <w:rFonts w:ascii="Courier New" w:hAnsi="Courier New" w:cs="Courier New" w:hint="default"/>
      </w:rPr>
    </w:lvl>
    <w:lvl w:ilvl="5" w:tplc="08090005" w:tentative="1">
      <w:start w:val="1"/>
      <w:numFmt w:val="bullet"/>
      <w:lvlText w:val=""/>
      <w:lvlJc w:val="left"/>
      <w:pPr>
        <w:ind w:left="5088" w:hanging="360"/>
      </w:pPr>
      <w:rPr>
        <w:rFonts w:ascii="Wingdings" w:hAnsi="Wingdings" w:hint="default"/>
      </w:rPr>
    </w:lvl>
    <w:lvl w:ilvl="6" w:tplc="08090001" w:tentative="1">
      <w:start w:val="1"/>
      <w:numFmt w:val="bullet"/>
      <w:lvlText w:val=""/>
      <w:lvlJc w:val="left"/>
      <w:pPr>
        <w:ind w:left="5808" w:hanging="360"/>
      </w:pPr>
      <w:rPr>
        <w:rFonts w:ascii="Symbol" w:hAnsi="Symbol" w:hint="default"/>
      </w:rPr>
    </w:lvl>
    <w:lvl w:ilvl="7" w:tplc="08090003" w:tentative="1">
      <w:start w:val="1"/>
      <w:numFmt w:val="bullet"/>
      <w:lvlText w:val="o"/>
      <w:lvlJc w:val="left"/>
      <w:pPr>
        <w:ind w:left="6528" w:hanging="360"/>
      </w:pPr>
      <w:rPr>
        <w:rFonts w:ascii="Courier New" w:hAnsi="Courier New" w:cs="Courier New" w:hint="default"/>
      </w:rPr>
    </w:lvl>
    <w:lvl w:ilvl="8" w:tplc="08090005" w:tentative="1">
      <w:start w:val="1"/>
      <w:numFmt w:val="bullet"/>
      <w:lvlText w:val=""/>
      <w:lvlJc w:val="left"/>
      <w:pPr>
        <w:ind w:left="7248" w:hanging="360"/>
      </w:pPr>
      <w:rPr>
        <w:rFonts w:ascii="Wingdings" w:hAnsi="Wingdings" w:hint="default"/>
      </w:rPr>
    </w:lvl>
  </w:abstractNum>
  <w:num w:numId="1">
    <w:abstractNumId w:val="8"/>
  </w:num>
  <w:num w:numId="2">
    <w:abstractNumId w:val="2"/>
  </w:num>
  <w:num w:numId="3">
    <w:abstractNumId w:val="3"/>
  </w:num>
  <w:num w:numId="4">
    <w:abstractNumId w:val="1"/>
  </w:num>
  <w:num w:numId="5">
    <w:abstractNumId w:val="0"/>
  </w:num>
  <w:num w:numId="6">
    <w:abstractNumId w:val="6"/>
  </w:num>
  <w:num w:numId="7">
    <w:abstractNumId w:val="7"/>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D5EF2"/>
    <w:rsid w:val="000372CE"/>
    <w:rsid w:val="00073BDB"/>
    <w:rsid w:val="000811CD"/>
    <w:rsid w:val="000B5053"/>
    <w:rsid w:val="000B55F9"/>
    <w:rsid w:val="000C2F49"/>
    <w:rsid w:val="000D625A"/>
    <w:rsid w:val="001326AD"/>
    <w:rsid w:val="00152A13"/>
    <w:rsid w:val="00162719"/>
    <w:rsid w:val="001D237A"/>
    <w:rsid w:val="001E1742"/>
    <w:rsid w:val="002033B4"/>
    <w:rsid w:val="00203E90"/>
    <w:rsid w:val="002152F1"/>
    <w:rsid w:val="0022467F"/>
    <w:rsid w:val="00252897"/>
    <w:rsid w:val="00297284"/>
    <w:rsid w:val="002B101D"/>
    <w:rsid w:val="002C7C11"/>
    <w:rsid w:val="002D08AB"/>
    <w:rsid w:val="00305FB1"/>
    <w:rsid w:val="00320C3A"/>
    <w:rsid w:val="00357EF0"/>
    <w:rsid w:val="003873D4"/>
    <w:rsid w:val="00392305"/>
    <w:rsid w:val="003B66D1"/>
    <w:rsid w:val="003E0640"/>
    <w:rsid w:val="003E4462"/>
    <w:rsid w:val="004126D9"/>
    <w:rsid w:val="00412A8C"/>
    <w:rsid w:val="00460D3D"/>
    <w:rsid w:val="00472073"/>
    <w:rsid w:val="00486D2E"/>
    <w:rsid w:val="004A1AAC"/>
    <w:rsid w:val="004B14D4"/>
    <w:rsid w:val="004B6F10"/>
    <w:rsid w:val="004F7D26"/>
    <w:rsid w:val="00506406"/>
    <w:rsid w:val="0051518B"/>
    <w:rsid w:val="0055291E"/>
    <w:rsid w:val="005538EA"/>
    <w:rsid w:val="0056152E"/>
    <w:rsid w:val="00574531"/>
    <w:rsid w:val="0058267F"/>
    <w:rsid w:val="005849A0"/>
    <w:rsid w:val="005F5BFD"/>
    <w:rsid w:val="00600953"/>
    <w:rsid w:val="00612035"/>
    <w:rsid w:val="00650036"/>
    <w:rsid w:val="00654DC5"/>
    <w:rsid w:val="00697C52"/>
    <w:rsid w:val="006A5A6A"/>
    <w:rsid w:val="006A7A7D"/>
    <w:rsid w:val="006C740D"/>
    <w:rsid w:val="006D0AFF"/>
    <w:rsid w:val="006F7A56"/>
    <w:rsid w:val="00701275"/>
    <w:rsid w:val="007213E8"/>
    <w:rsid w:val="00721B6A"/>
    <w:rsid w:val="00735E86"/>
    <w:rsid w:val="007421A4"/>
    <w:rsid w:val="00747FA3"/>
    <w:rsid w:val="00751DAD"/>
    <w:rsid w:val="0075564C"/>
    <w:rsid w:val="00767FE6"/>
    <w:rsid w:val="00770AEA"/>
    <w:rsid w:val="007A0ABA"/>
    <w:rsid w:val="007A31A2"/>
    <w:rsid w:val="007D43EC"/>
    <w:rsid w:val="007D67F7"/>
    <w:rsid w:val="007E53F5"/>
    <w:rsid w:val="007F0F29"/>
    <w:rsid w:val="007F527C"/>
    <w:rsid w:val="00835CCC"/>
    <w:rsid w:val="008B399F"/>
    <w:rsid w:val="008E06E5"/>
    <w:rsid w:val="008E0E42"/>
    <w:rsid w:val="008F5339"/>
    <w:rsid w:val="00904C52"/>
    <w:rsid w:val="00922153"/>
    <w:rsid w:val="0093436F"/>
    <w:rsid w:val="00951013"/>
    <w:rsid w:val="0097280A"/>
    <w:rsid w:val="00A02622"/>
    <w:rsid w:val="00A21195"/>
    <w:rsid w:val="00A2289F"/>
    <w:rsid w:val="00A41391"/>
    <w:rsid w:val="00A656C6"/>
    <w:rsid w:val="00A874CF"/>
    <w:rsid w:val="00A90AC0"/>
    <w:rsid w:val="00A921AF"/>
    <w:rsid w:val="00AA460F"/>
    <w:rsid w:val="00AB0C17"/>
    <w:rsid w:val="00AC228D"/>
    <w:rsid w:val="00AC4438"/>
    <w:rsid w:val="00AD064E"/>
    <w:rsid w:val="00AE5359"/>
    <w:rsid w:val="00B46481"/>
    <w:rsid w:val="00B56E67"/>
    <w:rsid w:val="00B73AD5"/>
    <w:rsid w:val="00B73D5F"/>
    <w:rsid w:val="00B85B6B"/>
    <w:rsid w:val="00BA40F8"/>
    <w:rsid w:val="00BA4CA5"/>
    <w:rsid w:val="00BC6B12"/>
    <w:rsid w:val="00BD4DC9"/>
    <w:rsid w:val="00BD5EF2"/>
    <w:rsid w:val="00BE5967"/>
    <w:rsid w:val="00C0409E"/>
    <w:rsid w:val="00C45CEA"/>
    <w:rsid w:val="00C4623E"/>
    <w:rsid w:val="00C83F9D"/>
    <w:rsid w:val="00C84F00"/>
    <w:rsid w:val="00C91781"/>
    <w:rsid w:val="00D31CDB"/>
    <w:rsid w:val="00D3530C"/>
    <w:rsid w:val="00D560CC"/>
    <w:rsid w:val="00D56CEA"/>
    <w:rsid w:val="00D6215F"/>
    <w:rsid w:val="00D639EF"/>
    <w:rsid w:val="00D716D9"/>
    <w:rsid w:val="00DE5584"/>
    <w:rsid w:val="00DF5ABD"/>
    <w:rsid w:val="00DF5F6C"/>
    <w:rsid w:val="00E03BC0"/>
    <w:rsid w:val="00E0543B"/>
    <w:rsid w:val="00E3507A"/>
    <w:rsid w:val="00E87337"/>
    <w:rsid w:val="00EB3863"/>
    <w:rsid w:val="00EC472D"/>
    <w:rsid w:val="00ED2190"/>
    <w:rsid w:val="00ED4387"/>
    <w:rsid w:val="00EE68EA"/>
    <w:rsid w:val="00EF69CB"/>
    <w:rsid w:val="00F54C6A"/>
    <w:rsid w:val="00FB2F25"/>
    <w:rsid w:val="00FC7396"/>
    <w:rsid w:val="00FD268F"/>
    <w:rsid w:val="00FD3418"/>
    <w:rsid w:val="00FF2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566A9BD-E2D4-490F-B48F-EDE119302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0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2190"/>
    <w:pPr>
      <w:spacing w:before="100" w:beforeAutospacing="1" w:after="100" w:afterAutospacing="1" w:line="240" w:lineRule="auto"/>
    </w:pPr>
    <w:rPr>
      <w:rFonts w:ascii="Times New Roman" w:eastAsiaTheme="minorEastAsia" w:hAnsi="Times New Roman" w:cs="Times New Roman"/>
      <w:sz w:val="24"/>
      <w:szCs w:val="24"/>
    </w:rPr>
  </w:style>
  <w:style w:type="paragraph" w:styleId="HTMLPreformatted">
    <w:name w:val="HTML Preformatted"/>
    <w:basedOn w:val="Normal"/>
    <w:link w:val="HTMLPreformattedChar"/>
    <w:uiPriority w:val="99"/>
    <w:semiHidden/>
    <w:unhideWhenUsed/>
    <w:rsid w:val="00ED2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rPr>
  </w:style>
  <w:style w:type="character" w:customStyle="1" w:styleId="HTMLPreformattedChar">
    <w:name w:val="HTML Preformatted Char"/>
    <w:basedOn w:val="DefaultParagraphFont"/>
    <w:link w:val="HTMLPreformatted"/>
    <w:uiPriority w:val="99"/>
    <w:semiHidden/>
    <w:rsid w:val="00ED2190"/>
    <w:rPr>
      <w:rFonts w:ascii="Courier New" w:eastAsiaTheme="minorEastAsia" w:hAnsi="Courier New" w:cs="Courier New"/>
      <w:sz w:val="20"/>
      <w:szCs w:val="20"/>
    </w:rPr>
  </w:style>
  <w:style w:type="paragraph" w:styleId="BalloonText">
    <w:name w:val="Balloon Text"/>
    <w:basedOn w:val="Normal"/>
    <w:link w:val="BalloonTextChar"/>
    <w:uiPriority w:val="99"/>
    <w:semiHidden/>
    <w:unhideWhenUsed/>
    <w:rsid w:val="00FF22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25D"/>
    <w:rPr>
      <w:rFonts w:ascii="Tahoma" w:hAnsi="Tahoma" w:cs="Tahoma"/>
      <w:sz w:val="16"/>
      <w:szCs w:val="16"/>
    </w:rPr>
  </w:style>
  <w:style w:type="paragraph" w:styleId="Header">
    <w:name w:val="header"/>
    <w:basedOn w:val="Normal"/>
    <w:link w:val="HeaderChar"/>
    <w:uiPriority w:val="99"/>
    <w:unhideWhenUsed/>
    <w:rsid w:val="00FF22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25D"/>
  </w:style>
  <w:style w:type="paragraph" w:styleId="Footer">
    <w:name w:val="footer"/>
    <w:basedOn w:val="Normal"/>
    <w:link w:val="FooterChar"/>
    <w:uiPriority w:val="99"/>
    <w:unhideWhenUsed/>
    <w:rsid w:val="00FF22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25D"/>
  </w:style>
  <w:style w:type="paragraph" w:styleId="ListParagraph">
    <w:name w:val="List Paragraph"/>
    <w:basedOn w:val="Normal"/>
    <w:uiPriority w:val="34"/>
    <w:qFormat/>
    <w:rsid w:val="00721B6A"/>
    <w:pPr>
      <w:ind w:left="720"/>
      <w:contextualSpacing/>
    </w:pPr>
  </w:style>
  <w:style w:type="paragraph" w:styleId="FootnoteText">
    <w:name w:val="footnote text"/>
    <w:basedOn w:val="Normal"/>
    <w:link w:val="FootnoteTextChar"/>
    <w:uiPriority w:val="99"/>
    <w:semiHidden/>
    <w:unhideWhenUsed/>
    <w:rsid w:val="007A31A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A31A2"/>
    <w:rPr>
      <w:sz w:val="20"/>
      <w:szCs w:val="20"/>
    </w:rPr>
  </w:style>
  <w:style w:type="character" w:styleId="FootnoteReference">
    <w:name w:val="footnote reference"/>
    <w:basedOn w:val="DefaultParagraphFont"/>
    <w:uiPriority w:val="99"/>
    <w:semiHidden/>
    <w:unhideWhenUsed/>
    <w:rsid w:val="007A31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alicuta\Desktop\monitorizare%20cj-uri,%20municipii.%20prefecturi.%20ministre%20evaluar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licuta\Desktop\monitorizare%20cj-uri,%20municipii.%20prefecturi.%20ministre%20evaluar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licuta\Desktop\monitorizare%20cj-uri,%20municipii.%20prefecturi.%20ministre%20evaluar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licuta\Desktop\monitorizare%20cj-uri,%20municipii.%20prefecturi.%20ministre%20evalua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4.2112601968367858E-2"/>
          <c:y val="5.8241158590353823E-2"/>
          <c:w val="0.91358140980041047"/>
          <c:h val="0.63888996088927663"/>
        </c:manualLayout>
      </c:layout>
      <c:barChart>
        <c:barDir val="col"/>
        <c:grouping val="clustered"/>
        <c:varyColors val="0"/>
        <c:ser>
          <c:idx val="0"/>
          <c:order val="0"/>
          <c:tx>
            <c:strRef>
              <c:f>'Consilii Județene'!$AB$2</c:f>
              <c:strCache>
                <c:ptCount val="1"/>
                <c:pt idx="0">
                  <c:v>Total itemi îndepliniți</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Lit>
              <c:ptCount val="41"/>
              <c:pt idx="0">
                <c:v>Alba</c:v>
              </c:pt>
              <c:pt idx="1">
                <c:v> Arad</c:v>
              </c:pt>
              <c:pt idx="2">
                <c:v> Argeș</c:v>
              </c:pt>
              <c:pt idx="3">
                <c:v> Bacău</c:v>
              </c:pt>
              <c:pt idx="4">
                <c:v> Bihor</c:v>
              </c:pt>
              <c:pt idx="5">
                <c:v> Bistrița Năsăud</c:v>
              </c:pt>
              <c:pt idx="6">
                <c:v> Botoșani</c:v>
              </c:pt>
              <c:pt idx="7">
                <c:v> Brăila</c:v>
              </c:pt>
              <c:pt idx="8">
                <c:v> Brașov</c:v>
              </c:pt>
              <c:pt idx="9">
                <c:v> Buzău</c:v>
              </c:pt>
              <c:pt idx="10">
                <c:v> Călărași</c:v>
              </c:pt>
              <c:pt idx="11">
                <c:v> Caraș-Severin</c:v>
              </c:pt>
              <c:pt idx="12">
                <c:v> Cluj</c:v>
              </c:pt>
              <c:pt idx="13">
                <c:v> Constanța</c:v>
              </c:pt>
              <c:pt idx="14">
                <c:v> Covasna</c:v>
              </c:pt>
              <c:pt idx="15">
                <c:v> Dâmbovița</c:v>
              </c:pt>
              <c:pt idx="16">
                <c:v> Dolj</c:v>
              </c:pt>
              <c:pt idx="17">
                <c:v> Galați</c:v>
              </c:pt>
              <c:pt idx="18">
                <c:v> Giurgiu</c:v>
              </c:pt>
              <c:pt idx="19">
                <c:v> Gorj</c:v>
              </c:pt>
              <c:pt idx="20">
                <c:v> Harghita</c:v>
              </c:pt>
              <c:pt idx="21">
                <c:v> Hunedoara</c:v>
              </c:pt>
              <c:pt idx="22">
                <c:v> Ialomița</c:v>
              </c:pt>
              <c:pt idx="23">
                <c:v> Iași</c:v>
              </c:pt>
              <c:pt idx="24">
                <c:v> Ilfov</c:v>
              </c:pt>
              <c:pt idx="25">
                <c:v> Maramureș</c:v>
              </c:pt>
              <c:pt idx="26">
                <c:v> Mehedinți</c:v>
              </c:pt>
              <c:pt idx="27">
                <c:v> Mureș</c:v>
              </c:pt>
              <c:pt idx="28">
                <c:v> Neamț</c:v>
              </c:pt>
              <c:pt idx="29">
                <c:v> Olt</c:v>
              </c:pt>
              <c:pt idx="30">
                <c:v> Prahova</c:v>
              </c:pt>
              <c:pt idx="31">
                <c:v> Sălaj</c:v>
              </c:pt>
              <c:pt idx="32">
                <c:v> Satu-Mare</c:v>
              </c:pt>
              <c:pt idx="33">
                <c:v> Sibiu</c:v>
              </c:pt>
              <c:pt idx="34">
                <c:v> Suceava</c:v>
              </c:pt>
              <c:pt idx="35">
                <c:v> Teleorman</c:v>
              </c:pt>
              <c:pt idx="36">
                <c:v> Timis</c:v>
              </c:pt>
              <c:pt idx="37">
                <c:v> Tulcea</c:v>
              </c:pt>
              <c:pt idx="38">
                <c:v> Vâlcea</c:v>
              </c:pt>
              <c:pt idx="39">
                <c:v> Vaslui</c:v>
              </c:pt>
              <c:pt idx="40">
                <c:v> Vrancea</c:v>
              </c:pt>
            </c:strLit>
          </c:cat>
          <c:val>
            <c:numRef>
              <c:f>'Consilii Județene'!$AB$3:$AB$43</c:f>
              <c:numCache>
                <c:formatCode>General</c:formatCode>
                <c:ptCount val="41"/>
                <c:pt idx="0">
                  <c:v>23</c:v>
                </c:pt>
                <c:pt idx="1">
                  <c:v>17</c:v>
                </c:pt>
                <c:pt idx="2">
                  <c:v>20</c:v>
                </c:pt>
                <c:pt idx="3">
                  <c:v>20</c:v>
                </c:pt>
                <c:pt idx="4">
                  <c:v>20</c:v>
                </c:pt>
                <c:pt idx="5">
                  <c:v>20</c:v>
                </c:pt>
                <c:pt idx="6">
                  <c:v>22</c:v>
                </c:pt>
                <c:pt idx="7">
                  <c:v>19</c:v>
                </c:pt>
                <c:pt idx="8">
                  <c:v>14</c:v>
                </c:pt>
                <c:pt idx="9">
                  <c:v>23</c:v>
                </c:pt>
                <c:pt idx="10">
                  <c:v>20</c:v>
                </c:pt>
                <c:pt idx="11">
                  <c:v>21</c:v>
                </c:pt>
                <c:pt idx="12">
                  <c:v>17</c:v>
                </c:pt>
                <c:pt idx="13">
                  <c:v>22</c:v>
                </c:pt>
                <c:pt idx="14">
                  <c:v>23</c:v>
                </c:pt>
                <c:pt idx="15">
                  <c:v>21</c:v>
                </c:pt>
                <c:pt idx="16">
                  <c:v>20</c:v>
                </c:pt>
                <c:pt idx="17">
                  <c:v>22</c:v>
                </c:pt>
                <c:pt idx="18">
                  <c:v>23</c:v>
                </c:pt>
                <c:pt idx="19">
                  <c:v>20</c:v>
                </c:pt>
                <c:pt idx="20">
                  <c:v>20</c:v>
                </c:pt>
                <c:pt idx="21">
                  <c:v>21</c:v>
                </c:pt>
                <c:pt idx="22">
                  <c:v>17</c:v>
                </c:pt>
                <c:pt idx="23">
                  <c:v>15</c:v>
                </c:pt>
                <c:pt idx="24">
                  <c:v>11</c:v>
                </c:pt>
                <c:pt idx="25">
                  <c:v>11</c:v>
                </c:pt>
                <c:pt idx="26">
                  <c:v>15</c:v>
                </c:pt>
                <c:pt idx="27">
                  <c:v>21</c:v>
                </c:pt>
                <c:pt idx="28">
                  <c:v>21</c:v>
                </c:pt>
                <c:pt idx="29">
                  <c:v>16</c:v>
                </c:pt>
                <c:pt idx="30">
                  <c:v>11</c:v>
                </c:pt>
                <c:pt idx="31">
                  <c:v>23</c:v>
                </c:pt>
                <c:pt idx="32">
                  <c:v>21</c:v>
                </c:pt>
                <c:pt idx="33">
                  <c:v>20</c:v>
                </c:pt>
                <c:pt idx="34">
                  <c:v>19</c:v>
                </c:pt>
                <c:pt idx="35">
                  <c:v>19</c:v>
                </c:pt>
                <c:pt idx="36">
                  <c:v>23</c:v>
                </c:pt>
                <c:pt idx="37">
                  <c:v>22</c:v>
                </c:pt>
                <c:pt idx="38">
                  <c:v>23</c:v>
                </c:pt>
                <c:pt idx="39">
                  <c:v>22</c:v>
                </c:pt>
                <c:pt idx="40">
                  <c:v>22</c:v>
                </c:pt>
              </c:numCache>
            </c:numRef>
          </c:val>
          <c:extLst xmlns:c16r2="http://schemas.microsoft.com/office/drawing/2015/06/chart">
            <c:ext xmlns:c16="http://schemas.microsoft.com/office/drawing/2014/chart" uri="{C3380CC4-5D6E-409C-BE32-E72D297353CC}">
              <c16:uniqueId val="{00000000-487F-443C-8F99-C0C23BC8DA67}"/>
            </c:ext>
          </c:extLst>
        </c:ser>
        <c:dLbls>
          <c:showLegendKey val="0"/>
          <c:showVal val="1"/>
          <c:showCatName val="0"/>
          <c:showSerName val="0"/>
          <c:showPercent val="0"/>
          <c:showBubbleSize val="0"/>
        </c:dLbls>
        <c:gapWidth val="75"/>
        <c:axId val="551255728"/>
        <c:axId val="551249456"/>
      </c:barChart>
      <c:catAx>
        <c:axId val="551255728"/>
        <c:scaling>
          <c:orientation val="minMax"/>
        </c:scaling>
        <c:delete val="0"/>
        <c:axPos val="b"/>
        <c:numFmt formatCode="General" sourceLinked="0"/>
        <c:majorTickMark val="none"/>
        <c:minorTickMark val="none"/>
        <c:tickLblPos val="nextTo"/>
        <c:crossAx val="551249456"/>
        <c:crosses val="autoZero"/>
        <c:auto val="1"/>
        <c:lblAlgn val="ctr"/>
        <c:lblOffset val="100"/>
        <c:noMultiLvlLbl val="0"/>
      </c:catAx>
      <c:valAx>
        <c:axId val="551249456"/>
        <c:scaling>
          <c:orientation val="minMax"/>
        </c:scaling>
        <c:delete val="0"/>
        <c:axPos val="l"/>
        <c:numFmt formatCode="General" sourceLinked="1"/>
        <c:majorTickMark val="none"/>
        <c:minorTickMark val="none"/>
        <c:tickLblPos val="nextTo"/>
        <c:crossAx val="551255728"/>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title>
      <c:overlay val="0"/>
    </c:title>
    <c:autoTitleDeleted val="0"/>
    <c:plotArea>
      <c:layout/>
      <c:barChart>
        <c:barDir val="col"/>
        <c:grouping val="clustered"/>
        <c:varyColors val="0"/>
        <c:ser>
          <c:idx val="0"/>
          <c:order val="0"/>
          <c:tx>
            <c:v>Total itemi îndepliniți</c:v>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Prefecturi!$A$3:$A$44</c:f>
              <c:strCache>
                <c:ptCount val="42"/>
                <c:pt idx="0">
                  <c:v>Alba</c:v>
                </c:pt>
                <c:pt idx="1">
                  <c:v>Arad</c:v>
                </c:pt>
                <c:pt idx="2">
                  <c:v>Argeș</c:v>
                </c:pt>
                <c:pt idx="3">
                  <c:v>Bacău</c:v>
                </c:pt>
                <c:pt idx="4">
                  <c:v>Bihor</c:v>
                </c:pt>
                <c:pt idx="5">
                  <c:v>Bistrita Năsăud</c:v>
                </c:pt>
                <c:pt idx="6">
                  <c:v>Botoșani</c:v>
                </c:pt>
                <c:pt idx="7">
                  <c:v>Brăila</c:v>
                </c:pt>
                <c:pt idx="8">
                  <c:v>Brașov</c:v>
                </c:pt>
                <c:pt idx="9">
                  <c:v>București</c:v>
                </c:pt>
                <c:pt idx="10">
                  <c:v>Buzău</c:v>
                </c:pt>
                <c:pt idx="11">
                  <c:v>Călărași</c:v>
                </c:pt>
                <c:pt idx="12">
                  <c:v>Caraș-Severin</c:v>
                </c:pt>
                <c:pt idx="13">
                  <c:v>Cluj-Napoca</c:v>
                </c:pt>
                <c:pt idx="14">
                  <c:v>Constanța</c:v>
                </c:pt>
                <c:pt idx="15">
                  <c:v>Covasna</c:v>
                </c:pt>
                <c:pt idx="16">
                  <c:v>Dâmbovița</c:v>
                </c:pt>
                <c:pt idx="17">
                  <c:v>Dolj</c:v>
                </c:pt>
                <c:pt idx="18">
                  <c:v>Galați</c:v>
                </c:pt>
                <c:pt idx="19">
                  <c:v>Giurgiu</c:v>
                </c:pt>
                <c:pt idx="20">
                  <c:v>Gorj</c:v>
                </c:pt>
                <c:pt idx="21">
                  <c:v>Harghita</c:v>
                </c:pt>
                <c:pt idx="22">
                  <c:v>Hunedoara</c:v>
                </c:pt>
                <c:pt idx="23">
                  <c:v>Ialomița</c:v>
                </c:pt>
                <c:pt idx="24">
                  <c:v>Iași</c:v>
                </c:pt>
                <c:pt idx="25">
                  <c:v>Ilfov</c:v>
                </c:pt>
                <c:pt idx="26">
                  <c:v>Maramureș</c:v>
                </c:pt>
                <c:pt idx="27">
                  <c:v>Mehedinți</c:v>
                </c:pt>
                <c:pt idx="28">
                  <c:v>Mureș</c:v>
                </c:pt>
                <c:pt idx="29">
                  <c:v>Neamț</c:v>
                </c:pt>
                <c:pt idx="30">
                  <c:v>Olt</c:v>
                </c:pt>
                <c:pt idx="31">
                  <c:v>Prahova</c:v>
                </c:pt>
                <c:pt idx="32">
                  <c:v>Salaj</c:v>
                </c:pt>
                <c:pt idx="33">
                  <c:v>Satu Mare</c:v>
                </c:pt>
                <c:pt idx="34">
                  <c:v>Sibiu</c:v>
                </c:pt>
                <c:pt idx="35">
                  <c:v>Suceava</c:v>
                </c:pt>
                <c:pt idx="36">
                  <c:v>Teleorman</c:v>
                </c:pt>
                <c:pt idx="37">
                  <c:v>Timiș</c:v>
                </c:pt>
                <c:pt idx="38">
                  <c:v>Tulcea</c:v>
                </c:pt>
                <c:pt idx="39">
                  <c:v>Vâlcea</c:v>
                </c:pt>
                <c:pt idx="40">
                  <c:v>Vaslui</c:v>
                </c:pt>
                <c:pt idx="41">
                  <c:v>Vrancea</c:v>
                </c:pt>
              </c:strCache>
            </c:strRef>
          </c:cat>
          <c:val>
            <c:numRef>
              <c:f>Prefecturi!$AA$3:$AA$44</c:f>
              <c:numCache>
                <c:formatCode>General</c:formatCode>
                <c:ptCount val="42"/>
                <c:pt idx="0">
                  <c:v>18</c:v>
                </c:pt>
                <c:pt idx="1">
                  <c:v>11</c:v>
                </c:pt>
                <c:pt idx="2">
                  <c:v>15</c:v>
                </c:pt>
                <c:pt idx="3">
                  <c:v>14</c:v>
                </c:pt>
                <c:pt idx="4">
                  <c:v>22</c:v>
                </c:pt>
                <c:pt idx="5">
                  <c:v>21</c:v>
                </c:pt>
                <c:pt idx="6">
                  <c:v>20</c:v>
                </c:pt>
                <c:pt idx="7">
                  <c:v>22</c:v>
                </c:pt>
                <c:pt idx="8">
                  <c:v>22</c:v>
                </c:pt>
                <c:pt idx="9">
                  <c:v>22</c:v>
                </c:pt>
                <c:pt idx="10">
                  <c:v>18</c:v>
                </c:pt>
                <c:pt idx="11">
                  <c:v>20</c:v>
                </c:pt>
                <c:pt idx="12">
                  <c:v>22</c:v>
                </c:pt>
                <c:pt idx="13">
                  <c:v>21</c:v>
                </c:pt>
                <c:pt idx="14">
                  <c:v>18</c:v>
                </c:pt>
                <c:pt idx="15">
                  <c:v>23</c:v>
                </c:pt>
                <c:pt idx="16">
                  <c:v>20</c:v>
                </c:pt>
                <c:pt idx="17">
                  <c:v>20</c:v>
                </c:pt>
                <c:pt idx="18">
                  <c:v>18</c:v>
                </c:pt>
                <c:pt idx="19">
                  <c:v>14</c:v>
                </c:pt>
                <c:pt idx="20">
                  <c:v>14</c:v>
                </c:pt>
                <c:pt idx="21">
                  <c:v>13</c:v>
                </c:pt>
                <c:pt idx="22">
                  <c:v>23</c:v>
                </c:pt>
                <c:pt idx="23">
                  <c:v>18</c:v>
                </c:pt>
                <c:pt idx="24">
                  <c:v>18</c:v>
                </c:pt>
                <c:pt idx="25">
                  <c:v>19</c:v>
                </c:pt>
                <c:pt idx="26">
                  <c:v>16</c:v>
                </c:pt>
                <c:pt idx="27">
                  <c:v>19</c:v>
                </c:pt>
                <c:pt idx="28">
                  <c:v>21</c:v>
                </c:pt>
                <c:pt idx="29">
                  <c:v>20</c:v>
                </c:pt>
                <c:pt idx="30">
                  <c:v>22</c:v>
                </c:pt>
                <c:pt idx="31">
                  <c:v>23</c:v>
                </c:pt>
                <c:pt idx="32">
                  <c:v>21</c:v>
                </c:pt>
                <c:pt idx="33">
                  <c:v>17</c:v>
                </c:pt>
                <c:pt idx="34">
                  <c:v>18</c:v>
                </c:pt>
                <c:pt idx="35">
                  <c:v>18</c:v>
                </c:pt>
                <c:pt idx="36">
                  <c:v>22</c:v>
                </c:pt>
                <c:pt idx="37">
                  <c:v>22</c:v>
                </c:pt>
                <c:pt idx="38">
                  <c:v>19</c:v>
                </c:pt>
                <c:pt idx="39">
                  <c:v>23</c:v>
                </c:pt>
                <c:pt idx="40">
                  <c:v>16</c:v>
                </c:pt>
                <c:pt idx="41">
                  <c:v>22</c:v>
                </c:pt>
              </c:numCache>
            </c:numRef>
          </c:val>
          <c:extLst xmlns:c16r2="http://schemas.microsoft.com/office/drawing/2015/06/chart">
            <c:ext xmlns:c16="http://schemas.microsoft.com/office/drawing/2014/chart" uri="{C3380CC4-5D6E-409C-BE32-E72D297353CC}">
              <c16:uniqueId val="{00000000-286A-4E7D-A680-87F414BC5DF7}"/>
            </c:ext>
          </c:extLst>
        </c:ser>
        <c:dLbls>
          <c:showLegendKey val="0"/>
          <c:showVal val="1"/>
          <c:showCatName val="0"/>
          <c:showSerName val="0"/>
          <c:showPercent val="0"/>
          <c:showBubbleSize val="0"/>
        </c:dLbls>
        <c:gapWidth val="150"/>
        <c:overlap val="-25"/>
        <c:axId val="551252984"/>
        <c:axId val="551250632"/>
      </c:barChart>
      <c:catAx>
        <c:axId val="551252984"/>
        <c:scaling>
          <c:orientation val="minMax"/>
        </c:scaling>
        <c:delete val="0"/>
        <c:axPos val="b"/>
        <c:numFmt formatCode="General" sourceLinked="0"/>
        <c:majorTickMark val="none"/>
        <c:minorTickMark val="none"/>
        <c:tickLblPos val="nextTo"/>
        <c:crossAx val="551250632"/>
        <c:crosses val="autoZero"/>
        <c:auto val="1"/>
        <c:lblAlgn val="ctr"/>
        <c:lblOffset val="100"/>
        <c:noMultiLvlLbl val="0"/>
      </c:catAx>
      <c:valAx>
        <c:axId val="551250632"/>
        <c:scaling>
          <c:orientation val="minMax"/>
        </c:scaling>
        <c:delete val="1"/>
        <c:axPos val="l"/>
        <c:numFmt formatCode="General" sourceLinked="1"/>
        <c:majorTickMark val="none"/>
        <c:minorTickMark val="none"/>
        <c:tickLblPos val="nextTo"/>
        <c:crossAx val="551252984"/>
        <c:crosses val="autoZero"/>
        <c:crossBetween val="between"/>
      </c:valAx>
    </c:plotArea>
    <c:legend>
      <c:legendPos val="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Total</a:t>
            </a:r>
            <a:r>
              <a:rPr lang="en-US" baseline="0"/>
              <a:t> itemi </a:t>
            </a:r>
            <a:r>
              <a:rPr lang="ro-RO" baseline="0"/>
              <a:t>îndepliniți</a:t>
            </a:r>
          </a:p>
        </c:rich>
      </c:tx>
      <c:overlay val="0"/>
    </c:title>
    <c:autoTitleDeleted val="0"/>
    <c:plotArea>
      <c:layout/>
      <c:bar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Lit>
              <c:ptCount val="24"/>
              <c:pt idx="0">
                <c:v>MDRAPFE</c:v>
              </c:pt>
              <c:pt idx="1">
                <c:v> M. Mediului</c:v>
              </c:pt>
              <c:pt idx="2">
                <c:v> MAI</c:v>
              </c:pt>
              <c:pt idx="3">
                <c:v> MAE</c:v>
              </c:pt>
              <c:pt idx="4">
                <c:v> MApN</c:v>
              </c:pt>
              <c:pt idx="5">
                <c:v> MFP</c:v>
              </c:pt>
              <c:pt idx="6">
                <c:v> MJ</c:v>
              </c:pt>
              <c:pt idx="7">
                <c:v> M. Agriculturii</c:v>
              </c:pt>
              <c:pt idx="8">
                <c:v> MEN</c:v>
              </c:pt>
              <c:pt idx="9">
                <c:v> M. Muncii</c:v>
              </c:pt>
              <c:pt idx="10">
                <c:v> M Economiei</c:v>
              </c:pt>
              <c:pt idx="11">
                <c:v> M Energiei</c:v>
              </c:pt>
              <c:pt idx="12">
                <c:v> M Transporturilor</c:v>
              </c:pt>
              <c:pt idx="13">
                <c:v> M Mediu de Afaceri</c:v>
              </c:pt>
              <c:pt idx="14">
                <c:v> MS</c:v>
              </c:pt>
              <c:pt idx="15">
                <c:v> M Culturii</c:v>
              </c:pt>
              <c:pt idx="16">
                <c:v> M Ape și Păduri</c:v>
              </c:pt>
              <c:pt idx="17">
                <c:v> M Cercetării</c:v>
              </c:pt>
              <c:pt idx="18">
                <c:v> M Comunicațiilor</c:v>
              </c:pt>
              <c:pt idx="19">
                <c:v> MTS</c:v>
              </c:pt>
              <c:pt idx="20">
                <c:v> M Turismului</c:v>
              </c:pt>
              <c:pt idx="21">
                <c:v> M Românii de pretutindeni</c:v>
              </c:pt>
              <c:pt idx="22">
                <c:v> MCPDS</c:v>
              </c:pt>
              <c:pt idx="23">
                <c:v> M Relația cu Parlamentul+Ministere!$AB$3+Ministere!$J$3</c:v>
              </c:pt>
            </c:strLit>
          </c:cat>
          <c:val>
            <c:numRef>
              <c:f>Ministere!$AC$3:$AC$26</c:f>
              <c:numCache>
                <c:formatCode>General</c:formatCode>
                <c:ptCount val="24"/>
                <c:pt idx="0">
                  <c:v>16</c:v>
                </c:pt>
                <c:pt idx="1">
                  <c:v>15</c:v>
                </c:pt>
                <c:pt idx="2">
                  <c:v>21</c:v>
                </c:pt>
                <c:pt idx="3">
                  <c:v>23</c:v>
                </c:pt>
                <c:pt idx="4">
                  <c:v>18</c:v>
                </c:pt>
                <c:pt idx="5">
                  <c:v>18</c:v>
                </c:pt>
                <c:pt idx="6">
                  <c:v>22</c:v>
                </c:pt>
                <c:pt idx="7">
                  <c:v>10</c:v>
                </c:pt>
                <c:pt idx="8">
                  <c:v>16</c:v>
                </c:pt>
                <c:pt idx="9">
                  <c:v>19</c:v>
                </c:pt>
                <c:pt idx="10">
                  <c:v>11</c:v>
                </c:pt>
                <c:pt idx="11">
                  <c:v>17</c:v>
                </c:pt>
                <c:pt idx="12">
                  <c:v>13</c:v>
                </c:pt>
                <c:pt idx="13">
                  <c:v>7</c:v>
                </c:pt>
                <c:pt idx="14">
                  <c:v>13</c:v>
                </c:pt>
                <c:pt idx="15">
                  <c:v>18</c:v>
                </c:pt>
                <c:pt idx="16">
                  <c:v>8</c:v>
                </c:pt>
                <c:pt idx="17">
                  <c:v>10</c:v>
                </c:pt>
                <c:pt idx="18">
                  <c:v>19</c:v>
                </c:pt>
                <c:pt idx="19">
                  <c:v>17</c:v>
                </c:pt>
                <c:pt idx="20">
                  <c:v>12</c:v>
                </c:pt>
                <c:pt idx="21">
                  <c:v>8</c:v>
                </c:pt>
                <c:pt idx="22">
                  <c:v>21</c:v>
                </c:pt>
                <c:pt idx="23">
                  <c:v>19</c:v>
                </c:pt>
              </c:numCache>
            </c:numRef>
          </c:val>
          <c:extLst xmlns:c16r2="http://schemas.microsoft.com/office/drawing/2015/06/chart">
            <c:ext xmlns:c16="http://schemas.microsoft.com/office/drawing/2014/chart" uri="{C3380CC4-5D6E-409C-BE32-E72D297353CC}">
              <c16:uniqueId val="{00000000-3B25-477E-865B-9C22D2103591}"/>
            </c:ext>
          </c:extLst>
        </c:ser>
        <c:dLbls>
          <c:showLegendKey val="0"/>
          <c:showVal val="1"/>
          <c:showCatName val="0"/>
          <c:showSerName val="0"/>
          <c:showPercent val="0"/>
          <c:showBubbleSize val="0"/>
        </c:dLbls>
        <c:gapWidth val="150"/>
        <c:overlap val="-25"/>
        <c:axId val="551251808"/>
        <c:axId val="551254160"/>
      </c:barChart>
      <c:catAx>
        <c:axId val="551251808"/>
        <c:scaling>
          <c:orientation val="minMax"/>
        </c:scaling>
        <c:delete val="0"/>
        <c:axPos val="b"/>
        <c:numFmt formatCode="General" sourceLinked="0"/>
        <c:majorTickMark val="none"/>
        <c:minorTickMark val="none"/>
        <c:tickLblPos val="nextTo"/>
        <c:crossAx val="551254160"/>
        <c:crosses val="autoZero"/>
        <c:auto val="1"/>
        <c:lblAlgn val="ctr"/>
        <c:lblOffset val="100"/>
        <c:noMultiLvlLbl val="0"/>
      </c:catAx>
      <c:valAx>
        <c:axId val="551254160"/>
        <c:scaling>
          <c:orientation val="minMax"/>
        </c:scaling>
        <c:delete val="1"/>
        <c:axPos val="l"/>
        <c:numFmt formatCode="General" sourceLinked="1"/>
        <c:majorTickMark val="out"/>
        <c:minorTickMark val="none"/>
        <c:tickLblPos val="nextTo"/>
        <c:crossAx val="551251808"/>
        <c:crosses val="autoZero"/>
        <c:crossBetween val="between"/>
      </c:valAx>
    </c:plotArea>
    <c:legend>
      <c:legendPos val="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Total itemi </a:t>
            </a:r>
            <a:r>
              <a:rPr lang="ro-RO"/>
              <a:t>îndepliniți</a:t>
            </a:r>
            <a:endParaRPr lang="en-US"/>
          </a:p>
        </c:rich>
      </c:tx>
      <c:overlay val="0"/>
    </c:title>
    <c:autoTitleDeleted val="0"/>
    <c:plotArea>
      <c:layout/>
      <c:barChart>
        <c:barDir val="bar"/>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Municipii!$A$3:$A$111</c:f>
              <c:strCache>
                <c:ptCount val="109"/>
                <c:pt idx="0">
                  <c:v>Adjud</c:v>
                </c:pt>
                <c:pt idx="1">
                  <c:v>Aiud</c:v>
                </c:pt>
                <c:pt idx="2">
                  <c:v>Alba Iulia</c:v>
                </c:pt>
                <c:pt idx="3">
                  <c:v>Alexandria</c:v>
                </c:pt>
                <c:pt idx="4">
                  <c:v>Arad</c:v>
                </c:pt>
                <c:pt idx="5">
                  <c:v>Bacău </c:v>
                </c:pt>
                <c:pt idx="6">
                  <c:v>Baia Mare </c:v>
                </c:pt>
                <c:pt idx="7">
                  <c:v>Băilești </c:v>
                </c:pt>
                <c:pt idx="8">
                  <c:v>Bârlad </c:v>
                </c:pt>
                <c:pt idx="9">
                  <c:v>Beiuș </c:v>
                </c:pt>
                <c:pt idx="10">
                  <c:v>Bistrița </c:v>
                </c:pt>
                <c:pt idx="11">
                  <c:v>Blaj </c:v>
                </c:pt>
                <c:pt idx="12">
                  <c:v>Botoșani </c:v>
                </c:pt>
                <c:pt idx="13">
                  <c:v>Brad </c:v>
                </c:pt>
                <c:pt idx="14">
                  <c:v>Brăila </c:v>
                </c:pt>
                <c:pt idx="15">
                  <c:v>Brașov</c:v>
                </c:pt>
                <c:pt idx="16">
                  <c:v>București </c:v>
                </c:pt>
                <c:pt idx="17">
                  <c:v>Sectorul 1</c:v>
                </c:pt>
                <c:pt idx="18">
                  <c:v>Sectorul 2</c:v>
                </c:pt>
                <c:pt idx="19">
                  <c:v>Sectorul 3</c:v>
                </c:pt>
                <c:pt idx="20">
                  <c:v>Sectorul 4</c:v>
                </c:pt>
                <c:pt idx="21">
                  <c:v>Sectorul 5</c:v>
                </c:pt>
                <c:pt idx="22">
                  <c:v>Sectorul 6</c:v>
                </c:pt>
                <c:pt idx="23">
                  <c:v>Buzău </c:v>
                </c:pt>
                <c:pt idx="24">
                  <c:v>Calafat </c:v>
                </c:pt>
                <c:pt idx="25">
                  <c:v>Călărași </c:v>
                </c:pt>
                <c:pt idx="26">
                  <c:v>Câmpia Turzii </c:v>
                </c:pt>
                <c:pt idx="27">
                  <c:v>Câmpina </c:v>
                </c:pt>
                <c:pt idx="28">
                  <c:v>Câmpulung </c:v>
                </c:pt>
                <c:pt idx="29">
                  <c:v>Câmpulung Moldovenesc </c:v>
                </c:pt>
                <c:pt idx="30">
                  <c:v>Caracal </c:v>
                </c:pt>
                <c:pt idx="31">
                  <c:v>Caransebeș </c:v>
                </c:pt>
                <c:pt idx="32">
                  <c:v>Carei </c:v>
                </c:pt>
                <c:pt idx="33">
                  <c:v>Cluj Napoca </c:v>
                </c:pt>
                <c:pt idx="34">
                  <c:v>Codlea </c:v>
                </c:pt>
                <c:pt idx="35">
                  <c:v>Constanța </c:v>
                </c:pt>
                <c:pt idx="36">
                  <c:v>Craiova </c:v>
                </c:pt>
                <c:pt idx="37">
                  <c:v>Curtea de Argeș </c:v>
                </c:pt>
                <c:pt idx="38">
                  <c:v>Dej </c:v>
                </c:pt>
                <c:pt idx="39">
                  <c:v>Deva </c:v>
                </c:pt>
                <c:pt idx="40">
                  <c:v>Dorohoi </c:v>
                </c:pt>
                <c:pt idx="41">
                  <c:v>Drăgășani </c:v>
                </c:pt>
                <c:pt idx="42">
                  <c:v>Drobeta-Turnu Severin </c:v>
                </c:pt>
                <c:pt idx="43">
                  <c:v>Făgăraș </c:v>
                </c:pt>
                <c:pt idx="44">
                  <c:v>Fălticeni </c:v>
                </c:pt>
                <c:pt idx="45">
                  <c:v>Fetești </c:v>
                </c:pt>
                <c:pt idx="46">
                  <c:v>Focșani </c:v>
                </c:pt>
                <c:pt idx="47">
                  <c:v>Galați </c:v>
                </c:pt>
                <c:pt idx="48">
                  <c:v>Gheorgheni </c:v>
                </c:pt>
                <c:pt idx="49">
                  <c:v>Gherla </c:v>
                </c:pt>
                <c:pt idx="50">
                  <c:v>Giurgiu </c:v>
                </c:pt>
                <c:pt idx="51">
                  <c:v>Hunedoara </c:v>
                </c:pt>
                <c:pt idx="52">
                  <c:v>Huși </c:v>
                </c:pt>
                <c:pt idx="53">
                  <c:v>Iași </c:v>
                </c:pt>
                <c:pt idx="54">
                  <c:v>Lugoj </c:v>
                </c:pt>
                <c:pt idx="55">
                  <c:v>Lupeni</c:v>
                </c:pt>
                <c:pt idx="56">
                  <c:v>Mangalia </c:v>
                </c:pt>
                <c:pt idx="57">
                  <c:v>Marghita </c:v>
                </c:pt>
                <c:pt idx="58">
                  <c:v>Medgidia </c:v>
                </c:pt>
                <c:pt idx="59">
                  <c:v>Mediaș </c:v>
                </c:pt>
                <c:pt idx="60">
                  <c:v>Miercurea Ciuc </c:v>
                </c:pt>
                <c:pt idx="61">
                  <c:v>Moinești </c:v>
                </c:pt>
                <c:pt idx="62">
                  <c:v>Moreni </c:v>
                </c:pt>
                <c:pt idx="63">
                  <c:v>Motru </c:v>
                </c:pt>
                <c:pt idx="64">
                  <c:v>Odorheiu Secuiesc </c:v>
                </c:pt>
                <c:pt idx="65">
                  <c:v>Oltenița </c:v>
                </c:pt>
                <c:pt idx="66">
                  <c:v>Onești </c:v>
                </c:pt>
                <c:pt idx="67">
                  <c:v>Oradea </c:v>
                </c:pt>
                <c:pt idx="68">
                  <c:v>Orăștie </c:v>
                </c:pt>
                <c:pt idx="69">
                  <c:v>Orșova </c:v>
                </c:pt>
                <c:pt idx="70">
                  <c:v>Pașcani </c:v>
                </c:pt>
                <c:pt idx="71">
                  <c:v>Petroșani </c:v>
                </c:pt>
                <c:pt idx="72">
                  <c:v>Piatra Neamț </c:v>
                </c:pt>
                <c:pt idx="73">
                  <c:v>Pitești </c:v>
                </c:pt>
                <c:pt idx="74">
                  <c:v>Ploiești </c:v>
                </c:pt>
                <c:pt idx="75">
                  <c:v>Rădăuți </c:v>
                </c:pt>
                <c:pt idx="76">
                  <c:v>Râmnicu Sărat </c:v>
                </c:pt>
                <c:pt idx="77">
                  <c:v>Râmnicu Vâlcea</c:v>
                </c:pt>
                <c:pt idx="78">
                  <c:v>Reghin </c:v>
                </c:pt>
                <c:pt idx="79">
                  <c:v>Reșița </c:v>
                </c:pt>
                <c:pt idx="80">
                  <c:v>Roman </c:v>
                </c:pt>
                <c:pt idx="81">
                  <c:v>Roșiorii de Vede </c:v>
                </c:pt>
                <c:pt idx="82">
                  <c:v>Săcele </c:v>
                </c:pt>
                <c:pt idx="83">
                  <c:v>Salonta </c:v>
                </c:pt>
                <c:pt idx="84">
                  <c:v>Satu Mare </c:v>
                </c:pt>
                <c:pt idx="85">
                  <c:v>Sebeș </c:v>
                </c:pt>
                <c:pt idx="86">
                  <c:v>Sfântu Gheorghe </c:v>
                </c:pt>
                <c:pt idx="87">
                  <c:v>Sibiu </c:v>
                </c:pt>
                <c:pt idx="88">
                  <c:v>Sighetu Marmației </c:v>
                </c:pt>
                <c:pt idx="89">
                  <c:v>Sighișoara </c:v>
                </c:pt>
                <c:pt idx="90">
                  <c:v>Slatina </c:v>
                </c:pt>
                <c:pt idx="91">
                  <c:v>Slobozia </c:v>
                </c:pt>
                <c:pt idx="92">
                  <c:v>Suceava </c:v>
                </c:pt>
                <c:pt idx="93">
                  <c:v>Târgoviște </c:v>
                </c:pt>
                <c:pt idx="94">
                  <c:v>Târgu Jiu </c:v>
                </c:pt>
                <c:pt idx="95">
                  <c:v>Târgu Mureș </c:v>
                </c:pt>
                <c:pt idx="96">
                  <c:v>Târgu Secuiesc </c:v>
                </c:pt>
                <c:pt idx="97">
                  <c:v>Târnăveni </c:v>
                </c:pt>
                <c:pt idx="98">
                  <c:v>Tecuci </c:v>
                </c:pt>
                <c:pt idx="99">
                  <c:v>Timișoara </c:v>
                </c:pt>
                <c:pt idx="100">
                  <c:v>Toplița </c:v>
                </c:pt>
                <c:pt idx="101">
                  <c:v>Tulcea </c:v>
                </c:pt>
                <c:pt idx="102">
                  <c:v>Turda </c:v>
                </c:pt>
                <c:pt idx="103">
                  <c:v>Turnu Măgurele </c:v>
                </c:pt>
                <c:pt idx="104">
                  <c:v>Urziceni </c:v>
                </c:pt>
                <c:pt idx="105">
                  <c:v>Vaslui </c:v>
                </c:pt>
                <c:pt idx="106">
                  <c:v>Vatra Dornei </c:v>
                </c:pt>
                <c:pt idx="107">
                  <c:v>Vulcan </c:v>
                </c:pt>
                <c:pt idx="108">
                  <c:v>Zalău</c:v>
                </c:pt>
              </c:strCache>
            </c:strRef>
          </c:cat>
          <c:val>
            <c:numRef>
              <c:f>Municipii!$AA$3:$AA$111</c:f>
              <c:numCache>
                <c:formatCode>General</c:formatCode>
                <c:ptCount val="109"/>
                <c:pt idx="0">
                  <c:v>16</c:v>
                </c:pt>
                <c:pt idx="1">
                  <c:v>0</c:v>
                </c:pt>
                <c:pt idx="2">
                  <c:v>14</c:v>
                </c:pt>
                <c:pt idx="3">
                  <c:v>12</c:v>
                </c:pt>
                <c:pt idx="4">
                  <c:v>10</c:v>
                </c:pt>
                <c:pt idx="5">
                  <c:v>16</c:v>
                </c:pt>
                <c:pt idx="6">
                  <c:v>20</c:v>
                </c:pt>
                <c:pt idx="7">
                  <c:v>6</c:v>
                </c:pt>
                <c:pt idx="8">
                  <c:v>12</c:v>
                </c:pt>
                <c:pt idx="9">
                  <c:v>19</c:v>
                </c:pt>
                <c:pt idx="10">
                  <c:v>21</c:v>
                </c:pt>
                <c:pt idx="11">
                  <c:v>14</c:v>
                </c:pt>
                <c:pt idx="12">
                  <c:v>21</c:v>
                </c:pt>
                <c:pt idx="13">
                  <c:v>19</c:v>
                </c:pt>
                <c:pt idx="14">
                  <c:v>18</c:v>
                </c:pt>
                <c:pt idx="15">
                  <c:v>19</c:v>
                </c:pt>
                <c:pt idx="16">
                  <c:v>18</c:v>
                </c:pt>
                <c:pt idx="17">
                  <c:v>20</c:v>
                </c:pt>
                <c:pt idx="18">
                  <c:v>21</c:v>
                </c:pt>
                <c:pt idx="19">
                  <c:v>19</c:v>
                </c:pt>
                <c:pt idx="20">
                  <c:v>21</c:v>
                </c:pt>
                <c:pt idx="21">
                  <c:v>19</c:v>
                </c:pt>
                <c:pt idx="22">
                  <c:v>20</c:v>
                </c:pt>
                <c:pt idx="23">
                  <c:v>20</c:v>
                </c:pt>
                <c:pt idx="24">
                  <c:v>13</c:v>
                </c:pt>
                <c:pt idx="25">
                  <c:v>22</c:v>
                </c:pt>
                <c:pt idx="26">
                  <c:v>20</c:v>
                </c:pt>
                <c:pt idx="27">
                  <c:v>0</c:v>
                </c:pt>
                <c:pt idx="28">
                  <c:v>18</c:v>
                </c:pt>
                <c:pt idx="29">
                  <c:v>20</c:v>
                </c:pt>
                <c:pt idx="30">
                  <c:v>12</c:v>
                </c:pt>
                <c:pt idx="31">
                  <c:v>21</c:v>
                </c:pt>
                <c:pt idx="32">
                  <c:v>3</c:v>
                </c:pt>
                <c:pt idx="33">
                  <c:v>22</c:v>
                </c:pt>
                <c:pt idx="34">
                  <c:v>10</c:v>
                </c:pt>
                <c:pt idx="35">
                  <c:v>22</c:v>
                </c:pt>
                <c:pt idx="36">
                  <c:v>21</c:v>
                </c:pt>
                <c:pt idx="37">
                  <c:v>20</c:v>
                </c:pt>
                <c:pt idx="38">
                  <c:v>17</c:v>
                </c:pt>
                <c:pt idx="39">
                  <c:v>22</c:v>
                </c:pt>
                <c:pt idx="40">
                  <c:v>16</c:v>
                </c:pt>
                <c:pt idx="41">
                  <c:v>0</c:v>
                </c:pt>
                <c:pt idx="42">
                  <c:v>5</c:v>
                </c:pt>
                <c:pt idx="43">
                  <c:v>12</c:v>
                </c:pt>
                <c:pt idx="44">
                  <c:v>12</c:v>
                </c:pt>
                <c:pt idx="45">
                  <c:v>17</c:v>
                </c:pt>
                <c:pt idx="46">
                  <c:v>12</c:v>
                </c:pt>
                <c:pt idx="47">
                  <c:v>16</c:v>
                </c:pt>
                <c:pt idx="48">
                  <c:v>15</c:v>
                </c:pt>
                <c:pt idx="49">
                  <c:v>8</c:v>
                </c:pt>
                <c:pt idx="50">
                  <c:v>20</c:v>
                </c:pt>
                <c:pt idx="51">
                  <c:v>21</c:v>
                </c:pt>
                <c:pt idx="52">
                  <c:v>20</c:v>
                </c:pt>
                <c:pt idx="53">
                  <c:v>20</c:v>
                </c:pt>
                <c:pt idx="54">
                  <c:v>21</c:v>
                </c:pt>
                <c:pt idx="55">
                  <c:v>6</c:v>
                </c:pt>
                <c:pt idx="56">
                  <c:v>9</c:v>
                </c:pt>
                <c:pt idx="57">
                  <c:v>17</c:v>
                </c:pt>
                <c:pt idx="58">
                  <c:v>14</c:v>
                </c:pt>
                <c:pt idx="59">
                  <c:v>13</c:v>
                </c:pt>
                <c:pt idx="60">
                  <c:v>5</c:v>
                </c:pt>
                <c:pt idx="61">
                  <c:v>15</c:v>
                </c:pt>
                <c:pt idx="62">
                  <c:v>14</c:v>
                </c:pt>
                <c:pt idx="63">
                  <c:v>11</c:v>
                </c:pt>
                <c:pt idx="64">
                  <c:v>9</c:v>
                </c:pt>
                <c:pt idx="65">
                  <c:v>10</c:v>
                </c:pt>
                <c:pt idx="66">
                  <c:v>17</c:v>
                </c:pt>
                <c:pt idx="67">
                  <c:v>17</c:v>
                </c:pt>
                <c:pt idx="68">
                  <c:v>19</c:v>
                </c:pt>
                <c:pt idx="69">
                  <c:v>10</c:v>
                </c:pt>
                <c:pt idx="70">
                  <c:v>18</c:v>
                </c:pt>
                <c:pt idx="71">
                  <c:v>13</c:v>
                </c:pt>
                <c:pt idx="72">
                  <c:v>15</c:v>
                </c:pt>
                <c:pt idx="73">
                  <c:v>16</c:v>
                </c:pt>
                <c:pt idx="74">
                  <c:v>19</c:v>
                </c:pt>
                <c:pt idx="75">
                  <c:v>13</c:v>
                </c:pt>
                <c:pt idx="76">
                  <c:v>18</c:v>
                </c:pt>
                <c:pt idx="77">
                  <c:v>13</c:v>
                </c:pt>
                <c:pt idx="78">
                  <c:v>16</c:v>
                </c:pt>
                <c:pt idx="79">
                  <c:v>18</c:v>
                </c:pt>
                <c:pt idx="80">
                  <c:v>14</c:v>
                </c:pt>
                <c:pt idx="81">
                  <c:v>14</c:v>
                </c:pt>
                <c:pt idx="82">
                  <c:v>11</c:v>
                </c:pt>
                <c:pt idx="83">
                  <c:v>19</c:v>
                </c:pt>
                <c:pt idx="84">
                  <c:v>13</c:v>
                </c:pt>
                <c:pt idx="85">
                  <c:v>8</c:v>
                </c:pt>
                <c:pt idx="86">
                  <c:v>21</c:v>
                </c:pt>
                <c:pt idx="87">
                  <c:v>22</c:v>
                </c:pt>
                <c:pt idx="88">
                  <c:v>10</c:v>
                </c:pt>
                <c:pt idx="89">
                  <c:v>16</c:v>
                </c:pt>
                <c:pt idx="90">
                  <c:v>15</c:v>
                </c:pt>
                <c:pt idx="91">
                  <c:v>18</c:v>
                </c:pt>
                <c:pt idx="92">
                  <c:v>16</c:v>
                </c:pt>
                <c:pt idx="93">
                  <c:v>16</c:v>
                </c:pt>
                <c:pt idx="94">
                  <c:v>18</c:v>
                </c:pt>
                <c:pt idx="95">
                  <c:v>18</c:v>
                </c:pt>
                <c:pt idx="96">
                  <c:v>15</c:v>
                </c:pt>
                <c:pt idx="97">
                  <c:v>17</c:v>
                </c:pt>
                <c:pt idx="98">
                  <c:v>11</c:v>
                </c:pt>
                <c:pt idx="99">
                  <c:v>21</c:v>
                </c:pt>
                <c:pt idx="100">
                  <c:v>6</c:v>
                </c:pt>
                <c:pt idx="101">
                  <c:v>3</c:v>
                </c:pt>
                <c:pt idx="102">
                  <c:v>12</c:v>
                </c:pt>
                <c:pt idx="103">
                  <c:v>0</c:v>
                </c:pt>
                <c:pt idx="104">
                  <c:v>19</c:v>
                </c:pt>
                <c:pt idx="105">
                  <c:v>18</c:v>
                </c:pt>
                <c:pt idx="106">
                  <c:v>14</c:v>
                </c:pt>
                <c:pt idx="107">
                  <c:v>15</c:v>
                </c:pt>
                <c:pt idx="108">
                  <c:v>20</c:v>
                </c:pt>
              </c:numCache>
            </c:numRef>
          </c:val>
          <c:extLst xmlns:c16r2="http://schemas.microsoft.com/office/drawing/2015/06/chart">
            <c:ext xmlns:c16="http://schemas.microsoft.com/office/drawing/2014/chart" uri="{C3380CC4-5D6E-409C-BE32-E72D297353CC}">
              <c16:uniqueId val="{00000000-34F6-4E88-B9F9-68F471BAAFA3}"/>
            </c:ext>
          </c:extLst>
        </c:ser>
        <c:dLbls>
          <c:showLegendKey val="0"/>
          <c:showVal val="1"/>
          <c:showCatName val="0"/>
          <c:showSerName val="0"/>
          <c:showPercent val="0"/>
          <c:showBubbleSize val="0"/>
        </c:dLbls>
        <c:gapWidth val="150"/>
        <c:axId val="551251024"/>
        <c:axId val="551254552"/>
      </c:barChart>
      <c:catAx>
        <c:axId val="551251024"/>
        <c:scaling>
          <c:orientation val="minMax"/>
        </c:scaling>
        <c:delete val="0"/>
        <c:axPos val="l"/>
        <c:numFmt formatCode="General" sourceLinked="0"/>
        <c:majorTickMark val="none"/>
        <c:minorTickMark val="none"/>
        <c:tickLblPos val="nextTo"/>
        <c:txPr>
          <a:bodyPr/>
          <a:lstStyle/>
          <a:p>
            <a:pPr>
              <a:defRPr sz="500"/>
            </a:pPr>
            <a:endParaRPr lang="en-US"/>
          </a:p>
        </c:txPr>
        <c:crossAx val="551254552"/>
        <c:crosses val="autoZero"/>
        <c:auto val="1"/>
        <c:lblAlgn val="ctr"/>
        <c:lblOffset val="100"/>
        <c:noMultiLvlLbl val="0"/>
      </c:catAx>
      <c:valAx>
        <c:axId val="551254552"/>
        <c:scaling>
          <c:orientation val="minMax"/>
        </c:scaling>
        <c:delete val="1"/>
        <c:axPos val="b"/>
        <c:numFmt formatCode="General" sourceLinked="1"/>
        <c:majorTickMark val="none"/>
        <c:minorTickMark val="none"/>
        <c:tickLblPos val="nextTo"/>
        <c:crossAx val="551251024"/>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3C67B-4D2B-498F-9568-2A2E7AD7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27</Pages>
  <Words>5790</Words>
  <Characters>33008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38721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Robert Sabotici</cp:lastModifiedBy>
  <cp:revision>115</cp:revision>
  <dcterms:created xsi:type="dcterms:W3CDTF">2017-08-09T06:43:00Z</dcterms:created>
  <dcterms:modified xsi:type="dcterms:W3CDTF">2017-09-12T09:30:00Z</dcterms:modified>
</cp:coreProperties>
</file>