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8D2" w:rsidRPr="00A7286C" w:rsidRDefault="00C538D2">
      <w:pPr>
        <w:widowControl w:val="0"/>
        <w:pBdr>
          <w:top w:val="nil"/>
          <w:left w:val="nil"/>
          <w:bottom w:val="nil"/>
          <w:right w:val="nil"/>
          <w:between w:val="nil"/>
        </w:pBdr>
        <w:spacing w:after="0"/>
        <w:rPr>
          <w:rFonts w:ascii="Arial" w:hAnsi="Arial" w:cs="Arial"/>
          <w:noProof/>
          <w:sz w:val="20"/>
          <w:szCs w:val="20"/>
        </w:rPr>
      </w:pPr>
    </w:p>
    <w:p w:rsidR="00C538D2" w:rsidRPr="00A7286C" w:rsidRDefault="00C37F2B">
      <w:pPr>
        <w:pStyle w:val="Heading2"/>
        <w:spacing w:line="240" w:lineRule="auto"/>
        <w:jc w:val="center"/>
        <w:rPr>
          <w:rFonts w:ascii="Arial" w:eastAsia="Arial" w:hAnsi="Arial" w:cs="Arial"/>
          <w:b/>
          <w:noProof/>
          <w:color w:val="000000"/>
          <w:sz w:val="20"/>
          <w:szCs w:val="20"/>
        </w:rPr>
      </w:pPr>
      <w:bookmarkStart w:id="0" w:name="_heading=h.gjdgxs" w:colFirst="0" w:colLast="0"/>
      <w:bookmarkEnd w:id="0"/>
      <w:r w:rsidRPr="00A7286C">
        <w:rPr>
          <w:rFonts w:ascii="Arial" w:eastAsia="Arial" w:hAnsi="Arial" w:cs="Arial"/>
          <w:b/>
          <w:noProof/>
          <w:color w:val="000000"/>
          <w:sz w:val="20"/>
          <w:szCs w:val="20"/>
        </w:rPr>
        <w:t>Registru pentru consemnarea și analizarea propunerilor, opiniilor sau recomandărilor primite</w:t>
      </w:r>
    </w:p>
    <w:p w:rsidR="00C538D2" w:rsidRPr="00A7286C" w:rsidRDefault="00C37F2B">
      <w:pPr>
        <w:pStyle w:val="Heading2"/>
        <w:spacing w:line="240" w:lineRule="auto"/>
        <w:jc w:val="center"/>
        <w:rPr>
          <w:rFonts w:ascii="Arial" w:eastAsia="Arial" w:hAnsi="Arial" w:cs="Arial"/>
          <w:b/>
          <w:noProof/>
          <w:color w:val="000000"/>
          <w:sz w:val="20"/>
          <w:szCs w:val="20"/>
        </w:rPr>
      </w:pPr>
      <w:r w:rsidRPr="00A7286C">
        <w:rPr>
          <w:rFonts w:ascii="Arial" w:eastAsia="Arial" w:hAnsi="Arial" w:cs="Arial"/>
          <w:b/>
          <w:noProof/>
          <w:color w:val="000000"/>
          <w:sz w:val="20"/>
          <w:szCs w:val="20"/>
        </w:rPr>
        <w:t xml:space="preserve"> conform art. 7 alin. 5 și </w:t>
      </w:r>
      <w:r w:rsidR="007C20D6" w:rsidRPr="00A7286C">
        <w:rPr>
          <w:rFonts w:ascii="Arial" w:eastAsia="Arial" w:hAnsi="Arial" w:cs="Arial"/>
          <w:b/>
          <w:noProof/>
          <w:color w:val="000000"/>
          <w:sz w:val="20"/>
          <w:szCs w:val="20"/>
        </w:rPr>
        <w:t xml:space="preserve">art. </w:t>
      </w:r>
      <w:r w:rsidRPr="00A7286C">
        <w:rPr>
          <w:rFonts w:ascii="Arial" w:eastAsia="Arial" w:hAnsi="Arial" w:cs="Arial"/>
          <w:b/>
          <w:noProof/>
          <w:color w:val="000000"/>
          <w:sz w:val="20"/>
          <w:szCs w:val="20"/>
        </w:rPr>
        <w:t>12 alin. 3 din legea nr. 52/2003</w:t>
      </w:r>
    </w:p>
    <w:p w:rsidR="00C538D2" w:rsidRPr="00A7286C" w:rsidRDefault="00C37F2B" w:rsidP="007225A7">
      <w:pPr>
        <w:pStyle w:val="Heading2"/>
        <w:spacing w:line="240" w:lineRule="auto"/>
        <w:ind w:hanging="142"/>
        <w:jc w:val="center"/>
        <w:rPr>
          <w:rFonts w:ascii="Arial" w:eastAsia="Arial" w:hAnsi="Arial" w:cs="Arial"/>
          <w:b/>
          <w:noProof/>
          <w:color w:val="000000"/>
          <w:sz w:val="20"/>
          <w:szCs w:val="20"/>
        </w:rPr>
      </w:pPr>
      <w:r w:rsidRPr="00A7286C">
        <w:rPr>
          <w:rFonts w:ascii="Arial" w:eastAsia="Arial" w:hAnsi="Arial" w:cs="Arial"/>
          <w:b/>
          <w:noProof/>
          <w:color w:val="000000"/>
          <w:sz w:val="20"/>
          <w:szCs w:val="20"/>
        </w:rPr>
        <w:t xml:space="preserve"> privind transparența decizională în administrația publică</w:t>
      </w:r>
    </w:p>
    <w:p w:rsidR="00C538D2" w:rsidRDefault="00D02BE5" w:rsidP="001E7A7B">
      <w:pPr>
        <w:jc w:val="center"/>
        <w:rPr>
          <w:rFonts w:ascii="Arial" w:eastAsia="Arial" w:hAnsi="Arial" w:cs="Arial"/>
          <w:b/>
          <w:noProof/>
          <w:sz w:val="20"/>
          <w:szCs w:val="20"/>
        </w:rPr>
      </w:pPr>
      <w:r>
        <w:rPr>
          <w:rFonts w:ascii="Arial" w:eastAsia="Arial" w:hAnsi="Arial" w:cs="Arial"/>
          <w:b/>
          <w:noProof/>
          <w:sz w:val="20"/>
          <w:szCs w:val="20"/>
        </w:rPr>
        <w:t>18.05.2020</w:t>
      </w:r>
    </w:p>
    <w:p w:rsidR="00D02BE5" w:rsidRPr="00A7286C" w:rsidRDefault="005E48C8" w:rsidP="005E48C8">
      <w:pPr>
        <w:jc w:val="center"/>
        <w:rPr>
          <w:rFonts w:ascii="Arial" w:eastAsia="Arial" w:hAnsi="Arial" w:cs="Arial"/>
          <w:b/>
          <w:noProof/>
          <w:sz w:val="20"/>
          <w:szCs w:val="20"/>
        </w:rPr>
      </w:pPr>
      <w:r w:rsidRPr="005E48C8">
        <w:rPr>
          <w:rFonts w:ascii="Arial" w:eastAsia="Arial" w:hAnsi="Arial" w:cs="Arial"/>
          <w:b/>
          <w:noProof/>
          <w:sz w:val="20"/>
          <w:szCs w:val="20"/>
        </w:rPr>
        <w:t>Lege</w:t>
      </w:r>
      <w:r>
        <w:rPr>
          <w:rFonts w:ascii="Arial" w:eastAsia="Arial" w:hAnsi="Arial" w:cs="Arial"/>
          <w:b/>
          <w:noProof/>
          <w:sz w:val="20"/>
          <w:szCs w:val="20"/>
        </w:rPr>
        <w:t>a</w:t>
      </w:r>
      <w:r w:rsidRPr="005E48C8">
        <w:rPr>
          <w:rFonts w:ascii="Arial" w:eastAsia="Arial" w:hAnsi="Arial" w:cs="Arial"/>
          <w:b/>
          <w:noProof/>
          <w:sz w:val="20"/>
          <w:szCs w:val="20"/>
        </w:rPr>
        <w:t xml:space="preserve"> privind abilitarea Guvernului de a emite ordonanțe</w:t>
      </w:r>
    </w:p>
    <w:p w:rsidR="00C538D2" w:rsidRPr="00A7286C" w:rsidRDefault="00C538D2">
      <w:pPr>
        <w:spacing w:after="0" w:line="240" w:lineRule="auto"/>
        <w:jc w:val="both"/>
        <w:rPr>
          <w:rFonts w:ascii="Arial" w:eastAsia="Arial" w:hAnsi="Arial" w:cs="Arial"/>
          <w:noProof/>
          <w:sz w:val="20"/>
          <w:szCs w:val="20"/>
        </w:rPr>
      </w:pPr>
    </w:p>
    <w:tbl>
      <w:tblPr>
        <w:tblStyle w:val="a"/>
        <w:tblW w:w="14777"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1260"/>
        <w:gridCol w:w="1439"/>
        <w:gridCol w:w="1417"/>
        <w:gridCol w:w="4536"/>
        <w:gridCol w:w="1418"/>
        <w:gridCol w:w="4082"/>
      </w:tblGrid>
      <w:tr w:rsidR="00C538D2" w:rsidRPr="00A7286C" w:rsidTr="00D75616">
        <w:tc>
          <w:tcPr>
            <w:tcW w:w="625" w:type="dxa"/>
            <w:vAlign w:val="center"/>
          </w:tcPr>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Nr. crt.</w:t>
            </w:r>
          </w:p>
        </w:tc>
        <w:tc>
          <w:tcPr>
            <w:tcW w:w="1260" w:type="dxa"/>
            <w:vAlign w:val="center"/>
          </w:tcPr>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Data primirii</w:t>
            </w:r>
          </w:p>
        </w:tc>
        <w:tc>
          <w:tcPr>
            <w:tcW w:w="1439" w:type="dxa"/>
            <w:vAlign w:val="center"/>
          </w:tcPr>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Persoana inițiatoare</w:t>
            </w:r>
          </w:p>
        </w:tc>
        <w:tc>
          <w:tcPr>
            <w:tcW w:w="1417" w:type="dxa"/>
            <w:vAlign w:val="center"/>
          </w:tcPr>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Date de contact (e-mail)</w:t>
            </w:r>
          </w:p>
        </w:tc>
        <w:tc>
          <w:tcPr>
            <w:tcW w:w="4536" w:type="dxa"/>
            <w:vAlign w:val="center"/>
          </w:tcPr>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Conținut propunere/ opinie/ recomandare</w:t>
            </w:r>
          </w:p>
          <w:p w:rsidR="00C538D2" w:rsidRPr="00A7286C" w:rsidRDefault="00C37F2B" w:rsidP="00E86EB1">
            <w:pPr>
              <w:jc w:val="center"/>
              <w:rPr>
                <w:rFonts w:ascii="Arial" w:eastAsia="Arial" w:hAnsi="Arial" w:cs="Arial"/>
                <w:b/>
                <w:noProof/>
                <w:sz w:val="20"/>
                <w:szCs w:val="20"/>
              </w:rPr>
            </w:pPr>
            <w:r w:rsidRPr="00A7286C">
              <w:rPr>
                <w:rFonts w:ascii="Arial" w:eastAsia="Arial" w:hAnsi="Arial" w:cs="Arial"/>
                <w:b/>
                <w:noProof/>
                <w:sz w:val="20"/>
                <w:szCs w:val="20"/>
              </w:rPr>
              <w:t xml:space="preserve">(conf. art. </w:t>
            </w:r>
            <w:r w:rsidR="00E86EB1" w:rsidRPr="00A7286C">
              <w:rPr>
                <w:rFonts w:ascii="Arial" w:eastAsia="Arial" w:hAnsi="Arial" w:cs="Arial"/>
                <w:b/>
                <w:noProof/>
                <w:sz w:val="20"/>
                <w:szCs w:val="20"/>
              </w:rPr>
              <w:t>7</w:t>
            </w:r>
            <w:r w:rsidRPr="00A7286C">
              <w:rPr>
                <w:rFonts w:ascii="Arial" w:eastAsia="Arial" w:hAnsi="Arial" w:cs="Arial"/>
                <w:b/>
                <w:noProof/>
                <w:sz w:val="20"/>
                <w:szCs w:val="20"/>
              </w:rPr>
              <w:t>)</w:t>
            </w:r>
          </w:p>
        </w:tc>
        <w:tc>
          <w:tcPr>
            <w:tcW w:w="1418" w:type="dxa"/>
          </w:tcPr>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 xml:space="preserve">Stadiu </w:t>
            </w:r>
          </w:p>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(preluată/</w:t>
            </w:r>
          </w:p>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nepreluată)</w:t>
            </w:r>
          </w:p>
        </w:tc>
        <w:tc>
          <w:tcPr>
            <w:tcW w:w="4082" w:type="dxa"/>
          </w:tcPr>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Justificarea</w:t>
            </w:r>
          </w:p>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nepreluării</w:t>
            </w:r>
          </w:p>
          <w:p w:rsidR="00C538D2" w:rsidRPr="00A7286C" w:rsidRDefault="00C37F2B">
            <w:pPr>
              <w:jc w:val="center"/>
              <w:rPr>
                <w:rFonts w:ascii="Arial" w:eastAsia="Arial" w:hAnsi="Arial" w:cs="Arial"/>
                <w:b/>
                <w:noProof/>
                <w:sz w:val="20"/>
                <w:szCs w:val="20"/>
              </w:rPr>
            </w:pPr>
            <w:r w:rsidRPr="00A7286C">
              <w:rPr>
                <w:rFonts w:ascii="Arial" w:eastAsia="Arial" w:hAnsi="Arial" w:cs="Arial"/>
                <w:b/>
                <w:noProof/>
                <w:sz w:val="20"/>
                <w:szCs w:val="20"/>
              </w:rPr>
              <w:t xml:space="preserve">(cf. art. 12 al. 3)  </w:t>
            </w:r>
          </w:p>
        </w:tc>
      </w:tr>
      <w:tr w:rsidR="008753D4" w:rsidRPr="00A7286C" w:rsidTr="00D75616">
        <w:trPr>
          <w:trHeight w:val="780"/>
        </w:trPr>
        <w:tc>
          <w:tcPr>
            <w:tcW w:w="625" w:type="dxa"/>
            <w:vMerge w:val="restart"/>
            <w:vAlign w:val="center"/>
          </w:tcPr>
          <w:p w:rsidR="008753D4" w:rsidRPr="00A7286C" w:rsidRDefault="008753D4">
            <w:pPr>
              <w:jc w:val="center"/>
              <w:rPr>
                <w:rFonts w:ascii="Arial" w:eastAsia="Arial" w:hAnsi="Arial" w:cs="Arial"/>
                <w:b/>
                <w:noProof/>
                <w:sz w:val="20"/>
                <w:szCs w:val="20"/>
              </w:rPr>
            </w:pPr>
            <w:r w:rsidRPr="00A7286C">
              <w:rPr>
                <w:rFonts w:ascii="Arial" w:eastAsia="Arial" w:hAnsi="Arial" w:cs="Arial"/>
                <w:b/>
                <w:noProof/>
                <w:sz w:val="20"/>
                <w:szCs w:val="20"/>
              </w:rPr>
              <w:t>1.</w:t>
            </w:r>
          </w:p>
        </w:tc>
        <w:tc>
          <w:tcPr>
            <w:tcW w:w="1260" w:type="dxa"/>
            <w:vMerge w:val="restart"/>
            <w:vAlign w:val="center"/>
          </w:tcPr>
          <w:p w:rsidR="008753D4" w:rsidRPr="00A7286C" w:rsidRDefault="008753D4">
            <w:pPr>
              <w:jc w:val="center"/>
              <w:rPr>
                <w:rFonts w:ascii="Arial" w:eastAsia="Arial" w:hAnsi="Arial" w:cs="Arial"/>
                <w:b/>
                <w:noProof/>
                <w:sz w:val="20"/>
                <w:szCs w:val="20"/>
              </w:rPr>
            </w:pPr>
            <w:r w:rsidRPr="00A7286C">
              <w:rPr>
                <w:rFonts w:ascii="Arial" w:eastAsia="Arial" w:hAnsi="Arial" w:cs="Arial"/>
                <w:b/>
                <w:noProof/>
                <w:sz w:val="20"/>
                <w:szCs w:val="20"/>
              </w:rPr>
              <w:t>04.05.2020</w:t>
            </w:r>
          </w:p>
        </w:tc>
        <w:tc>
          <w:tcPr>
            <w:tcW w:w="1439" w:type="dxa"/>
            <w:vMerge w:val="restart"/>
            <w:vAlign w:val="center"/>
          </w:tcPr>
          <w:p w:rsidR="008753D4" w:rsidRPr="00A7286C" w:rsidRDefault="008753D4">
            <w:pPr>
              <w:jc w:val="center"/>
              <w:rPr>
                <w:rFonts w:ascii="Arial" w:eastAsia="Arial" w:hAnsi="Arial" w:cs="Arial"/>
                <w:b/>
                <w:noProof/>
                <w:sz w:val="20"/>
                <w:szCs w:val="20"/>
              </w:rPr>
            </w:pPr>
            <w:r w:rsidRPr="00A7286C">
              <w:rPr>
                <w:rFonts w:ascii="Arial" w:eastAsia="Arial" w:hAnsi="Arial" w:cs="Arial"/>
                <w:b/>
                <w:noProof/>
                <w:sz w:val="20"/>
                <w:szCs w:val="20"/>
              </w:rPr>
              <w:t>Gheorghe Hriscu</w:t>
            </w:r>
          </w:p>
        </w:tc>
        <w:tc>
          <w:tcPr>
            <w:tcW w:w="1417" w:type="dxa"/>
            <w:vMerge w:val="restart"/>
            <w:vAlign w:val="center"/>
          </w:tcPr>
          <w:p w:rsidR="008753D4" w:rsidRPr="00A7286C" w:rsidRDefault="008753D4">
            <w:pPr>
              <w:jc w:val="center"/>
              <w:rPr>
                <w:rFonts w:ascii="Arial" w:eastAsia="Arial" w:hAnsi="Arial" w:cs="Arial"/>
                <w:b/>
                <w:noProof/>
                <w:sz w:val="20"/>
                <w:szCs w:val="20"/>
              </w:rPr>
            </w:pPr>
          </w:p>
        </w:tc>
        <w:tc>
          <w:tcPr>
            <w:tcW w:w="4536" w:type="dxa"/>
            <w:tcBorders>
              <w:bottom w:val="single" w:sz="4" w:space="0" w:color="auto"/>
            </w:tcBorders>
            <w:vAlign w:val="center"/>
          </w:tcPr>
          <w:p w:rsidR="008753D4" w:rsidRPr="00A7286C" w:rsidRDefault="008753D4" w:rsidP="008753D4">
            <w:pPr>
              <w:pStyle w:val="ListParagraph"/>
              <w:numPr>
                <w:ilvl w:val="0"/>
                <w:numId w:val="1"/>
              </w:numPr>
              <w:jc w:val="both"/>
              <w:rPr>
                <w:rFonts w:ascii="Arial" w:eastAsia="Arial" w:hAnsi="Arial" w:cs="Arial"/>
                <w:b/>
                <w:noProof/>
                <w:sz w:val="20"/>
                <w:szCs w:val="20"/>
              </w:rPr>
            </w:pPr>
            <w:r w:rsidRPr="00A7286C">
              <w:rPr>
                <w:rFonts w:ascii="Arial" w:hAnsi="Arial" w:cs="Arial"/>
                <w:sz w:val="20"/>
                <w:szCs w:val="20"/>
              </w:rPr>
              <w:t>”Revizuirea articolului 1 care aglomerează nejustificat textul ordonanței, eventual cumularea SINTETIZATĂ cu articolul 1</w:t>
            </w:r>
          </w:p>
        </w:tc>
        <w:tc>
          <w:tcPr>
            <w:tcW w:w="1418" w:type="dxa"/>
            <w:tcBorders>
              <w:bottom w:val="single" w:sz="4" w:space="0" w:color="auto"/>
            </w:tcBorders>
          </w:tcPr>
          <w:p w:rsidR="008753D4" w:rsidRPr="00A7286C" w:rsidRDefault="00D75616">
            <w:pPr>
              <w:jc w:val="center"/>
              <w:rPr>
                <w:rFonts w:ascii="Arial" w:eastAsia="Arial" w:hAnsi="Arial" w:cs="Arial"/>
                <w:b/>
                <w:noProof/>
                <w:sz w:val="20"/>
                <w:szCs w:val="20"/>
              </w:rPr>
            </w:pPr>
            <w:r>
              <w:rPr>
                <w:rFonts w:ascii="Arial" w:eastAsia="Arial" w:hAnsi="Arial" w:cs="Arial"/>
                <w:b/>
                <w:noProof/>
                <w:sz w:val="20"/>
                <w:szCs w:val="20"/>
              </w:rPr>
              <w:t>Nepreluată</w:t>
            </w:r>
          </w:p>
        </w:tc>
        <w:tc>
          <w:tcPr>
            <w:tcW w:w="4082" w:type="dxa"/>
            <w:tcBorders>
              <w:bottom w:val="single" w:sz="4" w:space="0" w:color="auto"/>
            </w:tcBorders>
          </w:tcPr>
          <w:p w:rsidR="008753D4" w:rsidRPr="00217985" w:rsidRDefault="00217985" w:rsidP="00344D45">
            <w:pPr>
              <w:ind w:firstLine="708"/>
              <w:jc w:val="both"/>
              <w:rPr>
                <w:rFonts w:ascii="Arial" w:eastAsia="Arial" w:hAnsi="Arial" w:cs="Arial"/>
                <w:noProof/>
                <w:sz w:val="20"/>
                <w:szCs w:val="20"/>
              </w:rPr>
            </w:pPr>
            <w:r w:rsidRPr="00217985">
              <w:rPr>
                <w:rFonts w:ascii="Arial" w:eastAsia="Arial" w:hAnsi="Arial" w:cs="Arial"/>
                <w:noProof/>
                <w:sz w:val="20"/>
                <w:szCs w:val="20"/>
              </w:rPr>
              <w:t>Exprimarea este ambiguă,</w:t>
            </w:r>
            <w:r>
              <w:rPr>
                <w:rFonts w:ascii="Arial" w:eastAsia="Arial" w:hAnsi="Arial" w:cs="Arial"/>
                <w:noProof/>
                <w:sz w:val="20"/>
                <w:szCs w:val="20"/>
              </w:rPr>
              <w:t xml:space="preserve"> neputându-se deduce intenția </w:t>
            </w:r>
            <w:r w:rsidR="00344D45">
              <w:rPr>
                <w:rFonts w:ascii="Arial" w:eastAsia="Arial" w:hAnsi="Arial" w:cs="Arial"/>
                <w:noProof/>
                <w:sz w:val="20"/>
                <w:szCs w:val="20"/>
              </w:rPr>
              <w:t>de reglementare exprimată</w:t>
            </w:r>
            <w:r>
              <w:rPr>
                <w:rFonts w:ascii="Arial" w:eastAsia="Arial" w:hAnsi="Arial" w:cs="Arial"/>
                <w:noProof/>
                <w:sz w:val="20"/>
                <w:szCs w:val="20"/>
              </w:rPr>
              <w:t xml:space="preserve">. Prin urmare recomandarea nu </w:t>
            </w:r>
            <w:r w:rsidR="00344D45">
              <w:rPr>
                <w:rFonts w:ascii="Arial" w:eastAsia="Arial" w:hAnsi="Arial" w:cs="Arial"/>
                <w:noProof/>
                <w:sz w:val="20"/>
                <w:szCs w:val="20"/>
              </w:rPr>
              <w:t>poate fi avută în vedere</w:t>
            </w:r>
            <w:r>
              <w:rPr>
                <w:rFonts w:ascii="Arial" w:eastAsia="Arial" w:hAnsi="Arial" w:cs="Arial"/>
                <w:noProof/>
                <w:sz w:val="20"/>
                <w:szCs w:val="20"/>
              </w:rPr>
              <w:t xml:space="preserve">, </w:t>
            </w:r>
            <w:r w:rsidRPr="00217985">
              <w:rPr>
                <w:rFonts w:ascii="Arial" w:eastAsia="Arial" w:hAnsi="Arial" w:cs="Arial"/>
                <w:noProof/>
                <w:sz w:val="20"/>
                <w:szCs w:val="20"/>
              </w:rPr>
              <w:t>articolul 1 neputând fi cumulat cu el însuși.</w:t>
            </w:r>
          </w:p>
        </w:tc>
      </w:tr>
      <w:tr w:rsidR="008753D4" w:rsidRPr="00A7286C" w:rsidTr="00D75616">
        <w:trPr>
          <w:trHeight w:val="240"/>
        </w:trPr>
        <w:tc>
          <w:tcPr>
            <w:tcW w:w="625" w:type="dxa"/>
            <w:vMerge/>
            <w:vAlign w:val="center"/>
          </w:tcPr>
          <w:p w:rsidR="008753D4" w:rsidRPr="00A7286C" w:rsidRDefault="008753D4">
            <w:pPr>
              <w:jc w:val="center"/>
              <w:rPr>
                <w:rFonts w:ascii="Arial" w:eastAsia="Arial" w:hAnsi="Arial" w:cs="Arial"/>
                <w:b/>
                <w:noProof/>
                <w:sz w:val="20"/>
                <w:szCs w:val="20"/>
              </w:rPr>
            </w:pPr>
          </w:p>
        </w:tc>
        <w:tc>
          <w:tcPr>
            <w:tcW w:w="1260" w:type="dxa"/>
            <w:vMerge/>
            <w:vAlign w:val="center"/>
          </w:tcPr>
          <w:p w:rsidR="008753D4" w:rsidRPr="00A7286C" w:rsidRDefault="008753D4">
            <w:pPr>
              <w:jc w:val="center"/>
              <w:rPr>
                <w:rFonts w:ascii="Arial" w:eastAsia="Arial" w:hAnsi="Arial" w:cs="Arial"/>
                <w:b/>
                <w:noProof/>
                <w:sz w:val="20"/>
                <w:szCs w:val="20"/>
              </w:rPr>
            </w:pPr>
          </w:p>
        </w:tc>
        <w:tc>
          <w:tcPr>
            <w:tcW w:w="1439" w:type="dxa"/>
            <w:vMerge/>
            <w:vAlign w:val="center"/>
          </w:tcPr>
          <w:p w:rsidR="008753D4" w:rsidRPr="00A7286C" w:rsidRDefault="008753D4">
            <w:pPr>
              <w:jc w:val="center"/>
              <w:rPr>
                <w:rFonts w:ascii="Arial" w:eastAsia="Arial" w:hAnsi="Arial" w:cs="Arial"/>
                <w:b/>
                <w:noProof/>
                <w:sz w:val="20"/>
                <w:szCs w:val="20"/>
              </w:rPr>
            </w:pPr>
          </w:p>
        </w:tc>
        <w:tc>
          <w:tcPr>
            <w:tcW w:w="1417" w:type="dxa"/>
            <w:vMerge/>
            <w:vAlign w:val="center"/>
          </w:tcPr>
          <w:p w:rsidR="008753D4" w:rsidRPr="00A7286C" w:rsidRDefault="008753D4">
            <w:pPr>
              <w:jc w:val="center"/>
              <w:rPr>
                <w:rFonts w:ascii="Arial" w:hAnsi="Arial" w:cs="Arial"/>
                <w:sz w:val="20"/>
                <w:szCs w:val="20"/>
              </w:rPr>
            </w:pPr>
          </w:p>
        </w:tc>
        <w:tc>
          <w:tcPr>
            <w:tcW w:w="4536" w:type="dxa"/>
            <w:tcBorders>
              <w:top w:val="single" w:sz="4" w:space="0" w:color="auto"/>
            </w:tcBorders>
            <w:vAlign w:val="center"/>
          </w:tcPr>
          <w:p w:rsidR="008753D4" w:rsidRPr="00A7286C" w:rsidRDefault="008753D4" w:rsidP="008753D4">
            <w:pPr>
              <w:pStyle w:val="ListParagraph"/>
              <w:numPr>
                <w:ilvl w:val="0"/>
                <w:numId w:val="1"/>
              </w:numPr>
              <w:jc w:val="both"/>
              <w:rPr>
                <w:rFonts w:ascii="Arial" w:hAnsi="Arial" w:cs="Arial"/>
                <w:sz w:val="20"/>
                <w:szCs w:val="20"/>
              </w:rPr>
            </w:pPr>
            <w:r w:rsidRPr="00A7286C">
              <w:rPr>
                <w:rFonts w:ascii="Arial" w:hAnsi="Arial" w:cs="Arial"/>
                <w:sz w:val="20"/>
                <w:szCs w:val="20"/>
              </w:rPr>
              <w:t>Generarea unui nou articol sau anexă cu detaliile de mai jos:</w:t>
            </w:r>
          </w:p>
          <w:p w:rsidR="008753D4" w:rsidRPr="00A7286C" w:rsidRDefault="008753D4" w:rsidP="008753D4">
            <w:pPr>
              <w:pStyle w:val="ListParagraph"/>
              <w:numPr>
                <w:ilvl w:val="0"/>
                <w:numId w:val="4"/>
              </w:numPr>
              <w:ind w:left="714" w:hanging="357"/>
              <w:jc w:val="both"/>
              <w:rPr>
                <w:rFonts w:ascii="Arial" w:hAnsi="Arial" w:cs="Arial"/>
                <w:sz w:val="20"/>
                <w:szCs w:val="20"/>
              </w:rPr>
            </w:pPr>
            <w:r w:rsidRPr="00A7286C">
              <w:rPr>
                <w:rFonts w:ascii="Arial" w:hAnsi="Arial" w:cs="Arial"/>
                <w:b/>
                <w:bCs/>
                <w:i/>
                <w:iCs/>
                <w:sz w:val="20"/>
                <w:szCs w:val="20"/>
              </w:rPr>
              <w:t>Menționarea listei NOMINALĂ a legilor organice unde ordonanța NU se aplică</w:t>
            </w:r>
            <w:r w:rsidRPr="00A7286C">
              <w:rPr>
                <w:rFonts w:ascii="Arial" w:hAnsi="Arial" w:cs="Arial"/>
                <w:sz w:val="20"/>
                <w:szCs w:val="20"/>
              </w:rPr>
              <w:t>:</w:t>
            </w:r>
          </w:p>
          <w:p w:rsidR="008753D4" w:rsidRPr="00A7286C" w:rsidRDefault="008753D4" w:rsidP="008753D4">
            <w:pPr>
              <w:numPr>
                <w:ilvl w:val="0"/>
                <w:numId w:val="2"/>
              </w:numPr>
              <w:shd w:val="clear" w:color="auto" w:fill="FFFFFF"/>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sistemul electoral; organizarea și funcționarea Autorității Electorale Permanente;</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organizarea, funcționarea și finanțarea partidelor politice;</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statutul deputaților și al senatorilor, stabilirea indemnizației și a celorlalte drepturi ale acestora;</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organizarea și desfășurarea referendumului;</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organizarea Guvernului și a Consiliului Suprem de Apărare a Țării;</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regimul stării de mobilizare parțială sau totală a forțelor armate și al stării de război;</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regimul stării de asediu și al stării de urgență;</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infracțiunile, pedepsele și regimul executării acestora;</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acordarea amnistiei sau a grațierii colective;</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lastRenderedPageBreak/>
              <w:t>statutul funcționarilor publici;</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contenciosul administrativ;</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organizarea și funcționarea Consiliului Superior al Magistraturii, a instanțelor judecătorești, a Ministerului Public și a Curții de Conturi;</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regimul juridic general al proprietății și al moștenirii;</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organizarea generală a învățământului;</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organizarea administrației publice locale, a teritoriului, precum și regimul general privind autonomia locală;</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regimul general privind raporturile de muncă, sindicatele, patronatele și protecția socială;</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statutul minorităților naționale din </w:t>
            </w:r>
            <w:hyperlink r:id="rId8" w:tooltip="România" w:history="1">
              <w:r w:rsidRPr="00A7286C">
                <w:rPr>
                  <w:rFonts w:ascii="Arial" w:eastAsia="Times New Roman" w:hAnsi="Arial" w:cs="Arial"/>
                  <w:color w:val="0B0080"/>
                  <w:sz w:val="20"/>
                  <w:szCs w:val="20"/>
                  <w:u w:val="single"/>
                </w:rPr>
                <w:t>România</w:t>
              </w:r>
            </w:hyperlink>
            <w:r w:rsidRPr="00A7286C">
              <w:rPr>
                <w:rFonts w:ascii="Arial" w:eastAsia="Times New Roman" w:hAnsi="Arial" w:cs="Arial"/>
                <w:color w:val="222222"/>
                <w:sz w:val="20"/>
                <w:szCs w:val="20"/>
              </w:rPr>
              <w:t>;</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regimul general al cultelor;</w:t>
            </w:r>
          </w:p>
          <w:p w:rsidR="008753D4" w:rsidRPr="00A7286C" w:rsidRDefault="008753D4" w:rsidP="008753D4">
            <w:pPr>
              <w:numPr>
                <w:ilvl w:val="0"/>
                <w:numId w:val="2"/>
              </w:numPr>
              <w:shd w:val="clear" w:color="auto" w:fill="FFFFFF"/>
              <w:spacing w:before="100" w:beforeAutospacing="1" w:after="24"/>
              <w:ind w:left="768"/>
              <w:jc w:val="both"/>
              <w:rPr>
                <w:rFonts w:ascii="Arial" w:eastAsia="Times New Roman" w:hAnsi="Arial" w:cs="Arial"/>
                <w:color w:val="222222"/>
                <w:sz w:val="20"/>
                <w:szCs w:val="20"/>
              </w:rPr>
            </w:pPr>
            <w:r w:rsidRPr="00A7286C">
              <w:rPr>
                <w:rFonts w:ascii="Arial" w:eastAsia="Times New Roman" w:hAnsi="Arial" w:cs="Arial"/>
                <w:color w:val="222222"/>
                <w:sz w:val="20"/>
                <w:szCs w:val="20"/>
              </w:rPr>
              <w:t>celelalte domenii pentru care în Constituție se prevede adoptarea de legi organice.</w:t>
            </w:r>
          </w:p>
          <w:p w:rsidR="008753D4" w:rsidRPr="00A7286C" w:rsidRDefault="008753D4" w:rsidP="008753D4">
            <w:pPr>
              <w:pStyle w:val="ListParagraph"/>
              <w:numPr>
                <w:ilvl w:val="0"/>
                <w:numId w:val="4"/>
              </w:numPr>
              <w:shd w:val="clear" w:color="auto" w:fill="FFFFFF"/>
              <w:spacing w:before="100" w:beforeAutospacing="1" w:after="24"/>
              <w:jc w:val="both"/>
              <w:rPr>
                <w:rFonts w:ascii="Arial" w:hAnsi="Arial" w:cs="Arial"/>
                <w:b/>
                <w:bCs/>
                <w:i/>
                <w:iCs/>
                <w:sz w:val="20"/>
                <w:szCs w:val="20"/>
              </w:rPr>
            </w:pPr>
            <w:r w:rsidRPr="00A7286C">
              <w:rPr>
                <w:rFonts w:ascii="Arial" w:hAnsi="Arial" w:cs="Arial"/>
                <w:b/>
                <w:bCs/>
                <w:i/>
                <w:iCs/>
                <w:sz w:val="20"/>
                <w:szCs w:val="20"/>
              </w:rPr>
              <w:t>Menționarea listei NOMINALĂ a legilor unde ordonanța se aplică:</w:t>
            </w:r>
          </w:p>
          <w:p w:rsidR="008753D4" w:rsidRPr="00A7286C" w:rsidRDefault="008753D4" w:rsidP="008753D4">
            <w:pPr>
              <w:pStyle w:val="ListParagraph"/>
              <w:numPr>
                <w:ilvl w:val="0"/>
                <w:numId w:val="3"/>
              </w:numPr>
              <w:shd w:val="clear" w:color="auto" w:fill="FFFFFF"/>
              <w:spacing w:before="100" w:beforeAutospacing="1" w:after="24"/>
              <w:jc w:val="both"/>
              <w:rPr>
                <w:rFonts w:ascii="Arial" w:hAnsi="Arial" w:cs="Arial"/>
                <w:sz w:val="20"/>
                <w:szCs w:val="20"/>
              </w:rPr>
            </w:pPr>
            <w:r w:rsidRPr="00A7286C">
              <w:rPr>
                <w:rFonts w:ascii="Arial" w:hAnsi="Arial" w:cs="Arial"/>
                <w:sz w:val="20"/>
                <w:szCs w:val="20"/>
              </w:rPr>
              <w:t>TBD</w:t>
            </w:r>
          </w:p>
        </w:tc>
        <w:tc>
          <w:tcPr>
            <w:tcW w:w="1418" w:type="dxa"/>
            <w:tcBorders>
              <w:top w:val="single" w:sz="4" w:space="0" w:color="auto"/>
            </w:tcBorders>
          </w:tcPr>
          <w:p w:rsidR="008753D4" w:rsidRPr="00A7286C" w:rsidRDefault="00D75616" w:rsidP="008753D4">
            <w:pPr>
              <w:jc w:val="center"/>
              <w:rPr>
                <w:rFonts w:ascii="Arial" w:eastAsia="Arial" w:hAnsi="Arial" w:cs="Arial"/>
                <w:b/>
                <w:noProof/>
                <w:sz w:val="20"/>
                <w:szCs w:val="20"/>
              </w:rPr>
            </w:pPr>
            <w:r>
              <w:rPr>
                <w:rFonts w:ascii="Arial" w:eastAsia="Arial" w:hAnsi="Arial" w:cs="Arial"/>
                <w:b/>
                <w:noProof/>
                <w:sz w:val="20"/>
                <w:szCs w:val="20"/>
              </w:rPr>
              <w:lastRenderedPageBreak/>
              <w:t>Nepreluată</w:t>
            </w:r>
          </w:p>
        </w:tc>
        <w:tc>
          <w:tcPr>
            <w:tcW w:w="4082" w:type="dxa"/>
            <w:tcBorders>
              <w:top w:val="single" w:sz="4" w:space="0" w:color="auto"/>
            </w:tcBorders>
          </w:tcPr>
          <w:p w:rsidR="00A7286C" w:rsidRPr="00A7286C" w:rsidRDefault="00A7286C" w:rsidP="00217985">
            <w:pPr>
              <w:ind w:firstLine="708"/>
              <w:jc w:val="both"/>
              <w:rPr>
                <w:rFonts w:ascii="Arial" w:hAnsi="Arial" w:cs="Arial"/>
                <w:sz w:val="20"/>
                <w:szCs w:val="20"/>
              </w:rPr>
            </w:pPr>
            <w:r w:rsidRPr="00A7286C">
              <w:rPr>
                <w:rFonts w:ascii="Arial" w:hAnsi="Arial" w:cs="Arial"/>
                <w:sz w:val="20"/>
                <w:szCs w:val="20"/>
              </w:rPr>
              <w:t>Potrivit prevederilor art. 115 alin. (1) din Constituţia României, republicată,                  Parlamentul României poate adopta o lege specială de abilitare a Guvernului pentru a emite ordonanţe în domenii care nu fac obiectul legilor organice.</w:t>
            </w:r>
          </w:p>
          <w:p w:rsidR="008753D4" w:rsidRPr="00A7286C" w:rsidRDefault="00A7286C" w:rsidP="00A7286C">
            <w:pPr>
              <w:ind w:firstLine="708"/>
              <w:jc w:val="both"/>
              <w:rPr>
                <w:rFonts w:ascii="Arial" w:hAnsi="Arial" w:cs="Arial"/>
                <w:sz w:val="20"/>
                <w:szCs w:val="20"/>
              </w:rPr>
            </w:pPr>
            <w:r w:rsidRPr="00A7286C">
              <w:rPr>
                <w:rFonts w:ascii="Arial" w:hAnsi="Arial" w:cs="Arial"/>
                <w:sz w:val="20"/>
                <w:szCs w:val="20"/>
              </w:rPr>
              <w:t>Menționăm că potrivit jurisprudenței Curţii Constituţionale</w:t>
            </w:r>
            <w:r w:rsidRPr="00A7286C">
              <w:rPr>
                <w:rFonts w:ascii="Arial" w:hAnsi="Arial" w:cs="Arial"/>
                <w:sz w:val="20"/>
                <w:szCs w:val="20"/>
                <w:vertAlign w:val="superscript"/>
              </w:rPr>
              <w:footnoteReference w:id="1"/>
            </w:r>
            <w:r w:rsidRPr="00A7286C">
              <w:rPr>
                <w:rFonts w:ascii="Arial" w:hAnsi="Arial" w:cs="Arial"/>
                <w:sz w:val="20"/>
                <w:szCs w:val="20"/>
              </w:rPr>
              <w:t>, dispoziţiile art.115 </w:t>
            </w:r>
            <w:hyperlink r:id="rId9" w:anchor="p-43226767" w:tgtFrame="_blank" w:history="1">
              <w:r w:rsidRPr="00A7286C">
                <w:rPr>
                  <w:rStyle w:val="Hyperlink"/>
                  <w:rFonts w:ascii="Arial" w:hAnsi="Arial" w:cs="Arial"/>
                  <w:sz w:val="20"/>
                  <w:szCs w:val="20"/>
                </w:rPr>
                <w:t>alin. (1)</w:t>
              </w:r>
            </w:hyperlink>
            <w:r w:rsidRPr="00A7286C">
              <w:rPr>
                <w:rFonts w:ascii="Arial" w:hAnsi="Arial" w:cs="Arial"/>
                <w:sz w:val="20"/>
                <w:szCs w:val="20"/>
              </w:rPr>
              <w:t> din Constituţie nu impun o limită anume întinderii delegării, fiind de resortul exclusiv al puterii legiuitoare de a aprecia care sunt materiile ce urmează a fi reglementate prin ordonanţe. De asemenea, ținând seama de faptul că, potrivit art. 115 </w:t>
            </w:r>
            <w:hyperlink r:id="rId10" w:anchor="p-43226769" w:tgtFrame="_blank" w:history="1">
              <w:r w:rsidRPr="00A7286C">
                <w:rPr>
                  <w:rStyle w:val="Hyperlink"/>
                  <w:rFonts w:ascii="Arial" w:hAnsi="Arial" w:cs="Arial"/>
                  <w:sz w:val="20"/>
                  <w:szCs w:val="20"/>
                </w:rPr>
                <w:t>alin. (3)</w:t>
              </w:r>
            </w:hyperlink>
            <w:r w:rsidRPr="00A7286C">
              <w:rPr>
                <w:rFonts w:ascii="Arial" w:hAnsi="Arial" w:cs="Arial"/>
                <w:sz w:val="20"/>
                <w:szCs w:val="20"/>
              </w:rPr>
              <w:t> din Constituţie, ordonanţele se supun aprobării Parlamentului prin lege într-un termen stabilit prin însuşi conţinutul legii de abilitare, libera apreciere a Parlamentului cu privire la obiectul legii de abilitare este tocmai expresia oferirii posibilităţii pentru executiv de a emite reglementări prin ordonanţe pe timpul vacanţei parlamentare. Totodată, așa cum a statuat Curtea Constituțională, dispozițiile            art. 115 </w:t>
            </w:r>
            <w:hyperlink r:id="rId11" w:anchor="p-43226767" w:tgtFrame="_blank" w:history="1">
              <w:r w:rsidRPr="00A7286C">
                <w:rPr>
                  <w:rStyle w:val="Hyperlink"/>
                  <w:rFonts w:ascii="Arial" w:hAnsi="Arial" w:cs="Arial"/>
                  <w:sz w:val="20"/>
                  <w:szCs w:val="20"/>
                </w:rPr>
                <w:t>alin. (1)</w:t>
              </w:r>
            </w:hyperlink>
            <w:r w:rsidRPr="00A7286C">
              <w:rPr>
                <w:rFonts w:ascii="Arial" w:hAnsi="Arial" w:cs="Arial"/>
                <w:sz w:val="20"/>
                <w:szCs w:val="20"/>
              </w:rPr>
              <w:t> şi </w:t>
            </w:r>
            <w:hyperlink r:id="rId12" w:anchor="p-43226768" w:tgtFrame="_blank" w:history="1">
              <w:r w:rsidRPr="00A7286C">
                <w:rPr>
                  <w:rStyle w:val="Hyperlink"/>
                  <w:rFonts w:ascii="Arial" w:hAnsi="Arial" w:cs="Arial"/>
                  <w:sz w:val="20"/>
                  <w:szCs w:val="20"/>
                </w:rPr>
                <w:t>(2)</w:t>
              </w:r>
            </w:hyperlink>
            <w:r w:rsidRPr="00A7286C">
              <w:rPr>
                <w:rFonts w:ascii="Arial" w:hAnsi="Arial" w:cs="Arial"/>
                <w:sz w:val="20"/>
                <w:szCs w:val="20"/>
              </w:rPr>
              <w:t xml:space="preserve"> din Constituţie se referă, în general, la </w:t>
            </w:r>
            <w:r w:rsidRPr="00A7286C">
              <w:rPr>
                <w:rFonts w:ascii="Arial" w:hAnsi="Arial" w:cs="Arial"/>
                <w:sz w:val="20"/>
                <w:szCs w:val="20"/>
              </w:rPr>
              <w:lastRenderedPageBreak/>
              <w:t xml:space="preserve">domeniile în care Guvernul este abilitat să emită ordonanţe, respectiv circumscrierea acestor domenii în afara obiectului de reglementare al legilor organice, iar nu la dispoziţii exprese ale unor acte normative sau la măsuri legislative individualizate. Pe cale de consecinţă, este evident că un domeniu de reglementare nu poate avea aceeaşi precizie sau claritate cu o dispoziţie expresă, domeniul de reglementare fiind reprezentat de sfera relaţiilor sociale care sunt vizate de reglementare, în vreme ce măsurile legislative delegate constituie soluţia normativă concretă cuprinsă în dispoziţiile actului normativ şi sub incidenţa căreia se află relaţiile sociale pe care le vizează. Aşa fiind, legea de abilitare prezintă un grad suficient de generalitate care să permită Guvernului să determine, să individualizeze şi să reglementeze măsurile ce vor face obiectul ordonanţelor pe care la emite. </w:t>
            </w:r>
          </w:p>
        </w:tc>
        <w:bookmarkStart w:id="1" w:name="_GoBack"/>
        <w:bookmarkEnd w:id="1"/>
      </w:tr>
    </w:tbl>
    <w:p w:rsidR="00C538D2" w:rsidRPr="00A7286C" w:rsidRDefault="00C538D2">
      <w:pPr>
        <w:rPr>
          <w:rFonts w:ascii="Arial" w:eastAsia="Arial" w:hAnsi="Arial" w:cs="Arial"/>
          <w:noProof/>
          <w:sz w:val="20"/>
          <w:szCs w:val="20"/>
        </w:rPr>
      </w:pPr>
      <w:bookmarkStart w:id="2" w:name="_heading=h.30j0zll" w:colFirst="0" w:colLast="0"/>
      <w:bookmarkEnd w:id="2"/>
    </w:p>
    <w:sectPr w:rsidR="00C538D2" w:rsidRPr="00A7286C" w:rsidSect="00D75616">
      <w:pgSz w:w="15840" w:h="12240"/>
      <w:pgMar w:top="567" w:right="540" w:bottom="63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F2D" w:rsidRDefault="00367F2D" w:rsidP="00A7286C">
      <w:pPr>
        <w:spacing w:after="0" w:line="240" w:lineRule="auto"/>
      </w:pPr>
      <w:r>
        <w:separator/>
      </w:r>
    </w:p>
  </w:endnote>
  <w:endnote w:type="continuationSeparator" w:id="0">
    <w:p w:rsidR="00367F2D" w:rsidRDefault="00367F2D" w:rsidP="00A72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F2D" w:rsidRDefault="00367F2D" w:rsidP="00A7286C">
      <w:pPr>
        <w:spacing w:after="0" w:line="240" w:lineRule="auto"/>
      </w:pPr>
      <w:r>
        <w:separator/>
      </w:r>
    </w:p>
  </w:footnote>
  <w:footnote w:type="continuationSeparator" w:id="0">
    <w:p w:rsidR="00367F2D" w:rsidRDefault="00367F2D" w:rsidP="00A7286C">
      <w:pPr>
        <w:spacing w:after="0" w:line="240" w:lineRule="auto"/>
      </w:pPr>
      <w:r>
        <w:continuationSeparator/>
      </w:r>
    </w:p>
  </w:footnote>
  <w:footnote w:id="1">
    <w:p w:rsidR="00A7286C" w:rsidRDefault="00A7286C" w:rsidP="00A7286C">
      <w:pPr>
        <w:pStyle w:val="FootnoteText"/>
        <w:rPr>
          <w:rFonts w:ascii="Arial" w:hAnsi="Arial" w:cs="Arial"/>
          <w:lang w:val="en-US"/>
        </w:rPr>
      </w:pPr>
      <w:r>
        <w:rPr>
          <w:rStyle w:val="FootnoteReference"/>
          <w:rFonts w:ascii="Arial" w:hAnsi="Arial" w:cs="Arial"/>
        </w:rPr>
        <w:footnoteRef/>
      </w:r>
      <w:r>
        <w:rPr>
          <w:rFonts w:ascii="Arial" w:hAnsi="Arial" w:cs="Arial"/>
        </w:rPr>
        <w:t xml:space="preserve"> Decizia nr. 355</w:t>
      </w:r>
      <w:r>
        <w:rPr>
          <w:rFonts w:ascii="Arial" w:hAnsi="Arial" w:cs="Arial"/>
          <w:lang w:val="en-US"/>
        </w:rPr>
        <w:t xml:space="preserve">/2014 </w:t>
      </w:r>
      <w:r>
        <w:rPr>
          <w:rFonts w:ascii="Arial" w:hAnsi="Arial" w:cs="Arial"/>
          <w:shd w:val="clear" w:color="auto" w:fill="FFFFFF"/>
        </w:rPr>
        <w:t>asupra respingerii obiecţiei de neconstituţionalitate a dispoziţiilor Legii privind abilitarea Guvernului de a emite ordonanţe, publicată în Monitorul Oficial al României, Partea I, nr. 509 din 8 iulie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C5085"/>
    <w:multiLevelType w:val="hybridMultilevel"/>
    <w:tmpl w:val="95962DE6"/>
    <w:lvl w:ilvl="0" w:tplc="0818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 w15:restartNumberingAfterBreak="0">
    <w:nsid w:val="4C4B2CB5"/>
    <w:multiLevelType w:val="hybridMultilevel"/>
    <w:tmpl w:val="C026F81A"/>
    <w:lvl w:ilvl="0" w:tplc="08180017">
      <w:start w:val="1"/>
      <w:numFmt w:val="low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 w15:restartNumberingAfterBreak="0">
    <w:nsid w:val="64BE0A3B"/>
    <w:multiLevelType w:val="hybridMultilevel"/>
    <w:tmpl w:val="2ABE1BE6"/>
    <w:lvl w:ilvl="0" w:tplc="B9D6DF96">
      <w:start w:val="1"/>
      <w:numFmt w:val="decimal"/>
      <w:lvlText w:val="%1."/>
      <w:lvlJc w:val="left"/>
      <w:pPr>
        <w:ind w:left="360" w:hanging="360"/>
      </w:pPr>
      <w:rPr>
        <w:b w:val="0"/>
      </w:rPr>
    </w:lvl>
    <w:lvl w:ilvl="1" w:tplc="08180019" w:tentative="1">
      <w:start w:val="1"/>
      <w:numFmt w:val="lowerLetter"/>
      <w:lvlText w:val="%2."/>
      <w:lvlJc w:val="left"/>
      <w:pPr>
        <w:ind w:left="1080" w:hanging="360"/>
      </w:pPr>
    </w:lvl>
    <w:lvl w:ilvl="2" w:tplc="0818001B" w:tentative="1">
      <w:start w:val="1"/>
      <w:numFmt w:val="lowerRoman"/>
      <w:lvlText w:val="%3."/>
      <w:lvlJc w:val="right"/>
      <w:pPr>
        <w:ind w:left="1800" w:hanging="180"/>
      </w:pPr>
    </w:lvl>
    <w:lvl w:ilvl="3" w:tplc="0818000F" w:tentative="1">
      <w:start w:val="1"/>
      <w:numFmt w:val="decimal"/>
      <w:lvlText w:val="%4."/>
      <w:lvlJc w:val="left"/>
      <w:pPr>
        <w:ind w:left="2520" w:hanging="360"/>
      </w:pPr>
    </w:lvl>
    <w:lvl w:ilvl="4" w:tplc="08180019" w:tentative="1">
      <w:start w:val="1"/>
      <w:numFmt w:val="lowerLetter"/>
      <w:lvlText w:val="%5."/>
      <w:lvlJc w:val="left"/>
      <w:pPr>
        <w:ind w:left="3240" w:hanging="360"/>
      </w:pPr>
    </w:lvl>
    <w:lvl w:ilvl="5" w:tplc="0818001B" w:tentative="1">
      <w:start w:val="1"/>
      <w:numFmt w:val="lowerRoman"/>
      <w:lvlText w:val="%6."/>
      <w:lvlJc w:val="right"/>
      <w:pPr>
        <w:ind w:left="3960" w:hanging="180"/>
      </w:pPr>
    </w:lvl>
    <w:lvl w:ilvl="6" w:tplc="0818000F" w:tentative="1">
      <w:start w:val="1"/>
      <w:numFmt w:val="decimal"/>
      <w:lvlText w:val="%7."/>
      <w:lvlJc w:val="left"/>
      <w:pPr>
        <w:ind w:left="4680" w:hanging="360"/>
      </w:pPr>
    </w:lvl>
    <w:lvl w:ilvl="7" w:tplc="08180019" w:tentative="1">
      <w:start w:val="1"/>
      <w:numFmt w:val="lowerLetter"/>
      <w:lvlText w:val="%8."/>
      <w:lvlJc w:val="left"/>
      <w:pPr>
        <w:ind w:left="5400" w:hanging="360"/>
      </w:pPr>
    </w:lvl>
    <w:lvl w:ilvl="8" w:tplc="0818001B" w:tentative="1">
      <w:start w:val="1"/>
      <w:numFmt w:val="lowerRoman"/>
      <w:lvlText w:val="%9."/>
      <w:lvlJc w:val="right"/>
      <w:pPr>
        <w:ind w:left="6120" w:hanging="180"/>
      </w:pPr>
    </w:lvl>
  </w:abstractNum>
  <w:abstractNum w:abstractNumId="3" w15:restartNumberingAfterBreak="0">
    <w:nsid w:val="7885466A"/>
    <w:multiLevelType w:val="multilevel"/>
    <w:tmpl w:val="2D765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8D2"/>
    <w:rsid w:val="00041F1D"/>
    <w:rsid w:val="00145519"/>
    <w:rsid w:val="001E7A7B"/>
    <w:rsid w:val="00202331"/>
    <w:rsid w:val="00217985"/>
    <w:rsid w:val="002F2493"/>
    <w:rsid w:val="00344D45"/>
    <w:rsid w:val="00367F2D"/>
    <w:rsid w:val="003C0DA3"/>
    <w:rsid w:val="003F31DE"/>
    <w:rsid w:val="00586F4C"/>
    <w:rsid w:val="005E48C8"/>
    <w:rsid w:val="00601478"/>
    <w:rsid w:val="006C42B2"/>
    <w:rsid w:val="0070223E"/>
    <w:rsid w:val="00704F2F"/>
    <w:rsid w:val="007225A7"/>
    <w:rsid w:val="007C20D6"/>
    <w:rsid w:val="008753D4"/>
    <w:rsid w:val="008D078D"/>
    <w:rsid w:val="00A05496"/>
    <w:rsid w:val="00A7286C"/>
    <w:rsid w:val="00AE72A5"/>
    <w:rsid w:val="00B31797"/>
    <w:rsid w:val="00C37F2B"/>
    <w:rsid w:val="00C538D2"/>
    <w:rsid w:val="00CE39E3"/>
    <w:rsid w:val="00D02BE5"/>
    <w:rsid w:val="00D02FAC"/>
    <w:rsid w:val="00D116C9"/>
    <w:rsid w:val="00D64B8E"/>
    <w:rsid w:val="00D75616"/>
    <w:rsid w:val="00E16F5B"/>
    <w:rsid w:val="00E86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6679DB-6A3F-44CB-9853-2D3898B9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B94"/>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nhideWhenUsed/>
    <w:qFormat/>
    <w:rsid w:val="00A60B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basedOn w:val="DefaultParagraphFont"/>
    <w:link w:val="Heading2"/>
    <w:rsid w:val="00A60B94"/>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60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60B94"/>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ListParagraph">
    <w:name w:val="List Paragraph"/>
    <w:basedOn w:val="Normal"/>
    <w:uiPriority w:val="34"/>
    <w:qFormat/>
    <w:rsid w:val="008753D4"/>
    <w:pPr>
      <w:ind w:left="720"/>
      <w:contextualSpacing/>
    </w:pPr>
  </w:style>
  <w:style w:type="paragraph" w:styleId="FootnoteText">
    <w:name w:val="footnote text"/>
    <w:basedOn w:val="Normal"/>
    <w:link w:val="FootnoteTextChar"/>
    <w:uiPriority w:val="99"/>
    <w:unhideWhenUsed/>
    <w:rsid w:val="00A7286C"/>
    <w:pPr>
      <w:spacing w:after="0" w:line="240" w:lineRule="auto"/>
    </w:pPr>
    <w:rPr>
      <w:sz w:val="20"/>
      <w:szCs w:val="20"/>
    </w:rPr>
  </w:style>
  <w:style w:type="character" w:customStyle="1" w:styleId="FootnoteTextChar">
    <w:name w:val="Footnote Text Char"/>
    <w:basedOn w:val="DefaultParagraphFont"/>
    <w:link w:val="FootnoteText"/>
    <w:uiPriority w:val="99"/>
    <w:rsid w:val="00A7286C"/>
    <w:rPr>
      <w:rFonts w:cs="Times New Roman"/>
      <w:sz w:val="20"/>
      <w:szCs w:val="20"/>
    </w:rPr>
  </w:style>
  <w:style w:type="character" w:styleId="FootnoteReference">
    <w:name w:val="footnote reference"/>
    <w:uiPriority w:val="99"/>
    <w:unhideWhenUsed/>
    <w:rsid w:val="00A7286C"/>
    <w:rPr>
      <w:vertAlign w:val="superscript"/>
    </w:rPr>
  </w:style>
  <w:style w:type="paragraph" w:styleId="BalloonText">
    <w:name w:val="Balloon Text"/>
    <w:basedOn w:val="Normal"/>
    <w:link w:val="BalloonTextChar"/>
    <w:uiPriority w:val="99"/>
    <w:semiHidden/>
    <w:unhideWhenUsed/>
    <w:rsid w:val="00344D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4D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323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Rom%C3%A2n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ege5.ro/Gratuit/gq4deojv/constitutia-din-2003?pid=43226768&amp;d=2017-01-0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e5.ro/Gratuit/gq4deojv/constitutia-din-2003?pid=43226767&amp;d=2017-01-02" TargetMode="External"/><Relationship Id="rId5" Type="http://schemas.openxmlformats.org/officeDocument/2006/relationships/webSettings" Target="webSettings.xml"/><Relationship Id="rId10" Type="http://schemas.openxmlformats.org/officeDocument/2006/relationships/hyperlink" Target="http://lege5.ro/Gratuit/gq4deojv/constitutia-din-2003?pid=43226769&amp;d=2017-01-02" TargetMode="External"/><Relationship Id="rId4" Type="http://schemas.openxmlformats.org/officeDocument/2006/relationships/settings" Target="settings.xml"/><Relationship Id="rId9" Type="http://schemas.openxmlformats.org/officeDocument/2006/relationships/hyperlink" Target="http://lege5.ro/Gratuit/gq4deojv/constitutia-din-2003?pid=43226767&amp;d=2017-01-0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rj+l4A7q85xLC+yzhYLDT0x8XQ==">AMUW2mVEMFXVJ1nHYxfapnZW5mJoYSMILbxLTtraIkWHXFr9o7uvoK5GDIWwOuRU3MJUhy+rcfJ8IXzZdnY70Y6meZfS8MCvemK4JQq3ybDI8FKPprbveBIMxMKOYyINJsNKPFEb+vZp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Crupa</dc:creator>
  <cp:lastModifiedBy>Ana Patrichi</cp:lastModifiedBy>
  <cp:revision>5</cp:revision>
  <cp:lastPrinted>2020-05-08T08:29:00Z</cp:lastPrinted>
  <dcterms:created xsi:type="dcterms:W3CDTF">2020-05-18T07:54:00Z</dcterms:created>
  <dcterms:modified xsi:type="dcterms:W3CDTF">2020-05-18T08:00:00Z</dcterms:modified>
</cp:coreProperties>
</file>